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0794" w:rsidRPr="001B6294" w:rsidRDefault="00315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S1</w:t>
      </w:r>
      <w:r w:rsidR="001B6294" w:rsidRPr="001B6294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1B6294" w:rsidRPr="001B6294">
        <w:rPr>
          <w:rFonts w:ascii="Times New Roman" w:hAnsi="Times New Roman" w:cs="Times New Roman"/>
          <w:sz w:val="24"/>
          <w:szCs w:val="24"/>
        </w:rPr>
        <w:t xml:space="preserve">  Clinicopathologic characteristics of the ovarian mucinous neoplasms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0"/>
        <w:gridCol w:w="1757"/>
        <w:gridCol w:w="2423"/>
        <w:gridCol w:w="2330"/>
      </w:tblGrid>
      <w:tr w:rsidR="001B6294" w:rsidRPr="001B6294" w:rsidTr="006651E7"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Variables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BENIGN </w:t>
            </w:r>
            <w:proofErr w:type="gramStart"/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n(</w:t>
            </w:r>
            <w:proofErr w:type="gramEnd"/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BORDERLINE </w:t>
            </w:r>
            <w:proofErr w:type="gramStart"/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n(</w:t>
            </w:r>
            <w:proofErr w:type="gramEnd"/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MALIGNANT </w:t>
            </w:r>
            <w:proofErr w:type="gramStart"/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n(</w:t>
            </w:r>
            <w:proofErr w:type="gramEnd"/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%)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AGE (YEAR)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 xml:space="preserve"> Range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10-77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40.6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21-61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30-60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37.7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SIZE (CM)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&lt;10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≥10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Mean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Range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25 (64.1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14 (35.9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5-28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 (25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 (75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8.5-20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1B6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7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24.87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11-45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LATERALITY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Unilateral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Bilateral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37(94.9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2 (5.1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4 (100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0 (0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6 (85.7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 (14.3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APPENDECTOMY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 (7.7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36 (92.3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 (25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 (75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4 (57.1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 (42.9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GRADE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 (42.8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 (42.8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 (14.4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TUMOR STAGE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T1a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T1c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T3c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Not applicable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(75%)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(25%)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4 (57.1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2 (28.5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1 (14.4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B6294" w:rsidRPr="001B6294" w:rsidTr="006651E7"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: 50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39 (78)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4 (8)</w:t>
            </w:r>
          </w:p>
        </w:tc>
        <w:tc>
          <w:tcPr>
            <w:tcW w:w="0" w:type="auto"/>
            <w:vAlign w:val="center"/>
          </w:tcPr>
          <w:p w:rsidR="001B6294" w:rsidRPr="001B6294" w:rsidRDefault="001B6294" w:rsidP="0066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6294">
              <w:rPr>
                <w:rFonts w:ascii="Times New Roman" w:hAnsi="Times New Roman" w:cs="Times New Roman"/>
                <w:sz w:val="24"/>
                <w:szCs w:val="24"/>
              </w:rPr>
              <w:t>7 (14)</w:t>
            </w:r>
          </w:p>
        </w:tc>
      </w:tr>
    </w:tbl>
    <w:p w:rsidR="001B6294" w:rsidRDefault="001B6294">
      <w:pPr>
        <w:rPr>
          <w:rFonts w:ascii="Times New Roman" w:hAnsi="Times New Roman" w:cs="Times New Roman"/>
          <w:sz w:val="24"/>
          <w:szCs w:val="24"/>
        </w:rPr>
      </w:pPr>
    </w:p>
    <w:p w:rsidR="00315C6C" w:rsidRDefault="00315C6C">
      <w:pPr>
        <w:rPr>
          <w:rFonts w:ascii="Times New Roman" w:hAnsi="Times New Roman" w:cs="Times New Roman"/>
          <w:sz w:val="24"/>
          <w:szCs w:val="24"/>
        </w:rPr>
      </w:pPr>
    </w:p>
    <w:p w:rsidR="00315C6C" w:rsidRDefault="00315C6C">
      <w:pPr>
        <w:rPr>
          <w:rFonts w:ascii="Times New Roman" w:hAnsi="Times New Roman" w:cs="Times New Roman"/>
          <w:sz w:val="24"/>
          <w:szCs w:val="24"/>
        </w:rPr>
      </w:pPr>
    </w:p>
    <w:p w:rsidR="00315C6C" w:rsidRDefault="00315C6C">
      <w:pPr>
        <w:rPr>
          <w:rFonts w:ascii="Times New Roman" w:hAnsi="Times New Roman" w:cs="Times New Roman"/>
          <w:sz w:val="24"/>
          <w:szCs w:val="24"/>
        </w:rPr>
      </w:pPr>
    </w:p>
    <w:p w:rsidR="00315C6C" w:rsidRDefault="00315C6C">
      <w:pPr>
        <w:rPr>
          <w:rFonts w:ascii="Times New Roman" w:hAnsi="Times New Roman" w:cs="Times New Roman"/>
          <w:sz w:val="24"/>
          <w:szCs w:val="24"/>
        </w:rPr>
      </w:pPr>
    </w:p>
    <w:p w:rsidR="00315C6C" w:rsidRDefault="00315C6C" w:rsidP="00315C6C">
      <w:pPr>
        <w:rPr>
          <w:rFonts w:ascii="Calibri" w:eastAsia="Calibri" w:hAnsi="Calibri" w:cs="Arial"/>
          <w:b/>
          <w:bCs/>
          <w:lang w:val="en-GB"/>
        </w:rPr>
      </w:pPr>
    </w:p>
    <w:p w:rsidR="00315C6C" w:rsidRDefault="00315C6C" w:rsidP="00315C6C">
      <w:pPr>
        <w:rPr>
          <w:rFonts w:ascii="Calibri" w:eastAsia="Calibri" w:hAnsi="Calibri" w:cs="Arial"/>
          <w:b/>
          <w:bCs/>
          <w:lang w:val="en-GB"/>
        </w:rPr>
      </w:pPr>
    </w:p>
    <w:p w:rsidR="00315C6C" w:rsidRDefault="00315C6C" w:rsidP="00315C6C">
      <w:pPr>
        <w:rPr>
          <w:rFonts w:ascii="Calibri" w:eastAsia="Calibri" w:hAnsi="Calibri" w:cs="Arial"/>
          <w:b/>
          <w:bCs/>
          <w:lang w:val="en-GB"/>
        </w:rPr>
      </w:pPr>
    </w:p>
    <w:p w:rsidR="00315C6C" w:rsidRDefault="00315C6C" w:rsidP="00315C6C">
      <w:pPr>
        <w:rPr>
          <w:rFonts w:ascii="Calibri" w:eastAsia="Calibri" w:hAnsi="Calibri" w:cs="Arial"/>
          <w:b/>
          <w:bCs/>
          <w:lang w:val="en-GB"/>
        </w:rPr>
      </w:pPr>
    </w:p>
    <w:p w:rsidR="00315C6C" w:rsidRDefault="00315C6C" w:rsidP="00315C6C">
      <w:pPr>
        <w:rPr>
          <w:rFonts w:ascii="Calibri" w:eastAsia="Calibri" w:hAnsi="Calibri" w:cs="Arial"/>
          <w:b/>
          <w:bCs/>
          <w:lang w:val="en-GB"/>
        </w:rPr>
      </w:pPr>
    </w:p>
    <w:p w:rsidR="00315C6C" w:rsidRDefault="00315C6C" w:rsidP="00315C6C">
      <w:pPr>
        <w:rPr>
          <w:rFonts w:ascii="Calibri" w:eastAsia="Calibri" w:hAnsi="Calibri" w:cs="Arial"/>
          <w:b/>
          <w:bCs/>
          <w:lang w:val="en-GB"/>
        </w:rPr>
      </w:pPr>
    </w:p>
    <w:p w:rsidR="00315C6C" w:rsidRDefault="00315C6C" w:rsidP="00315C6C">
      <w:pPr>
        <w:rPr>
          <w:rFonts w:ascii="Calibri" w:eastAsia="Calibri" w:hAnsi="Calibri" w:cs="Arial"/>
          <w:lang w:val="en-GB"/>
        </w:rPr>
      </w:pPr>
      <w:bookmarkStart w:id="0" w:name="_GoBack"/>
      <w:bookmarkEnd w:id="0"/>
      <w:r w:rsidRPr="00C62119">
        <w:rPr>
          <w:rFonts w:ascii="Calibri" w:eastAsia="Calibri" w:hAnsi="Calibri" w:cs="Arial"/>
          <w:b/>
          <w:bCs/>
          <w:lang w:val="en-GB"/>
        </w:rPr>
        <w:lastRenderedPageBreak/>
        <w:t>Table</w:t>
      </w:r>
      <w:r>
        <w:rPr>
          <w:rFonts w:ascii="Calibri" w:eastAsia="Calibri" w:hAnsi="Calibri" w:cs="Arial"/>
          <w:b/>
          <w:bCs/>
          <w:lang w:val="en-GB"/>
        </w:rPr>
        <w:t xml:space="preserve"> S2</w:t>
      </w:r>
      <w:r w:rsidRPr="00C62119">
        <w:rPr>
          <w:rFonts w:ascii="Calibri" w:eastAsia="Calibri" w:hAnsi="Calibri" w:cs="Arial"/>
          <w:b/>
          <w:bCs/>
          <w:lang w:val="en-GB"/>
        </w:rPr>
        <w:t>:</w:t>
      </w:r>
      <w:r w:rsidRPr="00C62119">
        <w:rPr>
          <w:rFonts w:ascii="Calibri" w:eastAsia="Calibri" w:hAnsi="Calibri" w:cs="Arial"/>
          <w:lang w:val="en-GB"/>
        </w:rPr>
        <w:t xml:space="preserve">  Clinicopathologic characteristic</w:t>
      </w:r>
      <w:r>
        <w:rPr>
          <w:rFonts w:ascii="Calibri" w:eastAsia="Calibri" w:hAnsi="Calibri" w:cs="Arial"/>
          <w:lang w:val="en-GB"/>
        </w:rPr>
        <w:t>s of colorectal and appendiceal</w:t>
      </w:r>
      <w:r w:rsidRPr="00C62119">
        <w:rPr>
          <w:rFonts w:ascii="Calibri" w:eastAsia="Calibri" w:hAnsi="Calibri" w:cs="Arial"/>
          <w:lang w:val="en-GB"/>
        </w:rPr>
        <w:t xml:space="preserve"> </w:t>
      </w:r>
      <w:r>
        <w:rPr>
          <w:rFonts w:ascii="Calibri" w:eastAsia="Calibri" w:hAnsi="Calibri" w:cs="Arial"/>
          <w:lang w:val="en-GB"/>
        </w:rPr>
        <w:t xml:space="preserve">mucinous </w:t>
      </w:r>
      <w:proofErr w:type="spellStart"/>
      <w:r>
        <w:rPr>
          <w:rFonts w:ascii="Calibri" w:eastAsia="Calibri" w:hAnsi="Calibri" w:cs="Arial"/>
          <w:lang w:val="en-GB"/>
        </w:rPr>
        <w:t>tumo</w:t>
      </w:r>
      <w:r w:rsidRPr="00C62119">
        <w:rPr>
          <w:rFonts w:ascii="Calibri" w:eastAsia="Calibri" w:hAnsi="Calibri" w:cs="Arial"/>
          <w:lang w:val="en-GB"/>
        </w:rPr>
        <w:t>rs</w:t>
      </w:r>
      <w:proofErr w:type="spellEnd"/>
      <w:r w:rsidRPr="00C62119">
        <w:rPr>
          <w:rFonts w:ascii="Calibri" w:eastAsia="Calibri" w:hAnsi="Calibri" w:cs="Arial"/>
          <w:lang w:val="en-GB"/>
        </w:rPr>
        <w:t>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1"/>
        <w:gridCol w:w="2414"/>
        <w:gridCol w:w="2582"/>
        <w:gridCol w:w="2179"/>
      </w:tblGrid>
      <w:tr w:rsidR="00315C6C" w:rsidRPr="006C4A58" w:rsidTr="005D28CE">
        <w:tc>
          <w:tcPr>
            <w:tcW w:w="949" w:type="pct"/>
            <w:tcBorders>
              <w:right w:val="single" w:sz="4" w:space="0" w:color="auto"/>
            </w:tcBorders>
            <w:vAlign w:val="center"/>
          </w:tcPr>
          <w:p w:rsidR="00315C6C" w:rsidRPr="006C4A58" w:rsidRDefault="00315C6C" w:rsidP="005D28CE">
            <w:pPr>
              <w:jc w:val="center"/>
              <w:rPr>
                <w:b/>
                <w:bCs/>
              </w:rPr>
            </w:pPr>
            <w:r w:rsidRPr="006C4A58">
              <w:rPr>
                <w:b/>
                <w:bCs/>
              </w:rPr>
              <w:t>Variables</w:t>
            </w:r>
          </w:p>
        </w:tc>
        <w:tc>
          <w:tcPr>
            <w:tcW w:w="1363" w:type="pct"/>
            <w:vAlign w:val="center"/>
          </w:tcPr>
          <w:p w:rsidR="00315C6C" w:rsidRPr="006C4A58" w:rsidRDefault="00315C6C" w:rsidP="005D2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Colorectal mucinous adenocarcinoma </w:t>
            </w:r>
            <w:proofErr w:type="gramStart"/>
            <w:r w:rsidRPr="006C4A58">
              <w:rPr>
                <w:b/>
                <w:bCs/>
              </w:rPr>
              <w:t>n(</w:t>
            </w:r>
            <w:proofErr w:type="gramEnd"/>
            <w:r w:rsidRPr="006C4A58">
              <w:rPr>
                <w:b/>
                <w:bCs/>
              </w:rPr>
              <w:t>%)</w:t>
            </w:r>
          </w:p>
        </w:tc>
        <w:tc>
          <w:tcPr>
            <w:tcW w:w="1458" w:type="pct"/>
            <w:vAlign w:val="center"/>
          </w:tcPr>
          <w:p w:rsidR="00315C6C" w:rsidRPr="006C4A58" w:rsidRDefault="00315C6C" w:rsidP="005D2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Low grade appendiceal mucinous neoplasms </w:t>
            </w:r>
            <w:proofErr w:type="gramStart"/>
            <w:r>
              <w:rPr>
                <w:b/>
                <w:bCs/>
              </w:rPr>
              <w:t>n</w:t>
            </w:r>
            <w:r w:rsidRPr="006C4A58">
              <w:rPr>
                <w:b/>
                <w:bCs/>
              </w:rPr>
              <w:t>(</w:t>
            </w:r>
            <w:proofErr w:type="gramEnd"/>
            <w:r w:rsidRPr="006C4A58">
              <w:rPr>
                <w:b/>
                <w:bCs/>
              </w:rPr>
              <w:t>%)</w:t>
            </w:r>
          </w:p>
        </w:tc>
        <w:tc>
          <w:tcPr>
            <w:tcW w:w="1230" w:type="pct"/>
            <w:vAlign w:val="center"/>
          </w:tcPr>
          <w:p w:rsidR="00315C6C" w:rsidRPr="006C4A58" w:rsidRDefault="00315C6C" w:rsidP="005D2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Appendiceal mucinous adenocarcinoma</w:t>
            </w:r>
            <w:r w:rsidRPr="006C4A58">
              <w:rPr>
                <w:b/>
                <w:bCs/>
              </w:rPr>
              <w:t xml:space="preserve"> </w:t>
            </w:r>
            <w:proofErr w:type="gramStart"/>
            <w:r w:rsidRPr="006C4A58">
              <w:rPr>
                <w:b/>
                <w:bCs/>
              </w:rPr>
              <w:t>n(</w:t>
            </w:r>
            <w:proofErr w:type="gramEnd"/>
            <w:r w:rsidRPr="006C4A58">
              <w:rPr>
                <w:b/>
                <w:bCs/>
              </w:rPr>
              <w:t>%)</w:t>
            </w:r>
          </w:p>
        </w:tc>
      </w:tr>
      <w:tr w:rsidR="00315C6C" w:rsidTr="005D28CE">
        <w:tc>
          <w:tcPr>
            <w:tcW w:w="949" w:type="pct"/>
            <w:vAlign w:val="center"/>
          </w:tcPr>
          <w:p w:rsidR="00315C6C" w:rsidRDefault="00315C6C" w:rsidP="005D28CE">
            <w:pPr>
              <w:jc w:val="center"/>
            </w:pPr>
            <w:r w:rsidRPr="0047236D">
              <w:rPr>
                <w:b/>
                <w:bCs/>
              </w:rPr>
              <w:t>AGE (YEAR)</w:t>
            </w:r>
          </w:p>
          <w:p w:rsidR="00315C6C" w:rsidRPr="00E22371" w:rsidRDefault="00315C6C" w:rsidP="005D28CE">
            <w:pPr>
              <w:jc w:val="center"/>
            </w:pPr>
            <w:r w:rsidRPr="00E22371">
              <w:t xml:space="preserve"> </w:t>
            </w:r>
            <w:r>
              <w:t>Range</w:t>
            </w:r>
          </w:p>
          <w:p w:rsidR="00315C6C" w:rsidRPr="0047236D" w:rsidRDefault="00315C6C" w:rsidP="005D28CE">
            <w:pPr>
              <w:jc w:val="center"/>
              <w:rPr>
                <w:b/>
                <w:bCs/>
              </w:rPr>
            </w:pPr>
            <w:r w:rsidRPr="00E22371">
              <w:t>Mean</w:t>
            </w:r>
          </w:p>
        </w:tc>
        <w:tc>
          <w:tcPr>
            <w:tcW w:w="1363" w:type="pct"/>
            <w:vAlign w:val="center"/>
          </w:tcPr>
          <w:p w:rsidR="00315C6C" w:rsidRDefault="00315C6C" w:rsidP="005D28CE"/>
          <w:p w:rsidR="00315C6C" w:rsidRDefault="00315C6C" w:rsidP="005D28CE">
            <w:pPr>
              <w:jc w:val="center"/>
            </w:pPr>
            <w:r>
              <w:t>29-97</w:t>
            </w:r>
          </w:p>
          <w:p w:rsidR="00315C6C" w:rsidRDefault="00315C6C" w:rsidP="005D28CE">
            <w:pPr>
              <w:jc w:val="center"/>
            </w:pPr>
            <w:r>
              <w:t>60</w:t>
            </w:r>
          </w:p>
        </w:tc>
        <w:tc>
          <w:tcPr>
            <w:tcW w:w="1458" w:type="pct"/>
            <w:vAlign w:val="center"/>
          </w:tcPr>
          <w:p w:rsidR="00315C6C" w:rsidRDefault="00315C6C" w:rsidP="005D28CE"/>
          <w:p w:rsidR="00315C6C" w:rsidRDefault="00315C6C" w:rsidP="005D28CE">
            <w:pPr>
              <w:jc w:val="center"/>
            </w:pPr>
            <w:r>
              <w:t>23-75</w:t>
            </w:r>
          </w:p>
          <w:p w:rsidR="00315C6C" w:rsidRDefault="00315C6C" w:rsidP="005D28CE">
            <w:pPr>
              <w:jc w:val="center"/>
            </w:pPr>
            <w:r>
              <w:t>51</w:t>
            </w:r>
          </w:p>
        </w:tc>
        <w:tc>
          <w:tcPr>
            <w:tcW w:w="1230" w:type="pct"/>
            <w:vAlign w:val="center"/>
          </w:tcPr>
          <w:p w:rsidR="00315C6C" w:rsidRDefault="00315C6C" w:rsidP="005D28CE"/>
          <w:p w:rsidR="00315C6C" w:rsidRDefault="00315C6C" w:rsidP="005D28CE">
            <w:pPr>
              <w:jc w:val="center"/>
            </w:pPr>
            <w:r>
              <w:t>NA</w:t>
            </w:r>
          </w:p>
          <w:p w:rsidR="00315C6C" w:rsidRDefault="00315C6C" w:rsidP="005D28CE">
            <w:pPr>
              <w:jc w:val="center"/>
            </w:pPr>
            <w:r>
              <w:t>49</w:t>
            </w:r>
          </w:p>
        </w:tc>
      </w:tr>
      <w:tr w:rsidR="00315C6C" w:rsidTr="005D28CE">
        <w:tc>
          <w:tcPr>
            <w:tcW w:w="949" w:type="pct"/>
            <w:vAlign w:val="center"/>
          </w:tcPr>
          <w:p w:rsidR="00315C6C" w:rsidRPr="0047236D" w:rsidRDefault="00315C6C" w:rsidP="005D28CE">
            <w:pPr>
              <w:jc w:val="center"/>
              <w:rPr>
                <w:b/>
                <w:bCs/>
              </w:rPr>
            </w:pPr>
            <w:r w:rsidRPr="00E22371">
              <w:rPr>
                <w:b/>
                <w:bCs/>
              </w:rPr>
              <w:t>TUMOR</w:t>
            </w:r>
            <w:r>
              <w:t xml:space="preserve"> </w:t>
            </w:r>
            <w:r w:rsidRPr="0047236D">
              <w:rPr>
                <w:b/>
                <w:bCs/>
              </w:rPr>
              <w:t>GRADE</w:t>
            </w:r>
          </w:p>
          <w:p w:rsidR="00315C6C" w:rsidRPr="00E22371" w:rsidRDefault="00315C6C" w:rsidP="005D28CE">
            <w:pPr>
              <w:jc w:val="center"/>
            </w:pPr>
            <w:r>
              <w:t>Well</w:t>
            </w:r>
          </w:p>
          <w:p w:rsidR="00315C6C" w:rsidRPr="00E22371" w:rsidRDefault="00315C6C" w:rsidP="005D28CE">
            <w:pPr>
              <w:jc w:val="center"/>
            </w:pPr>
            <w:r>
              <w:t>Moderate</w:t>
            </w:r>
          </w:p>
          <w:p w:rsidR="00315C6C" w:rsidRPr="00727088" w:rsidRDefault="00315C6C" w:rsidP="005D28CE">
            <w:pPr>
              <w:jc w:val="center"/>
            </w:pPr>
            <w:r>
              <w:t>Poor</w:t>
            </w:r>
          </w:p>
        </w:tc>
        <w:tc>
          <w:tcPr>
            <w:tcW w:w="1363" w:type="pct"/>
            <w:vAlign w:val="center"/>
          </w:tcPr>
          <w:p w:rsidR="00315C6C" w:rsidRDefault="00315C6C" w:rsidP="005D28CE">
            <w:pPr>
              <w:jc w:val="center"/>
            </w:pPr>
          </w:p>
          <w:p w:rsidR="00315C6C" w:rsidRDefault="00315C6C" w:rsidP="005D28CE">
            <w:pPr>
              <w:jc w:val="center"/>
            </w:pPr>
            <w:r>
              <w:t>10 (15.8)</w:t>
            </w:r>
          </w:p>
          <w:p w:rsidR="00315C6C" w:rsidRDefault="00315C6C" w:rsidP="005D28CE">
            <w:pPr>
              <w:jc w:val="center"/>
            </w:pPr>
            <w:r>
              <w:t xml:space="preserve"> 45 (71.4)</w:t>
            </w:r>
          </w:p>
          <w:p w:rsidR="00315C6C" w:rsidRDefault="00315C6C" w:rsidP="005D28CE">
            <w:r>
              <w:t xml:space="preserve">                  8 (12.8)</w:t>
            </w:r>
          </w:p>
        </w:tc>
        <w:tc>
          <w:tcPr>
            <w:tcW w:w="1458" w:type="pct"/>
            <w:vAlign w:val="center"/>
          </w:tcPr>
          <w:p w:rsidR="00315C6C" w:rsidRDefault="00315C6C" w:rsidP="005D28CE">
            <w:r>
              <w:t xml:space="preserve">                      NA</w:t>
            </w:r>
          </w:p>
        </w:tc>
        <w:tc>
          <w:tcPr>
            <w:tcW w:w="1230" w:type="pct"/>
            <w:vAlign w:val="center"/>
          </w:tcPr>
          <w:p w:rsidR="00315C6C" w:rsidRDefault="00315C6C" w:rsidP="005D28CE">
            <w:pPr>
              <w:jc w:val="center"/>
            </w:pPr>
          </w:p>
          <w:p w:rsidR="00315C6C" w:rsidRDefault="00315C6C" w:rsidP="005D28CE">
            <w:pPr>
              <w:jc w:val="center"/>
            </w:pPr>
            <w:r>
              <w:t>0 (0)</w:t>
            </w:r>
          </w:p>
          <w:p w:rsidR="00315C6C" w:rsidRDefault="00315C6C" w:rsidP="005D28CE">
            <w:pPr>
              <w:jc w:val="center"/>
            </w:pPr>
            <w:r>
              <w:t xml:space="preserve">    1 (100)</w:t>
            </w:r>
          </w:p>
          <w:p w:rsidR="00315C6C" w:rsidRDefault="00315C6C" w:rsidP="005D28CE">
            <w:pPr>
              <w:jc w:val="center"/>
            </w:pPr>
            <w:r>
              <w:t>0 (0)</w:t>
            </w:r>
          </w:p>
        </w:tc>
      </w:tr>
      <w:tr w:rsidR="00315C6C" w:rsidTr="005D28CE">
        <w:tc>
          <w:tcPr>
            <w:tcW w:w="949" w:type="pct"/>
            <w:vAlign w:val="center"/>
          </w:tcPr>
          <w:p w:rsidR="00315C6C" w:rsidRDefault="00315C6C" w:rsidP="005D2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TUMOR </w:t>
            </w:r>
            <w:r w:rsidRPr="0047236D">
              <w:rPr>
                <w:b/>
                <w:bCs/>
              </w:rPr>
              <w:t>STAGE</w:t>
            </w:r>
          </w:p>
          <w:p w:rsidR="00315C6C" w:rsidRPr="00DD0A0D" w:rsidRDefault="00315C6C" w:rsidP="005D28CE">
            <w:pPr>
              <w:jc w:val="center"/>
            </w:pPr>
            <w:proofErr w:type="spellStart"/>
            <w:r w:rsidRPr="00DD0A0D">
              <w:t>pTis</w:t>
            </w:r>
            <w:proofErr w:type="spellEnd"/>
          </w:p>
          <w:p w:rsidR="00315C6C" w:rsidRPr="00E22371" w:rsidRDefault="00315C6C" w:rsidP="005D28CE">
            <w:pPr>
              <w:jc w:val="center"/>
            </w:pPr>
            <w:r>
              <w:t>pT1</w:t>
            </w:r>
          </w:p>
          <w:p w:rsidR="00315C6C" w:rsidRPr="00E22371" w:rsidRDefault="00315C6C" w:rsidP="005D28CE">
            <w:pPr>
              <w:jc w:val="center"/>
            </w:pPr>
            <w:r>
              <w:t>pT2</w:t>
            </w:r>
          </w:p>
          <w:p w:rsidR="00315C6C" w:rsidRDefault="00315C6C" w:rsidP="005D28CE">
            <w:pPr>
              <w:jc w:val="center"/>
            </w:pPr>
            <w:r>
              <w:t>pT</w:t>
            </w:r>
            <w:r w:rsidRPr="00E22371">
              <w:t>3</w:t>
            </w:r>
          </w:p>
          <w:p w:rsidR="00315C6C" w:rsidRPr="0047236D" w:rsidRDefault="00315C6C" w:rsidP="005D28CE">
            <w:pPr>
              <w:jc w:val="center"/>
              <w:rPr>
                <w:b/>
                <w:bCs/>
              </w:rPr>
            </w:pPr>
            <w:r>
              <w:t>pT4</w:t>
            </w:r>
          </w:p>
        </w:tc>
        <w:tc>
          <w:tcPr>
            <w:tcW w:w="1363" w:type="pct"/>
            <w:vAlign w:val="center"/>
          </w:tcPr>
          <w:p w:rsidR="00315C6C" w:rsidRDefault="00315C6C" w:rsidP="005D28CE">
            <w:r>
              <w:t xml:space="preserve">                  </w:t>
            </w:r>
          </w:p>
          <w:p w:rsidR="00315C6C" w:rsidRDefault="00315C6C" w:rsidP="005D28CE">
            <w:r>
              <w:t xml:space="preserve">                   0 (0)</w:t>
            </w:r>
          </w:p>
          <w:p w:rsidR="00315C6C" w:rsidRDefault="00315C6C" w:rsidP="005D28CE">
            <w:r>
              <w:t xml:space="preserve">                   1(1.6)</w:t>
            </w:r>
          </w:p>
          <w:p w:rsidR="00315C6C" w:rsidRDefault="00315C6C" w:rsidP="005D28CE">
            <w:pPr>
              <w:jc w:val="center"/>
            </w:pPr>
            <w:r>
              <w:t>2 (3.2)</w:t>
            </w:r>
          </w:p>
          <w:p w:rsidR="00315C6C" w:rsidRDefault="00315C6C" w:rsidP="005D28CE">
            <w:pPr>
              <w:jc w:val="center"/>
            </w:pPr>
            <w:r>
              <w:t>38 (60.3)</w:t>
            </w:r>
          </w:p>
          <w:p w:rsidR="00315C6C" w:rsidRDefault="00315C6C" w:rsidP="005D28CE">
            <w:pPr>
              <w:jc w:val="center"/>
            </w:pPr>
            <w:r>
              <w:t>22 (34.9)</w:t>
            </w:r>
          </w:p>
        </w:tc>
        <w:tc>
          <w:tcPr>
            <w:tcW w:w="1458" w:type="pct"/>
            <w:vAlign w:val="center"/>
          </w:tcPr>
          <w:p w:rsidR="00315C6C" w:rsidRDefault="00315C6C" w:rsidP="005D28CE">
            <w:r>
              <w:t xml:space="preserve">             </w:t>
            </w:r>
          </w:p>
          <w:p w:rsidR="00315C6C" w:rsidRDefault="00315C6C" w:rsidP="005D28CE">
            <w:r>
              <w:t xml:space="preserve">                   5 (62.5)</w:t>
            </w:r>
          </w:p>
          <w:p w:rsidR="00315C6C" w:rsidRDefault="00315C6C" w:rsidP="005D28CE">
            <w:r>
              <w:t xml:space="preserve">                     NA</w:t>
            </w:r>
          </w:p>
          <w:p w:rsidR="00315C6C" w:rsidRDefault="00315C6C" w:rsidP="005D28CE">
            <w:r>
              <w:t xml:space="preserve">                     NA</w:t>
            </w:r>
          </w:p>
          <w:p w:rsidR="00315C6C" w:rsidRDefault="00315C6C" w:rsidP="005D28CE">
            <w:r>
              <w:t xml:space="preserve">                  1 (12.5)</w:t>
            </w:r>
          </w:p>
          <w:p w:rsidR="00315C6C" w:rsidRDefault="00315C6C" w:rsidP="005D28CE">
            <w:r>
              <w:t xml:space="preserve">                  2 (25)</w:t>
            </w:r>
          </w:p>
        </w:tc>
        <w:tc>
          <w:tcPr>
            <w:tcW w:w="1230" w:type="pct"/>
            <w:vAlign w:val="center"/>
          </w:tcPr>
          <w:p w:rsidR="00315C6C" w:rsidRDefault="00315C6C" w:rsidP="005D28CE">
            <w:r>
              <w:t xml:space="preserve">                  </w:t>
            </w:r>
          </w:p>
          <w:p w:rsidR="00315C6C" w:rsidRDefault="00315C6C" w:rsidP="005D28CE">
            <w:r>
              <w:t xml:space="preserve">                 0 (0)</w:t>
            </w:r>
          </w:p>
          <w:p w:rsidR="00315C6C" w:rsidRDefault="00315C6C" w:rsidP="005D28CE">
            <w:pPr>
              <w:jc w:val="center"/>
            </w:pPr>
            <w:r>
              <w:t>0 (0)</w:t>
            </w:r>
          </w:p>
          <w:p w:rsidR="00315C6C" w:rsidRDefault="00315C6C" w:rsidP="005D28CE">
            <w:pPr>
              <w:jc w:val="center"/>
            </w:pPr>
            <w:r>
              <w:t>0 (0)</w:t>
            </w:r>
          </w:p>
          <w:p w:rsidR="00315C6C" w:rsidRDefault="00315C6C" w:rsidP="005D28CE">
            <w:pPr>
              <w:jc w:val="center"/>
            </w:pPr>
            <w:r>
              <w:t>0 (0)</w:t>
            </w:r>
          </w:p>
          <w:p w:rsidR="00315C6C" w:rsidRDefault="00315C6C" w:rsidP="005D28CE">
            <w:pPr>
              <w:jc w:val="center"/>
            </w:pPr>
            <w:r>
              <w:t xml:space="preserve">    1 (100)</w:t>
            </w:r>
          </w:p>
        </w:tc>
      </w:tr>
      <w:tr w:rsidR="00315C6C" w:rsidTr="005D28CE">
        <w:tc>
          <w:tcPr>
            <w:tcW w:w="949" w:type="pct"/>
            <w:vAlign w:val="center"/>
          </w:tcPr>
          <w:p w:rsidR="00315C6C" w:rsidRPr="0047236D" w:rsidRDefault="00315C6C" w:rsidP="005D2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LYMPH NODE METASTASIS</w:t>
            </w:r>
          </w:p>
        </w:tc>
        <w:tc>
          <w:tcPr>
            <w:tcW w:w="1363" w:type="pct"/>
            <w:vAlign w:val="center"/>
          </w:tcPr>
          <w:p w:rsidR="00315C6C" w:rsidRDefault="00315C6C" w:rsidP="005D28CE">
            <w:pPr>
              <w:jc w:val="center"/>
            </w:pPr>
            <w:r>
              <w:t xml:space="preserve"> 38 (60.3)</w:t>
            </w:r>
          </w:p>
        </w:tc>
        <w:tc>
          <w:tcPr>
            <w:tcW w:w="1458" w:type="pct"/>
            <w:vAlign w:val="center"/>
          </w:tcPr>
          <w:p w:rsidR="00315C6C" w:rsidRDefault="00315C6C" w:rsidP="005D28CE">
            <w:pPr>
              <w:jc w:val="center"/>
            </w:pPr>
            <w:r>
              <w:t>NA</w:t>
            </w:r>
          </w:p>
        </w:tc>
        <w:tc>
          <w:tcPr>
            <w:tcW w:w="1230" w:type="pct"/>
            <w:vAlign w:val="center"/>
          </w:tcPr>
          <w:p w:rsidR="00315C6C" w:rsidRDefault="00315C6C" w:rsidP="005D28CE">
            <w:pPr>
              <w:jc w:val="center"/>
            </w:pPr>
            <w:r>
              <w:t>0 (0)</w:t>
            </w:r>
          </w:p>
        </w:tc>
      </w:tr>
      <w:tr w:rsidR="00315C6C" w:rsidTr="005D28CE">
        <w:tc>
          <w:tcPr>
            <w:tcW w:w="949" w:type="pct"/>
            <w:vAlign w:val="center"/>
          </w:tcPr>
          <w:p w:rsidR="00315C6C" w:rsidRPr="0047236D" w:rsidRDefault="00315C6C" w:rsidP="005D28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DISTANT METASTASIS</w:t>
            </w:r>
          </w:p>
        </w:tc>
        <w:tc>
          <w:tcPr>
            <w:tcW w:w="1363" w:type="pct"/>
            <w:vAlign w:val="center"/>
          </w:tcPr>
          <w:p w:rsidR="00315C6C" w:rsidRDefault="00315C6C" w:rsidP="005D28CE">
            <w:pPr>
              <w:jc w:val="center"/>
            </w:pPr>
            <w:r>
              <w:t>6 (9.5)</w:t>
            </w:r>
          </w:p>
        </w:tc>
        <w:tc>
          <w:tcPr>
            <w:tcW w:w="1458" w:type="pct"/>
            <w:vAlign w:val="center"/>
          </w:tcPr>
          <w:p w:rsidR="00315C6C" w:rsidRDefault="00315C6C" w:rsidP="005D28CE">
            <w:pPr>
              <w:jc w:val="center"/>
            </w:pPr>
            <w:r>
              <w:t>NA</w:t>
            </w:r>
          </w:p>
        </w:tc>
        <w:tc>
          <w:tcPr>
            <w:tcW w:w="1230" w:type="pct"/>
            <w:vAlign w:val="center"/>
          </w:tcPr>
          <w:p w:rsidR="00315C6C" w:rsidRDefault="00315C6C" w:rsidP="005D28CE">
            <w:pPr>
              <w:jc w:val="center"/>
            </w:pPr>
            <w:r>
              <w:t>0 (0)</w:t>
            </w:r>
          </w:p>
        </w:tc>
      </w:tr>
      <w:tr w:rsidR="00315C6C" w:rsidTr="005D28CE">
        <w:tc>
          <w:tcPr>
            <w:tcW w:w="949" w:type="pct"/>
            <w:vAlign w:val="center"/>
          </w:tcPr>
          <w:p w:rsidR="00315C6C" w:rsidRPr="0047236D" w:rsidRDefault="00315C6C" w:rsidP="005D28CE">
            <w:pPr>
              <w:jc w:val="center"/>
              <w:rPr>
                <w:b/>
                <w:bCs/>
              </w:rPr>
            </w:pPr>
            <w:r w:rsidRPr="0047236D">
              <w:rPr>
                <w:b/>
                <w:bCs/>
              </w:rPr>
              <w:t xml:space="preserve">TOTAL : </w:t>
            </w:r>
          </w:p>
        </w:tc>
        <w:tc>
          <w:tcPr>
            <w:tcW w:w="1363" w:type="pct"/>
            <w:vAlign w:val="center"/>
          </w:tcPr>
          <w:p w:rsidR="00315C6C" w:rsidRDefault="00315C6C" w:rsidP="005D28CE">
            <w:pPr>
              <w:jc w:val="center"/>
            </w:pPr>
            <w:r>
              <w:t xml:space="preserve">63 </w:t>
            </w:r>
          </w:p>
        </w:tc>
        <w:tc>
          <w:tcPr>
            <w:tcW w:w="1458" w:type="pct"/>
            <w:vAlign w:val="center"/>
          </w:tcPr>
          <w:p w:rsidR="00315C6C" w:rsidRDefault="00315C6C" w:rsidP="005D28CE">
            <w:pPr>
              <w:jc w:val="center"/>
            </w:pPr>
            <w:r>
              <w:t>8</w:t>
            </w:r>
          </w:p>
        </w:tc>
        <w:tc>
          <w:tcPr>
            <w:tcW w:w="1230" w:type="pct"/>
            <w:vAlign w:val="center"/>
          </w:tcPr>
          <w:p w:rsidR="00315C6C" w:rsidRDefault="00315C6C" w:rsidP="005D28CE">
            <w:pPr>
              <w:jc w:val="center"/>
            </w:pPr>
            <w:r>
              <w:t>1</w:t>
            </w:r>
          </w:p>
        </w:tc>
      </w:tr>
    </w:tbl>
    <w:p w:rsidR="00315C6C" w:rsidRPr="00C62119" w:rsidRDefault="00315C6C" w:rsidP="00315C6C">
      <w:pPr>
        <w:rPr>
          <w:rFonts w:ascii="Calibri" w:eastAsia="Calibri" w:hAnsi="Calibri" w:cs="Arial"/>
          <w:lang w:val="en-GB"/>
        </w:rPr>
      </w:pPr>
      <w:r>
        <w:rPr>
          <w:rFonts w:ascii="Calibri" w:eastAsia="Calibri" w:hAnsi="Calibri" w:cs="Arial"/>
          <w:lang w:val="en-GB"/>
        </w:rPr>
        <w:t>NA, not applicable</w:t>
      </w:r>
    </w:p>
    <w:p w:rsidR="00315C6C" w:rsidRPr="00C62119" w:rsidRDefault="00315C6C" w:rsidP="00315C6C">
      <w:pPr>
        <w:rPr>
          <w:lang w:val="en-GB"/>
        </w:rPr>
      </w:pPr>
    </w:p>
    <w:p w:rsidR="00315C6C" w:rsidRPr="001B6294" w:rsidRDefault="00315C6C">
      <w:pPr>
        <w:rPr>
          <w:rFonts w:ascii="Times New Roman" w:hAnsi="Times New Roman" w:cs="Times New Roman"/>
          <w:sz w:val="24"/>
          <w:szCs w:val="24"/>
        </w:rPr>
      </w:pPr>
    </w:p>
    <w:sectPr w:rsidR="00315C6C" w:rsidRPr="001B629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294"/>
    <w:rsid w:val="001B6294"/>
    <w:rsid w:val="00315C6C"/>
    <w:rsid w:val="007852C3"/>
    <w:rsid w:val="00EB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6294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6294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Najla</dc:creator>
  <cp:lastModifiedBy>Najla</cp:lastModifiedBy>
  <cp:revision>2</cp:revision>
  <dcterms:created xsi:type="dcterms:W3CDTF">2019-10-25T08:51:00Z</dcterms:created>
  <dcterms:modified xsi:type="dcterms:W3CDTF">2019-10-25T08:51:00Z</dcterms:modified>
</cp:coreProperties>
</file>