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C3DFD" w14:textId="4085A499" w:rsidR="008A26B4" w:rsidRDefault="00166A1F">
      <w:pPr>
        <w:rPr>
          <w:rFonts w:ascii="Times New Roman" w:hAnsi="Times New Roman" w:cs="Times New Roman"/>
          <w:b/>
          <w:bCs/>
          <w:sz w:val="24"/>
          <w:szCs w:val="32"/>
          <w:lang w:val="en-GB"/>
        </w:rPr>
      </w:pPr>
      <w:r w:rsidRPr="00166A1F">
        <w:rPr>
          <w:rFonts w:ascii="Times New Roman" w:hAnsi="Times New Roman" w:cs="Times New Roman"/>
          <w:b/>
          <w:bCs/>
          <w:sz w:val="24"/>
          <w:szCs w:val="32"/>
          <w:lang w:val="en-GB"/>
        </w:rPr>
        <w:t xml:space="preserve">Additional file </w:t>
      </w:r>
      <w:r w:rsidRPr="00166A1F">
        <w:rPr>
          <w:rFonts w:ascii="Times New Roman" w:hAnsi="Times New Roman" w:cs="Times New Roman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05A24E64" wp14:editId="5E74F151">
            <wp:simplePos x="0" y="0"/>
            <wp:positionH relativeFrom="margin">
              <wp:align>right</wp:align>
            </wp:positionH>
            <wp:positionV relativeFrom="paragraph">
              <wp:posOffset>468775</wp:posOffset>
            </wp:positionV>
            <wp:extent cx="5943600" cy="3006725"/>
            <wp:effectExtent l="0" t="0" r="0" b="3175"/>
            <wp:wrapTopAndBottom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3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A1F">
        <w:rPr>
          <w:rFonts w:ascii="Times New Roman" w:hAnsi="Times New Roman" w:cs="Times New Roman"/>
          <w:b/>
          <w:bCs/>
          <w:sz w:val="24"/>
          <w:szCs w:val="32"/>
          <w:lang w:val="en-GB"/>
        </w:rPr>
        <w:t>4</w:t>
      </w:r>
    </w:p>
    <w:p w14:paraId="62085DD1" w14:textId="76040BC4" w:rsidR="00166A1F" w:rsidRDefault="00166A1F">
      <w:pPr>
        <w:rPr>
          <w:rFonts w:ascii="Times New Roman" w:hAnsi="Times New Roman" w:cs="Times New Roman"/>
          <w:b/>
          <w:bCs/>
          <w:sz w:val="24"/>
          <w:szCs w:val="32"/>
          <w:lang w:val="en-GB"/>
        </w:rPr>
      </w:pPr>
    </w:p>
    <w:p w14:paraId="593AD470" w14:textId="375F87BE" w:rsidR="00166A1F" w:rsidRPr="00166A1F" w:rsidRDefault="00166A1F" w:rsidP="00166A1F">
      <w:pPr>
        <w:spacing w:after="0" w:line="480" w:lineRule="auto"/>
        <w:contextualSpacing/>
        <w:rPr>
          <w:rFonts w:ascii="Times New Roman" w:eastAsia="Times New Roman" w:hAnsi="Times New Roman" w:cs="Angsana New"/>
          <w:sz w:val="24"/>
          <w:lang w:val="en-GB"/>
        </w:rPr>
      </w:pPr>
      <w:r w:rsidRPr="00166A1F">
        <w:rPr>
          <w:rFonts w:ascii="Times New Roman" w:eastAsia="Times New Roman" w:hAnsi="Times New Roman" w:cs="Angsana New"/>
          <w:b/>
          <w:bCs/>
          <w:sz w:val="24"/>
          <w:lang w:val="en-GB"/>
        </w:rPr>
        <w:t>Fig</w:t>
      </w:r>
      <w:r>
        <w:rPr>
          <w:rFonts w:ascii="Times New Roman" w:eastAsia="Times New Roman" w:hAnsi="Times New Roman" w:cs="Angsana New"/>
          <w:b/>
          <w:bCs/>
          <w:sz w:val="24"/>
          <w:lang w:val="en-GB"/>
        </w:rPr>
        <w:t>ure S</w:t>
      </w:r>
      <w:r w:rsidRPr="00166A1F">
        <w:rPr>
          <w:rFonts w:ascii="Times New Roman" w:eastAsia="Times New Roman" w:hAnsi="Times New Roman" w:cs="Angsana New"/>
          <w:b/>
          <w:bCs/>
          <w:sz w:val="24"/>
          <w:lang w:val="en-GB"/>
        </w:rPr>
        <w:t xml:space="preserve">3 </w:t>
      </w:r>
      <w:proofErr w:type="gramStart"/>
      <w:r w:rsidRPr="00166A1F">
        <w:rPr>
          <w:rFonts w:ascii="Times New Roman" w:eastAsia="Times New Roman" w:hAnsi="Times New Roman" w:cs="Angsana New"/>
          <w:b/>
          <w:bCs/>
          <w:sz w:val="24"/>
          <w:lang w:val="en-GB"/>
        </w:rPr>
        <w:t>The</w:t>
      </w:r>
      <w:proofErr w:type="gramEnd"/>
      <w:r w:rsidRPr="00166A1F">
        <w:rPr>
          <w:rFonts w:ascii="Times New Roman" w:eastAsia="Times New Roman" w:hAnsi="Times New Roman" w:cs="Angsana New"/>
          <w:b/>
          <w:bCs/>
          <w:sz w:val="24"/>
          <w:lang w:val="en-GB"/>
        </w:rPr>
        <w:t xml:space="preserve"> expression of CD99 ligands on hematopoietic cells. </w:t>
      </w:r>
      <w:r w:rsidRPr="00166A1F">
        <w:rPr>
          <w:rFonts w:ascii="Times New Roman" w:eastAsia="Times New Roman" w:hAnsi="Times New Roman" w:cs="Angsana New"/>
          <w:sz w:val="24"/>
          <w:lang w:val="en-GB"/>
        </w:rPr>
        <w:t>Cell lines were stained with CD99HIgG or CD147ExHIgG control and a DTSSP cross-linker. Bound recombinant proteins were detected via FITC conjugated rabbit anti-human immunoglobulins antibodies. The overlay histograms of indicated cell types are shown. No protein staining (grey peak), CD147ExHIgG (dotted line) and CD99HIgG (solid line).</w:t>
      </w:r>
    </w:p>
    <w:p w14:paraId="14444D2D" w14:textId="77777777" w:rsidR="00166A1F" w:rsidRPr="00166A1F" w:rsidRDefault="00166A1F">
      <w:pPr>
        <w:rPr>
          <w:rFonts w:ascii="Times New Roman" w:hAnsi="Times New Roman" w:cs="Times New Roman"/>
          <w:sz w:val="24"/>
          <w:szCs w:val="32"/>
          <w:lang w:val="en-GB"/>
        </w:rPr>
      </w:pPr>
    </w:p>
    <w:sectPr w:rsidR="00166A1F" w:rsidRPr="00166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1F"/>
    <w:rsid w:val="00166A1F"/>
    <w:rsid w:val="004D240F"/>
    <w:rsid w:val="008A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520"/>
  <w15:chartTrackingRefBased/>
  <w15:docId w15:val="{9E460350-DFF2-492E-B225-9562AD03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A1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A1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NUCHJIRA TAKHEAW</dc:creator>
  <cp:keywords/>
  <dc:description/>
  <cp:lastModifiedBy>NUCHJIRA TAKHEAW</cp:lastModifiedBy>
  <cp:revision>1</cp:revision>
  <dcterms:created xsi:type="dcterms:W3CDTF">2020-08-02T16:27:00Z</dcterms:created>
  <dcterms:modified xsi:type="dcterms:W3CDTF">2020-08-02T17:59:00Z</dcterms:modified>
</cp:coreProperties>
</file>