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02D" w:rsidRDefault="0073102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</w:p>
    <w:p w:rsidR="0073102D" w:rsidRDefault="0073102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</w:p>
    <w:p w:rsidR="0073102D" w:rsidRDefault="0073102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</w:p>
    <w:p w:rsidR="0073102D" w:rsidRDefault="0073102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</w:p>
    <w:p w:rsidR="0073102D" w:rsidRDefault="0073102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</w:p>
    <w:p w:rsidR="0073102D" w:rsidRDefault="0073102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</w:p>
    <w:p w:rsidR="004553FD" w:rsidRPr="00A03C3C" w:rsidRDefault="004553FD" w:rsidP="004553FD">
      <w:pPr>
        <w:spacing w:after="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</w:pPr>
      <w:r w:rsidRPr="00A03C3C"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  <w:t>Table</w:t>
      </w:r>
      <w:r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  <w:t xml:space="preserve"> S1</w:t>
      </w:r>
      <w:r w:rsidRPr="00A03C3C">
        <w:rPr>
          <w:rFonts w:asciiTheme="majorBidi" w:eastAsia="Calibri" w:hAnsiTheme="majorBidi" w:cstheme="majorBidi"/>
          <w:b/>
          <w:bCs/>
          <w:color w:val="000000" w:themeColor="text1"/>
          <w:sz w:val="22"/>
          <w:szCs w:val="22"/>
        </w:rPr>
        <w:t>: Comparison SOD and GPX levels and the rate of ST-R between the two groups</w:t>
      </w:r>
    </w:p>
    <w:tbl>
      <w:tblPr>
        <w:tblStyle w:val="TableGrid2"/>
        <w:tblpPr w:leftFromText="180" w:rightFromText="180" w:vertAnchor="text" w:horzAnchor="margin" w:tblpY="459"/>
        <w:bidiVisual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61"/>
        <w:gridCol w:w="790"/>
        <w:gridCol w:w="1995"/>
        <w:gridCol w:w="2082"/>
        <w:gridCol w:w="1644"/>
        <w:gridCol w:w="1559"/>
        <w:gridCol w:w="284"/>
        <w:gridCol w:w="709"/>
      </w:tblGrid>
      <w:tr w:rsidR="004553FD" w:rsidRPr="00A03C3C" w:rsidTr="00530254">
        <w:trPr>
          <w:trHeight w:val="422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  <w:t xml:space="preserve">P-value 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  <w:t>III</w:t>
            </w:r>
          </w:p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(STR≥ 70%)</w:t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  <w:t>II</w:t>
            </w:r>
          </w:p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(50%≤ STR&lt; 70%)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I</w:t>
            </w:r>
          </w:p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(STR &lt; 50%)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  <w:lang w:bidi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53FD" w:rsidRPr="00A03C3C" w:rsidRDefault="004553FD" w:rsidP="00530254">
            <w:pPr>
              <w:bidi/>
              <w:spacing w:before="240"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ar-SA"/>
              </w:rPr>
              <w:t>Group</w:t>
            </w:r>
          </w:p>
        </w:tc>
      </w:tr>
      <w:tr w:rsidR="004553FD" w:rsidRPr="00A03C3C" w:rsidTr="00530254">
        <w:tc>
          <w:tcPr>
            <w:tcW w:w="236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0.002*, r=0.81</w:t>
            </w:r>
          </w:p>
        </w:tc>
        <w:tc>
          <w:tcPr>
            <w:tcW w:w="1995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63.02±8.72</w:t>
            </w:r>
          </w:p>
        </w:tc>
        <w:tc>
          <w:tcPr>
            <w:tcW w:w="2082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56.03±10.14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53.08±8.9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GPX(u/g </w:t>
            </w:r>
            <w:proofErr w:type="spellStart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Hb</w:t>
            </w:r>
            <w:proofErr w:type="spellEnd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  <w:t>A</w:t>
            </w:r>
          </w:p>
        </w:tc>
      </w:tr>
      <w:tr w:rsidR="004553FD" w:rsidRPr="00A03C3C" w:rsidTr="00530254">
        <w:tc>
          <w:tcPr>
            <w:tcW w:w="236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0.000*, r=0.72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1582.44±188.25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1451.05±240.11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1236±201.57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SOD(u/g </w:t>
            </w:r>
            <w:proofErr w:type="spellStart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Hb</w:t>
            </w:r>
            <w:proofErr w:type="spellEnd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</w:tr>
      <w:tr w:rsidR="004553FD" w:rsidRPr="00A03C3C" w:rsidTr="00530254">
        <w:trPr>
          <w:trHeight w:val="255"/>
        </w:trPr>
        <w:tc>
          <w:tcPr>
            <w:tcW w:w="236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0.023*, r=0.60</w:t>
            </w:r>
          </w:p>
        </w:tc>
        <w:tc>
          <w:tcPr>
            <w:tcW w:w="1995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63.86±9.76</w:t>
            </w:r>
          </w:p>
        </w:tc>
        <w:tc>
          <w:tcPr>
            <w:tcW w:w="2082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58.5±13.11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55.67±10.5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GPX(u/g </w:t>
            </w:r>
            <w:proofErr w:type="spellStart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Hb</w:t>
            </w:r>
            <w:proofErr w:type="spellEnd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  <w:t>B</w:t>
            </w:r>
          </w:p>
        </w:tc>
      </w:tr>
      <w:tr w:rsidR="004553FD" w:rsidRPr="00A03C3C" w:rsidTr="00530254">
        <w:trPr>
          <w:trHeight w:val="240"/>
        </w:trPr>
        <w:tc>
          <w:tcPr>
            <w:tcW w:w="236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0.871,</w:t>
            </w:r>
          </w:p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 r=0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1523.1±201.70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1565.42±384.64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1534.98±298.37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tabs>
                <w:tab w:val="left" w:pos="2481"/>
              </w:tabs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SOD(u/g </w:t>
            </w:r>
            <w:proofErr w:type="spellStart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Hb</w:t>
            </w:r>
            <w:proofErr w:type="spellEnd"/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53FD" w:rsidRPr="00A03C3C" w:rsidRDefault="004553FD" w:rsidP="00530254">
            <w:pPr>
              <w:bidi/>
              <w:jc w:val="center"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</w:tr>
      <w:tr w:rsidR="004553FD" w:rsidRPr="003015F7" w:rsidTr="00530254">
        <w:trPr>
          <w:trHeight w:val="240"/>
        </w:trPr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4553FD" w:rsidRPr="00A03C3C" w:rsidRDefault="004553FD" w:rsidP="00530254">
            <w:pPr>
              <w:bidi/>
              <w:rPr>
                <w:rFonts w:asciiTheme="majorBidi" w:eastAsia="Calibri" w:hAnsiTheme="majorBidi" w:cstheme="majorBidi"/>
                <w:color w:val="000000" w:themeColor="text1"/>
                <w:szCs w:val="24"/>
                <w:lang w:bidi="ar-SA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4553FD" w:rsidRPr="00A03C3C" w:rsidRDefault="004553FD" w:rsidP="00530254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</w:p>
        </w:tc>
        <w:tc>
          <w:tcPr>
            <w:tcW w:w="9063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E18A4" w:rsidRPr="00903558" w:rsidRDefault="004553FD" w:rsidP="005E18A4">
            <w:pPr>
              <w:spacing w:after="0"/>
              <w:rPr>
                <w:rFonts w:asciiTheme="majorBidi" w:eastAsia="Calibri" w:hAnsiTheme="majorBidi" w:cstheme="majorBidi"/>
                <w:color w:val="000000" w:themeColor="text1"/>
                <w:sz w:val="20"/>
              </w:rPr>
            </w:pP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Abbreviation: SD: standard deviation, TIMI: Thrombolysis in myocardial infarction, STR: ST - Resolution, SOD: superoxide dismutase, GPX: Glutathione Peroxidase, MDA: </w:t>
            </w:r>
            <w:proofErr w:type="spellStart"/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Malondialdehyde</w:t>
            </w:r>
            <w:proofErr w:type="spellEnd"/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, TAC: Total anti-oxidant.  I:  ST-R levels &lt; 50%,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lang w:bidi="ar-SA"/>
              </w:rPr>
              <w:t xml:space="preserve"> 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II: 50%≤ ST-R levels&lt; 70%,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lang w:bidi="ar-SA"/>
              </w:rPr>
              <w:t xml:space="preserve"> 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III: 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lang w:bidi="ar-SA"/>
              </w:rPr>
              <w:t xml:space="preserve"> 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ST-R levels ≥ 70%. Notes: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vertAlign w:val="superscript"/>
                <w:lang w:bidi="ar-SA"/>
              </w:rPr>
              <w:t>*</w:t>
            </w:r>
            <w:r w:rsidRPr="003015F7">
              <w:rPr>
                <w:rFonts w:asciiTheme="majorBidi" w:eastAsia="Calibri" w:hAnsiTheme="majorBidi" w:cstheme="majorBidi"/>
                <w:i/>
                <w:iCs/>
                <w:color w:val="000000" w:themeColor="text1"/>
                <w:sz w:val="20"/>
                <w:szCs w:val="20"/>
                <w:lang w:bidi="ar-SA"/>
              </w:rPr>
              <w:t>p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>&lt;0.05</w:t>
            </w:r>
            <w:r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 is based on</w:t>
            </w:r>
            <w:r w:rsidRPr="003015F7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 in Pearson Correlation</w:t>
            </w:r>
            <w:r w:rsidR="005E18A4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SA"/>
              </w:rPr>
              <w:t xml:space="preserve">. </w:t>
            </w:r>
            <w:r w:rsidR="005E18A4" w:rsidRPr="00903558">
              <w:rPr>
                <w:rFonts w:asciiTheme="majorBidi" w:eastAsia="Calibri" w:hAnsiTheme="majorBidi" w:cstheme="majorBidi"/>
                <w:color w:val="000000" w:themeColor="text1"/>
                <w:sz w:val="20"/>
              </w:rPr>
              <w:t xml:space="preserve"> </w:t>
            </w:r>
            <w:r w:rsidR="005E18A4" w:rsidRPr="00903558">
              <w:rPr>
                <w:rFonts w:asciiTheme="majorBidi" w:eastAsia="Calibri" w:hAnsiTheme="majorBidi" w:cstheme="majorBidi"/>
                <w:color w:val="000000" w:themeColor="text1"/>
                <w:sz w:val="20"/>
              </w:rPr>
              <w:t xml:space="preserve">Group A: </w:t>
            </w:r>
            <w:r w:rsidR="005E18A4" w:rsidRPr="00903558">
              <w:rPr>
                <w:color w:val="000000" w:themeColor="text1"/>
                <w:sz w:val="20"/>
              </w:rPr>
              <w:t>TIMI flow&lt; 2</w:t>
            </w:r>
            <w:r w:rsidR="005E18A4" w:rsidRPr="00903558">
              <w:rPr>
                <w:rFonts w:asciiTheme="majorBidi" w:eastAsia="Calibri" w:hAnsiTheme="majorBidi" w:cstheme="majorBidi"/>
                <w:color w:val="000000" w:themeColor="text1"/>
                <w:sz w:val="20"/>
              </w:rPr>
              <w:t xml:space="preserve">, Group B: </w:t>
            </w:r>
            <w:r w:rsidR="005E18A4" w:rsidRPr="00903558">
              <w:rPr>
                <w:color w:val="000000" w:themeColor="text1"/>
                <w:sz w:val="20"/>
              </w:rPr>
              <w:t>TIMI flow</w:t>
            </w:r>
            <w:r w:rsidR="005E18A4" w:rsidRPr="00903558">
              <w:rPr>
                <w:rFonts w:cs="Times New Roman"/>
                <w:color w:val="000000" w:themeColor="text1"/>
                <w:sz w:val="20"/>
              </w:rPr>
              <w:t>≥</w:t>
            </w:r>
            <w:r w:rsidR="005E18A4" w:rsidRPr="00903558">
              <w:rPr>
                <w:color w:val="000000" w:themeColor="text1"/>
                <w:sz w:val="20"/>
              </w:rPr>
              <w:t>2</w:t>
            </w:r>
          </w:p>
          <w:p w:rsidR="004553FD" w:rsidRPr="003015F7" w:rsidRDefault="004553FD" w:rsidP="00530254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bookmarkStart w:id="0" w:name="_GoBack"/>
            <w:bookmarkEnd w:id="0"/>
          </w:p>
          <w:p w:rsidR="00505F5D" w:rsidRDefault="00505F5D" w:rsidP="00505F5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  <w:p w:rsidR="0073102D" w:rsidRPr="003015F7" w:rsidRDefault="0073102D" w:rsidP="0073102D">
            <w:pPr>
              <w:bidi/>
              <w:jc w:val="right"/>
              <w:rPr>
                <w:rFonts w:asciiTheme="majorBidi" w:eastAsia="Calibri" w:hAnsiTheme="majorBidi" w:cstheme="majorBidi"/>
                <w:color w:val="000000" w:themeColor="text1"/>
                <w:szCs w:val="24"/>
                <w:rtl/>
              </w:rPr>
            </w:pPr>
          </w:p>
        </w:tc>
      </w:tr>
    </w:tbl>
    <w:p w:rsidR="004553FD" w:rsidRPr="00A03C3C" w:rsidRDefault="004553FD" w:rsidP="004553FD">
      <w:pPr>
        <w:rPr>
          <w:rFonts w:asciiTheme="majorBidi" w:hAnsiTheme="majorBidi" w:cstheme="majorBidi"/>
        </w:rPr>
      </w:pPr>
    </w:p>
    <w:p w:rsidR="004553FD" w:rsidRPr="00A03C3C" w:rsidRDefault="004553FD" w:rsidP="004553FD">
      <w:pPr>
        <w:jc w:val="both"/>
        <w:rPr>
          <w:rFonts w:asciiTheme="majorBidi" w:eastAsia="Calibri" w:hAnsiTheme="majorBidi" w:cstheme="majorBidi"/>
          <w:color w:val="000000" w:themeColor="text1"/>
          <w:szCs w:val="24"/>
          <w:lang w:bidi="ar-SA"/>
        </w:rPr>
      </w:pPr>
    </w:p>
    <w:p w:rsidR="004553FD" w:rsidRPr="00A03C3C" w:rsidRDefault="004553FD" w:rsidP="004553FD">
      <w:pPr>
        <w:bidi/>
        <w:spacing w:after="0" w:line="240" w:lineRule="auto"/>
        <w:jc w:val="right"/>
        <w:rPr>
          <w:rFonts w:asciiTheme="majorBidi" w:eastAsia="Calibri" w:hAnsiTheme="majorBidi" w:cstheme="majorBidi"/>
          <w:b/>
          <w:bCs/>
          <w:color w:val="000000" w:themeColor="text1"/>
          <w:szCs w:val="24"/>
          <w:rtl/>
        </w:rPr>
      </w:pPr>
      <w:r w:rsidRPr="00A03C3C">
        <w:rPr>
          <w:rFonts w:asciiTheme="majorBidi" w:eastAsia="Calibri" w:hAnsiTheme="majorBidi" w:cstheme="majorBidi"/>
          <w:b/>
          <w:bCs/>
          <w:color w:val="000000" w:themeColor="text1"/>
          <w:szCs w:val="24"/>
          <w:lang w:bidi="ar-SA"/>
        </w:rPr>
        <w:lastRenderedPageBreak/>
        <w:t>Table</w:t>
      </w:r>
      <w:r>
        <w:rPr>
          <w:rFonts w:asciiTheme="majorBidi" w:eastAsia="Calibri" w:hAnsiTheme="majorBidi" w:cstheme="majorBidi"/>
          <w:b/>
          <w:bCs/>
          <w:color w:val="000000" w:themeColor="text1"/>
          <w:szCs w:val="24"/>
          <w:lang w:bidi="ar-SA"/>
        </w:rPr>
        <w:t xml:space="preserve"> S2</w:t>
      </w:r>
      <w:r w:rsidRPr="00A03C3C">
        <w:rPr>
          <w:rFonts w:asciiTheme="majorBidi" w:eastAsia="Calibri" w:hAnsiTheme="majorBidi" w:cstheme="majorBidi"/>
          <w:b/>
          <w:bCs/>
          <w:color w:val="000000" w:themeColor="text1"/>
          <w:szCs w:val="24"/>
          <w:lang w:bidi="ar-SA"/>
        </w:rPr>
        <w:t>:</w:t>
      </w:r>
      <w:r w:rsidRPr="00A03C3C">
        <w:rPr>
          <w:rFonts w:asciiTheme="majorBidi" w:eastAsia="Calibri" w:hAnsiTheme="majorBidi" w:cstheme="majorBidi"/>
          <w:b/>
          <w:bCs/>
          <w:color w:val="000000" w:themeColor="text1"/>
          <w:szCs w:val="24"/>
        </w:rPr>
        <w:t xml:space="preserve"> Hospital outcomes, complete response to treatment and post PCI TIMI</w:t>
      </w:r>
    </w:p>
    <w:tbl>
      <w:tblPr>
        <w:tblStyle w:val="PlainTable2"/>
        <w:tblpPr w:leftFromText="180" w:rightFromText="180" w:vertAnchor="text" w:horzAnchor="margin" w:tblpXSpec="center" w:tblpY="238"/>
        <w:bidiVisual/>
        <w:tblW w:w="8280" w:type="dxa"/>
        <w:tblLayout w:type="fixed"/>
        <w:tblLook w:val="04A0" w:firstRow="1" w:lastRow="0" w:firstColumn="1" w:lastColumn="0" w:noHBand="0" w:noVBand="1"/>
      </w:tblPr>
      <w:tblGrid>
        <w:gridCol w:w="1776"/>
        <w:gridCol w:w="1484"/>
        <w:gridCol w:w="2265"/>
        <w:gridCol w:w="2755"/>
      </w:tblGrid>
      <w:tr w:rsidR="004553FD" w:rsidRPr="00A03C3C" w:rsidTr="00530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484" w:type="dxa"/>
          </w:tcPr>
          <w:p w:rsidR="004553FD" w:rsidRPr="00A03C3C" w:rsidRDefault="004553FD" w:rsidP="00530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 xml:space="preserve">Group B </w:t>
            </w:r>
          </w:p>
          <w:p w:rsidR="004553FD" w:rsidRPr="00A03C3C" w:rsidRDefault="004553FD" w:rsidP="00530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(n=100)</w:t>
            </w:r>
          </w:p>
        </w:tc>
        <w:tc>
          <w:tcPr>
            <w:tcW w:w="2265" w:type="dxa"/>
          </w:tcPr>
          <w:p w:rsidR="004553FD" w:rsidRPr="00A03C3C" w:rsidRDefault="004553FD" w:rsidP="00530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 xml:space="preserve">Group A </w:t>
            </w:r>
          </w:p>
          <w:p w:rsidR="004553FD" w:rsidRPr="00A03C3C" w:rsidRDefault="004553FD" w:rsidP="00530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(n=100)</w:t>
            </w:r>
          </w:p>
        </w:tc>
        <w:tc>
          <w:tcPr>
            <w:tcW w:w="2755" w:type="dxa"/>
          </w:tcPr>
          <w:p w:rsidR="004553FD" w:rsidRPr="00A03C3C" w:rsidRDefault="004553FD" w:rsidP="00530254">
            <w:pPr>
              <w:tabs>
                <w:tab w:val="left" w:pos="780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  <w:tab/>
            </w: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Variable</w:t>
            </w:r>
          </w:p>
        </w:tc>
      </w:tr>
      <w:tr w:rsidR="004553FD" w:rsidRPr="00A03C3C" w:rsidTr="00530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0.047*</w:t>
            </w:r>
          </w:p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0.155</w:t>
            </w:r>
          </w:p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0.366</w:t>
            </w:r>
          </w:p>
        </w:tc>
        <w:tc>
          <w:tcPr>
            <w:tcW w:w="1484" w:type="dxa"/>
          </w:tcPr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4%</w:t>
            </w: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0%</w:t>
            </w: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10%</w:t>
            </w:r>
          </w:p>
        </w:tc>
        <w:tc>
          <w:tcPr>
            <w:tcW w:w="2265" w:type="dxa"/>
          </w:tcPr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11%</w:t>
            </w: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2%</w:t>
            </w: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12%</w:t>
            </w:r>
          </w:p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755" w:type="dxa"/>
          </w:tcPr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>In Hospital outcome</w:t>
            </w:r>
          </w:p>
          <w:p w:rsidR="004553FD" w:rsidRPr="00A03C3C" w:rsidRDefault="004553FD" w:rsidP="00530254">
            <w:pPr>
              <w:numPr>
                <w:ilvl w:val="0"/>
                <w:numId w:val="1"/>
              </w:numPr>
              <w:spacing w:after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>Heart Failure, n (%)</w:t>
            </w:r>
          </w:p>
          <w:p w:rsidR="004553FD" w:rsidRPr="00A03C3C" w:rsidRDefault="004553FD" w:rsidP="00530254">
            <w:pPr>
              <w:numPr>
                <w:ilvl w:val="0"/>
                <w:numId w:val="2"/>
              </w:numPr>
              <w:spacing w:after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>Death, n (%)</w:t>
            </w:r>
          </w:p>
          <w:p w:rsidR="004553FD" w:rsidRPr="00A03C3C" w:rsidRDefault="004553FD" w:rsidP="00530254">
            <w:pPr>
              <w:numPr>
                <w:ilvl w:val="0"/>
                <w:numId w:val="2"/>
              </w:numPr>
              <w:spacing w:after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>Arrhythmia (Sustained VT/VF), n (%)</w:t>
            </w:r>
          </w:p>
        </w:tc>
      </w:tr>
      <w:tr w:rsidR="004553FD" w:rsidRPr="00A03C3C" w:rsidTr="00530254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0.171</w:t>
            </w:r>
          </w:p>
        </w:tc>
        <w:tc>
          <w:tcPr>
            <w:tcW w:w="1484" w:type="dxa"/>
          </w:tcPr>
          <w:p w:rsidR="004553FD" w:rsidRPr="00A03C3C" w:rsidRDefault="004553FD" w:rsidP="00530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13%</w:t>
            </w:r>
          </w:p>
        </w:tc>
        <w:tc>
          <w:tcPr>
            <w:tcW w:w="2265" w:type="dxa"/>
          </w:tcPr>
          <w:p w:rsidR="004553FD" w:rsidRPr="00A03C3C" w:rsidRDefault="004553FD" w:rsidP="00530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 xml:space="preserve">                  18%</w:t>
            </w:r>
          </w:p>
        </w:tc>
        <w:tc>
          <w:tcPr>
            <w:tcW w:w="2755" w:type="dxa"/>
          </w:tcPr>
          <w:p w:rsidR="004553FD" w:rsidRPr="00A03C3C" w:rsidRDefault="004553FD" w:rsidP="00530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>(HF or arrhythmia)</w:t>
            </w:r>
          </w:p>
          <w:p w:rsidR="004553FD" w:rsidRPr="00A03C3C" w:rsidRDefault="004553FD" w:rsidP="00530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4553FD" w:rsidRPr="00A03C3C" w:rsidTr="00530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0.045*</w:t>
            </w:r>
          </w:p>
        </w:tc>
        <w:tc>
          <w:tcPr>
            <w:tcW w:w="1484" w:type="dxa"/>
          </w:tcPr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14%</w:t>
            </w:r>
          </w:p>
        </w:tc>
        <w:tc>
          <w:tcPr>
            <w:tcW w:w="2265" w:type="dxa"/>
          </w:tcPr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2755" w:type="dxa"/>
          </w:tcPr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 xml:space="preserve">(HF or Death or arrhythmia)  </w:t>
            </w:r>
          </w:p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  <w:t xml:space="preserve">                                              </w:t>
            </w:r>
          </w:p>
        </w:tc>
      </w:tr>
      <w:tr w:rsidR="004553FD" w:rsidRPr="00A03C3C" w:rsidTr="00530254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0.005*</w:t>
            </w:r>
          </w:p>
        </w:tc>
        <w:tc>
          <w:tcPr>
            <w:tcW w:w="1484" w:type="dxa"/>
          </w:tcPr>
          <w:p w:rsidR="004553FD" w:rsidRPr="00A03C3C" w:rsidRDefault="004553FD" w:rsidP="00530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2265" w:type="dxa"/>
          </w:tcPr>
          <w:p w:rsidR="004553FD" w:rsidRPr="00A03C3C" w:rsidRDefault="004553FD" w:rsidP="00530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88%</w:t>
            </w:r>
          </w:p>
        </w:tc>
        <w:tc>
          <w:tcPr>
            <w:tcW w:w="2755" w:type="dxa"/>
          </w:tcPr>
          <w:p w:rsidR="004553FD" w:rsidRPr="00A03C3C" w:rsidRDefault="004553FD" w:rsidP="00530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TIMI3 patency after PCI</w:t>
            </w:r>
          </w:p>
        </w:tc>
      </w:tr>
      <w:tr w:rsidR="004553FD" w:rsidRPr="00A03C3C" w:rsidTr="00530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jc w:val="center"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:rsidR="004553FD" w:rsidRPr="00A03C3C" w:rsidRDefault="004553FD" w:rsidP="00530254">
            <w:pPr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        0.006*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</w:p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 xml:space="preserve">         36%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</w:p>
          <w:p w:rsidR="004553FD" w:rsidRPr="00A03C3C" w:rsidRDefault="004553FD" w:rsidP="00530254">
            <w:pPr>
              <w:tabs>
                <w:tab w:val="left" w:pos="788"/>
                <w:tab w:val="center" w:pos="102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ab/>
              <w:t>17%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Complete ST-segment</w:t>
            </w:r>
          </w:p>
          <w:p w:rsidR="004553FD" w:rsidRPr="00A03C3C" w:rsidRDefault="004553FD" w:rsidP="00530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</w:pPr>
            <w:r w:rsidRPr="00A03C3C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</w:rPr>
              <w:t>resolution (≥70%) at 90min       (post PCI)</w:t>
            </w:r>
          </w:p>
        </w:tc>
      </w:tr>
      <w:tr w:rsidR="004553FD" w:rsidRPr="00BF488D" w:rsidTr="00530254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0" w:type="dxa"/>
            <w:gridSpan w:val="4"/>
            <w:tcBorders>
              <w:top w:val="single" w:sz="4" w:space="0" w:color="auto"/>
              <w:bottom w:val="nil"/>
            </w:tcBorders>
          </w:tcPr>
          <w:p w:rsidR="005E18A4" w:rsidRPr="005E18A4" w:rsidRDefault="004553FD" w:rsidP="005E18A4">
            <w:pPr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F488D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Abbreviation: SD: standard deviation, TIMI :Thrombolysis in myocardial infarction ,PCI: percutaneous coronary intervention, MI :myocardial  infarction, VT: Ventricular Tachycardia, VF: Ventricular Fibrillation</w:t>
            </w:r>
            <w:r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.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Notes: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&lt;0.05 </w:t>
            </w:r>
            <w:r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is based on 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independent samples 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BF488D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-test between two groups</w:t>
            </w:r>
            <w:r w:rsidR="005E18A4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="005E18A4" w:rsidRPr="005E18A4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</w:rPr>
              <w:t xml:space="preserve">Group A: </w:t>
            </w:r>
            <w:r w:rsidR="005E18A4" w:rsidRPr="005E18A4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</w:rPr>
              <w:t>TIMI flow&lt; 2</w:t>
            </w:r>
            <w:r w:rsidR="005E18A4" w:rsidRPr="005E18A4"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</w:rPr>
              <w:t xml:space="preserve">, Group B: </w:t>
            </w:r>
            <w:r w:rsidR="005E18A4" w:rsidRPr="005E18A4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</w:rPr>
              <w:t>TIMI flow≥2</w:t>
            </w:r>
          </w:p>
          <w:p w:rsidR="005E18A4" w:rsidRPr="00BF488D" w:rsidRDefault="005E18A4" w:rsidP="00530254">
            <w:pPr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</w:tbl>
    <w:p w:rsidR="004553FD" w:rsidRDefault="004553FD" w:rsidP="004553FD">
      <w:pPr>
        <w:spacing w:after="200"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0"/>
          <w:szCs w:val="20"/>
        </w:rPr>
      </w:pPr>
      <w:r>
        <w:rPr>
          <w:rFonts w:asciiTheme="majorBidi" w:hAnsiTheme="majorBidi" w:cstheme="majorBidi"/>
        </w:rPr>
        <w:tab/>
      </w:r>
    </w:p>
    <w:p w:rsidR="0089741D" w:rsidRDefault="0089741D" w:rsidP="0089741D">
      <w:pPr>
        <w:rPr>
          <w:rFonts w:asciiTheme="majorBidi" w:hAnsiTheme="majorBidi" w:cstheme="majorBidi"/>
          <w:rtl/>
        </w:rPr>
      </w:pPr>
    </w:p>
    <w:p w:rsidR="00E4199B" w:rsidRPr="00CE157B" w:rsidRDefault="006527AF" w:rsidP="00CE157B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718820</wp:posOffset>
                </wp:positionH>
                <wp:positionV relativeFrom="paragraph">
                  <wp:posOffset>3645535</wp:posOffset>
                </wp:positionV>
                <wp:extent cx="3670300" cy="787400"/>
                <wp:effectExtent l="0" t="0" r="635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7AF" w:rsidRDefault="006527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6.6pt;margin-top:287.05pt;width:289pt;height:6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" fillcolor="white [3201]" stroked="f" strokeweight=".5pt">
                <v:textbox>
                  <w:txbxContent>
                    <w:p w:rsidR="006527AF" w:rsidRDefault="006527AF"/>
                  </w:txbxContent>
                </v:textbox>
              </v:shape>
            </w:pict>
          </mc:Fallback>
        </mc:AlternateContent>
      </w:r>
    </w:p>
    <w:sectPr w:rsidR="00E4199B" w:rsidRPr="00CE157B" w:rsidSect="007C0C93">
      <w:pgSz w:w="11907" w:h="16839" w:code="9"/>
      <w:pgMar w:top="1985" w:right="1985" w:bottom="1418" w:left="1418" w:header="85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40A81"/>
    <w:multiLevelType w:val="hybridMultilevel"/>
    <w:tmpl w:val="6D085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A24AC6"/>
    <w:multiLevelType w:val="hybridMultilevel"/>
    <w:tmpl w:val="998E8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7B"/>
    <w:rsid w:val="001C5D7F"/>
    <w:rsid w:val="00200215"/>
    <w:rsid w:val="0022172C"/>
    <w:rsid w:val="00454111"/>
    <w:rsid w:val="004553FD"/>
    <w:rsid w:val="004A4911"/>
    <w:rsid w:val="00505F5D"/>
    <w:rsid w:val="00550EBE"/>
    <w:rsid w:val="005E18A4"/>
    <w:rsid w:val="006527AF"/>
    <w:rsid w:val="0073102D"/>
    <w:rsid w:val="007C0C93"/>
    <w:rsid w:val="007F3F57"/>
    <w:rsid w:val="007F77FE"/>
    <w:rsid w:val="0089741D"/>
    <w:rsid w:val="00913F34"/>
    <w:rsid w:val="0094073B"/>
    <w:rsid w:val="009E0DBC"/>
    <w:rsid w:val="00AD3357"/>
    <w:rsid w:val="00B121C2"/>
    <w:rsid w:val="00C345E5"/>
    <w:rsid w:val="00CE157B"/>
    <w:rsid w:val="00D96B46"/>
    <w:rsid w:val="00E4199B"/>
    <w:rsid w:val="00EF5D0D"/>
    <w:rsid w:val="00F1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987D41-B817-4D78-A6A8-EC7483AC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color w:val="000000" w:themeColor="text1"/>
        <w:kern w:val="24"/>
        <w:sz w:val="24"/>
        <w:szCs w:val="28"/>
        <w:lang w:val="en-US" w:eastAsia="en-US" w:bidi="ar-SA"/>
      </w:rPr>
    </w:rPrDefault>
    <w:pPrDefault>
      <w:pPr>
        <w:bidi/>
        <w:spacing w:line="360" w:lineRule="auto"/>
        <w:ind w:left="-14"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57B"/>
    <w:pPr>
      <w:bidi w:val="0"/>
      <w:spacing w:after="160"/>
      <w:ind w:left="0" w:firstLine="0"/>
      <w:jc w:val="left"/>
    </w:pPr>
    <w:rPr>
      <w:color w:val="auto"/>
      <w:kern w:val="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89741D"/>
    <w:pPr>
      <w:bidi w:val="0"/>
      <w:spacing w:line="240" w:lineRule="auto"/>
      <w:ind w:left="0" w:firstLine="0"/>
      <w:jc w:val="left"/>
    </w:pPr>
    <w:rPr>
      <w:rFonts w:asciiTheme="minorHAnsi" w:hAnsiTheme="minorHAnsi" w:cstheme="minorBidi"/>
      <w:color w:val="auto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9741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4553FD"/>
    <w:pPr>
      <w:bidi w:val="0"/>
      <w:spacing w:line="240" w:lineRule="auto"/>
      <w:ind w:left="0" w:firstLine="0"/>
      <w:jc w:val="left"/>
    </w:pPr>
    <w:rPr>
      <w:rFonts w:asciiTheme="minorHAnsi" w:hAnsiTheme="minorHAnsi" w:cstheme="minorBidi"/>
      <w:color w:val="auto"/>
      <w:kern w:val="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OliveSoft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2020-08-25T18:20:00Z</dcterms:created>
  <dcterms:modified xsi:type="dcterms:W3CDTF">2020-10-13T18:01:00Z</dcterms:modified>
</cp:coreProperties>
</file>