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216" w:right="0" w:hanging="216"/>
        <w:jc w:val="left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vertAlign w:val="baseline"/>
          <w:rtl w:val="0"/>
          <w:lang w:val="en-US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108" w:right="0" w:hanging="108"/>
        <w:jc w:val="both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vertAlign w:val="baseline"/>
          <w:rtl w:val="0"/>
          <w:lang w:val="en-US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76" w:lineRule="auto"/>
        <w:ind w:left="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</w:pPr>
      <w:r>
        <w:rPr>
          <w:rFonts w:ascii="Times New Roman" w:cs="Calibri" w:hAnsi="Times New Roman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 xml:space="preserve">Table </w:t>
      </w:r>
      <w:r>
        <w:rPr>
          <w:rFonts w:ascii="Times New Roman" w:cs="Calibri" w:hAnsi="Times New Roman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S1</w:t>
      </w:r>
      <w:r>
        <w:rPr>
          <w:rFonts w:ascii="Times New Roman" w:cs="Calibri" w:hAnsi="Times New Roman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 xml:space="preserve">. </w:t>
      </w:r>
      <w:r>
        <w:rPr>
          <w:rFonts w:ascii="Times New Roman" w:cs="Calibri" w:hAnsi="Times New Roman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 xml:space="preserve">The analysis of prognostic factors in all patients with MM (Univariate analysis, Logrank test) </w:t>
      </w:r>
    </w:p>
    <w:tbl>
      <w:tblPr>
        <w:tblW w:w="10512" w:type="dxa"/>
        <w:jc w:val="left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1798"/>
        <w:gridCol w:w="1522"/>
        <w:gridCol w:w="1245"/>
        <w:gridCol w:w="1522"/>
        <w:gridCol w:w="1383"/>
        <w:gridCol w:w="1793"/>
        <w:gridCol w:w="1249"/>
      </w:tblGrid>
      <w:tr>
        <w:tblPrEx>
          <w:shd w:val="clear" w:color="auto" w:fill="d0ddef"/>
        </w:tblPrEx>
        <w:trPr>
          <w:trHeight w:val="767" w:hRule="atLeast"/>
        </w:trPr>
        <w:tc>
          <w:tcPr>
            <w:tcW w:type="dxa" w:w="17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n</w:t>
            </w:r>
          </w:p>
        </w:tc>
        <w:tc>
          <w:tcPr>
            <w:tcW w:type="dxa" w:w="1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240" w:lineRule="auto"/>
              <w:ind w:left="0" w:right="0" w:firstLine="0"/>
              <w:jc w:val="center"/>
              <w:outlineLvl w:val="9"/>
              <w:rPr>
                <w:rFonts w:ascii="Times New Roman" w:cs="Times New Roman" w:hAnsi="Times New Roman" w:eastAsia="Times New Roman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 xml:space="preserve">PFS 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(5-years %)</w:t>
            </w:r>
          </w:p>
        </w:tc>
        <w:tc>
          <w:tcPr>
            <w:tcW w:type="dxa" w:w="13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240" w:lineRule="auto"/>
              <w:ind w:left="0" w:right="0" w:firstLine="0"/>
              <w:jc w:val="center"/>
              <w:outlineLvl w:val="9"/>
              <w:rPr>
                <w:rFonts w:ascii="Times New Roman" w:cs="Times New Roman" w:hAnsi="Times New Roman" w:eastAsia="Times New Roman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da-DK"/>
              </w:rPr>
              <w:t>Log Rank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p</w:t>
            </w:r>
          </w:p>
        </w:tc>
        <w:tc>
          <w:tcPr>
            <w:tcW w:type="dxa" w:w="17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Fonts w:ascii="Times New Roman" w:cs="Times New Roman" w:hAnsi="Times New Roman" w:eastAsia="Times New Roman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OS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(5-years %)</w:t>
            </w:r>
          </w:p>
        </w:tc>
        <w:tc>
          <w:tcPr>
            <w:tcW w:type="dxa" w:w="12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Fonts w:ascii="Times New Roman" w:cs="Times New Roman" w:hAnsi="Times New Roman" w:eastAsia="Times New Roman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 xml:space="preserve">Log Rank 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p</w:t>
            </w:r>
          </w:p>
        </w:tc>
      </w:tr>
      <w:tr>
        <w:tblPrEx>
          <w:shd w:val="clear" w:color="auto" w:fill="d0ddef"/>
        </w:tblPrEx>
        <w:trPr>
          <w:trHeight w:val="310" w:hRule="atLeast"/>
        </w:trPr>
        <w:tc>
          <w:tcPr>
            <w:tcW w:type="dxa" w:w="17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200</w:t>
            </w:r>
          </w:p>
        </w:tc>
        <w:tc>
          <w:tcPr>
            <w:tcW w:type="dxa" w:w="1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43.8</w:t>
            </w:r>
          </w:p>
        </w:tc>
        <w:tc>
          <w:tcPr>
            <w:tcW w:type="dxa" w:w="13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71</w:t>
            </w:r>
          </w:p>
        </w:tc>
        <w:tc>
          <w:tcPr>
            <w:tcW w:type="dxa" w:w="12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567" w:hRule="atLeast"/>
        </w:trPr>
        <w:tc>
          <w:tcPr>
            <w:tcW w:type="dxa" w:w="17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de-DE"/>
              </w:rPr>
              <w:t>Gender</w:t>
            </w:r>
          </w:p>
        </w:tc>
        <w:tc>
          <w:tcPr>
            <w:tcW w:type="dxa" w:w="1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de-DE"/>
              </w:rPr>
              <w:t>Females/Males</w:t>
            </w:r>
          </w:p>
        </w:tc>
        <w:tc>
          <w:tcPr>
            <w:tcW w:type="dxa" w:w="1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91/109</w:t>
            </w:r>
          </w:p>
        </w:tc>
        <w:tc>
          <w:tcPr>
            <w:tcW w:type="dxa" w:w="1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64.3 / 28.3</w:t>
            </w:r>
          </w:p>
        </w:tc>
        <w:tc>
          <w:tcPr>
            <w:tcW w:type="dxa" w:w="13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d0d0d"/>
                <w:spacing w:val="0"/>
                <w:kern w:val="0"/>
                <w:position w:val="0"/>
                <w:sz w:val="20"/>
                <w:szCs w:val="20"/>
                <w:u w:val="none" w:color="0d0d0d"/>
                <w:vertAlign w:val="baseline"/>
                <w:rtl w:val="0"/>
                <w:lang w:val="en-US"/>
              </w:rPr>
              <w:t>0.045</w:t>
            </w:r>
          </w:p>
        </w:tc>
        <w:tc>
          <w:tcPr>
            <w:tcW w:type="dxa" w:w="17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81 / 77.5</w:t>
            </w:r>
          </w:p>
        </w:tc>
        <w:tc>
          <w:tcPr>
            <w:tcW w:type="dxa" w:w="12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d0d0d"/>
                <w:spacing w:val="0"/>
                <w:kern w:val="0"/>
                <w:position w:val="0"/>
                <w:sz w:val="20"/>
                <w:szCs w:val="20"/>
                <w:u w:val="none" w:color="0d0d0d"/>
                <w:vertAlign w:val="baseline"/>
                <w:rtl w:val="0"/>
                <w:lang w:val="en-US"/>
              </w:rPr>
              <w:t>0.027</w:t>
            </w:r>
          </w:p>
        </w:tc>
      </w:tr>
      <w:tr>
        <w:tblPrEx>
          <w:shd w:val="clear" w:color="auto" w:fill="d0ddef"/>
        </w:tblPrEx>
        <w:trPr>
          <w:trHeight w:val="242" w:hRule="atLeast"/>
        </w:trPr>
        <w:tc>
          <w:tcPr>
            <w:tcW w:type="dxa" w:w="17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Age</w:t>
            </w:r>
          </w:p>
        </w:tc>
        <w:tc>
          <w:tcPr>
            <w:tcW w:type="dxa" w:w="1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 xml:space="preserve">&lt;65 / </w:t>
            </w:r>
            <w:r>
              <w:rPr>
                <w:rFonts w:ascii="Times New Roman" w:cs="Calibri" w:hAnsi="Times New Roman" w:eastAsia="Calibri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≥</w:t>
            </w: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65</w:t>
            </w:r>
          </w:p>
        </w:tc>
        <w:tc>
          <w:tcPr>
            <w:tcW w:type="dxa" w:w="1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149/51</w:t>
            </w:r>
          </w:p>
        </w:tc>
        <w:tc>
          <w:tcPr>
            <w:tcW w:type="dxa" w:w="1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52.7 / 21.8</w:t>
            </w:r>
          </w:p>
        </w:tc>
        <w:tc>
          <w:tcPr>
            <w:tcW w:type="dxa" w:w="13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0.133</w:t>
            </w:r>
          </w:p>
        </w:tc>
        <w:tc>
          <w:tcPr>
            <w:tcW w:type="dxa" w:w="17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88 / 42.3</w:t>
            </w:r>
          </w:p>
        </w:tc>
        <w:tc>
          <w:tcPr>
            <w:tcW w:type="dxa" w:w="12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d0d0d"/>
                <w:spacing w:val="0"/>
                <w:kern w:val="0"/>
                <w:position w:val="0"/>
                <w:sz w:val="20"/>
                <w:szCs w:val="20"/>
                <w:u w:val="none" w:color="0d0d0d"/>
                <w:vertAlign w:val="baseline"/>
                <w:rtl w:val="0"/>
                <w:lang w:val="en-US"/>
              </w:rPr>
              <w:t>0.001</w:t>
            </w:r>
          </w:p>
        </w:tc>
      </w:tr>
      <w:tr>
        <w:tblPrEx>
          <w:shd w:val="clear" w:color="auto" w:fill="d0ddef"/>
        </w:tblPrEx>
        <w:trPr>
          <w:trHeight w:val="249" w:hRule="atLeast"/>
        </w:trPr>
        <w:tc>
          <w:tcPr>
            <w:tcW w:type="dxa" w:w="17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da-DK"/>
              </w:rPr>
              <w:t>Stage</w:t>
            </w:r>
          </w:p>
        </w:tc>
        <w:tc>
          <w:tcPr>
            <w:tcW w:type="dxa" w:w="1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II/III</w:t>
            </w:r>
          </w:p>
        </w:tc>
        <w:tc>
          <w:tcPr>
            <w:tcW w:type="dxa" w:w="1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53/117</w:t>
            </w:r>
          </w:p>
        </w:tc>
        <w:tc>
          <w:tcPr>
            <w:tcW w:type="dxa" w:w="1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43.8/24.7</w:t>
            </w:r>
          </w:p>
        </w:tc>
        <w:tc>
          <w:tcPr>
            <w:tcW w:type="dxa" w:w="13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0.514</w:t>
            </w:r>
          </w:p>
        </w:tc>
        <w:tc>
          <w:tcPr>
            <w:tcW w:type="dxa" w:w="17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87.1 / 99.1</w:t>
            </w:r>
          </w:p>
        </w:tc>
        <w:tc>
          <w:tcPr>
            <w:tcW w:type="dxa" w:w="12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0.205</w:t>
            </w:r>
          </w:p>
        </w:tc>
      </w:tr>
      <w:tr>
        <w:tblPrEx>
          <w:shd w:val="clear" w:color="auto" w:fill="d0ddef"/>
        </w:tblPrEx>
        <w:trPr>
          <w:trHeight w:val="310" w:hRule="atLeast"/>
        </w:trPr>
        <w:tc>
          <w:tcPr>
            <w:tcW w:type="dxa" w:w="17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A/B</w:t>
            </w:r>
          </w:p>
        </w:tc>
        <w:tc>
          <w:tcPr>
            <w:tcW w:type="dxa" w:w="1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129/41</w:t>
            </w:r>
          </w:p>
        </w:tc>
        <w:tc>
          <w:tcPr>
            <w:tcW w:type="dxa" w:w="1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72.2/28.5</w:t>
            </w:r>
          </w:p>
        </w:tc>
        <w:tc>
          <w:tcPr>
            <w:tcW w:type="dxa" w:w="13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0.101</w:t>
            </w:r>
          </w:p>
        </w:tc>
        <w:tc>
          <w:tcPr>
            <w:tcW w:type="dxa" w:w="17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99.1 / 82.9</w:t>
            </w:r>
          </w:p>
        </w:tc>
        <w:tc>
          <w:tcPr>
            <w:tcW w:type="dxa" w:w="12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0.061</w:t>
            </w:r>
          </w:p>
        </w:tc>
      </w:tr>
      <w:tr>
        <w:tblPrEx>
          <w:shd w:val="clear" w:color="auto" w:fill="d0ddef"/>
        </w:tblPrEx>
        <w:trPr>
          <w:trHeight w:val="310" w:hRule="atLeast"/>
        </w:trPr>
        <w:tc>
          <w:tcPr>
            <w:tcW w:type="dxa" w:w="17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ISS</w:t>
            </w:r>
          </w:p>
        </w:tc>
        <w:tc>
          <w:tcPr>
            <w:tcW w:type="dxa" w:w="1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I</w:t>
            </w:r>
          </w:p>
        </w:tc>
        <w:tc>
          <w:tcPr>
            <w:tcW w:type="dxa" w:w="1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52</w:t>
            </w:r>
          </w:p>
        </w:tc>
        <w:tc>
          <w:tcPr>
            <w:tcW w:type="dxa" w:w="1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64.3</w:t>
            </w:r>
          </w:p>
        </w:tc>
        <w:tc>
          <w:tcPr>
            <w:tcW w:type="dxa" w:w="13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87</w:t>
            </w:r>
          </w:p>
        </w:tc>
        <w:tc>
          <w:tcPr>
            <w:tcW w:type="dxa" w:w="12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310" w:hRule="atLeast"/>
        </w:trPr>
        <w:tc>
          <w:tcPr>
            <w:tcW w:type="dxa" w:w="17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II</w:t>
            </w:r>
          </w:p>
        </w:tc>
        <w:tc>
          <w:tcPr>
            <w:tcW w:type="dxa" w:w="1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44</w:t>
            </w:r>
          </w:p>
        </w:tc>
        <w:tc>
          <w:tcPr>
            <w:tcW w:type="dxa" w:w="1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39.2</w:t>
            </w:r>
          </w:p>
        </w:tc>
        <w:tc>
          <w:tcPr>
            <w:tcW w:type="dxa" w:w="13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68</w:t>
            </w:r>
          </w:p>
        </w:tc>
        <w:tc>
          <w:tcPr>
            <w:tcW w:type="dxa" w:w="12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310" w:hRule="atLeast"/>
        </w:trPr>
        <w:tc>
          <w:tcPr>
            <w:tcW w:type="dxa" w:w="17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III</w:t>
            </w:r>
          </w:p>
        </w:tc>
        <w:tc>
          <w:tcPr>
            <w:tcW w:type="dxa" w:w="1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75</w:t>
            </w:r>
          </w:p>
        </w:tc>
        <w:tc>
          <w:tcPr>
            <w:tcW w:type="dxa" w:w="1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28.5</w:t>
            </w:r>
          </w:p>
        </w:tc>
        <w:tc>
          <w:tcPr>
            <w:tcW w:type="dxa" w:w="13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0.393</w:t>
            </w:r>
          </w:p>
        </w:tc>
        <w:tc>
          <w:tcPr>
            <w:tcW w:type="dxa" w:w="17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56</w:t>
            </w:r>
          </w:p>
        </w:tc>
        <w:tc>
          <w:tcPr>
            <w:tcW w:type="dxa" w:w="12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d0d0d"/>
                <w:spacing w:val="0"/>
                <w:kern w:val="0"/>
                <w:position w:val="0"/>
                <w:sz w:val="20"/>
                <w:szCs w:val="20"/>
                <w:u w:val="none" w:color="0d0d0d"/>
                <w:vertAlign w:val="baseline"/>
                <w:rtl w:val="0"/>
                <w:lang w:val="en-US"/>
              </w:rPr>
              <w:t>0.009</w:t>
            </w:r>
          </w:p>
        </w:tc>
      </w:tr>
      <w:tr>
        <w:tblPrEx>
          <w:shd w:val="clear" w:color="auto" w:fill="d0ddef"/>
        </w:tblPrEx>
        <w:trPr>
          <w:trHeight w:val="310" w:hRule="atLeast"/>
        </w:trPr>
        <w:tc>
          <w:tcPr>
            <w:tcW w:type="dxa" w:w="17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ISS</w:t>
            </w:r>
          </w:p>
        </w:tc>
        <w:tc>
          <w:tcPr>
            <w:tcW w:type="dxa" w:w="1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I/II</w:t>
            </w:r>
          </w:p>
        </w:tc>
        <w:tc>
          <w:tcPr>
            <w:tcW w:type="dxa" w:w="1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96</w:t>
            </w:r>
          </w:p>
        </w:tc>
        <w:tc>
          <w:tcPr>
            <w:tcW w:type="dxa" w:w="1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47.1</w:t>
            </w:r>
          </w:p>
        </w:tc>
        <w:tc>
          <w:tcPr>
            <w:tcW w:type="dxa" w:w="13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78</w:t>
            </w:r>
          </w:p>
        </w:tc>
        <w:tc>
          <w:tcPr>
            <w:tcW w:type="dxa" w:w="12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310" w:hRule="atLeast"/>
        </w:trPr>
        <w:tc>
          <w:tcPr>
            <w:tcW w:type="dxa" w:w="17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III</w:t>
            </w:r>
          </w:p>
        </w:tc>
        <w:tc>
          <w:tcPr>
            <w:tcW w:type="dxa" w:w="1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75</w:t>
            </w:r>
          </w:p>
        </w:tc>
        <w:tc>
          <w:tcPr>
            <w:tcW w:type="dxa" w:w="1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28.5</w:t>
            </w:r>
          </w:p>
        </w:tc>
        <w:tc>
          <w:tcPr>
            <w:tcW w:type="dxa" w:w="13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0.176</w:t>
            </w:r>
          </w:p>
        </w:tc>
        <w:tc>
          <w:tcPr>
            <w:tcW w:type="dxa" w:w="17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56</w:t>
            </w:r>
          </w:p>
        </w:tc>
        <w:tc>
          <w:tcPr>
            <w:tcW w:type="dxa" w:w="12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d0d0d"/>
                <w:spacing w:val="0"/>
                <w:kern w:val="0"/>
                <w:position w:val="0"/>
                <w:sz w:val="20"/>
                <w:szCs w:val="20"/>
                <w:u w:val="none" w:color="0d0d0d"/>
                <w:vertAlign w:val="baseline"/>
                <w:rtl w:val="0"/>
                <w:lang w:val="en-US"/>
              </w:rPr>
              <w:t>0.003</w:t>
            </w:r>
          </w:p>
        </w:tc>
      </w:tr>
      <w:tr>
        <w:tblPrEx>
          <w:shd w:val="clear" w:color="auto" w:fill="d0ddef"/>
        </w:tblPrEx>
        <w:trPr>
          <w:trHeight w:val="258" w:hRule="atLeast"/>
        </w:trPr>
        <w:tc>
          <w:tcPr>
            <w:tcW w:type="dxa" w:w="17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Ig subtypes</w:t>
            </w:r>
          </w:p>
        </w:tc>
        <w:tc>
          <w:tcPr>
            <w:tcW w:type="dxa" w:w="1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Symbol" w:cs="Calibri" w:hAnsi="Symbol" w:eastAsia="Calibri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k</w:t>
            </w: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/</w:t>
            </w:r>
            <w:r>
              <w:rPr>
                <w:rFonts w:ascii="Symbol" w:cs="Calibri" w:hAnsi="Symbol" w:eastAsia="Calibri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l</w:t>
            </w:r>
          </w:p>
        </w:tc>
        <w:tc>
          <w:tcPr>
            <w:tcW w:type="dxa" w:w="1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110/60</w:t>
            </w:r>
          </w:p>
        </w:tc>
        <w:tc>
          <w:tcPr>
            <w:tcW w:type="dxa" w:w="1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52.7/33.9</w:t>
            </w:r>
          </w:p>
        </w:tc>
        <w:tc>
          <w:tcPr>
            <w:tcW w:type="dxa" w:w="13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0.164</w:t>
            </w:r>
          </w:p>
        </w:tc>
        <w:tc>
          <w:tcPr>
            <w:tcW w:type="dxa" w:w="17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76 / 87.1</w:t>
            </w:r>
          </w:p>
        </w:tc>
        <w:tc>
          <w:tcPr>
            <w:tcW w:type="dxa" w:w="12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d0d0d"/>
                <w:spacing w:val="0"/>
                <w:kern w:val="0"/>
                <w:position w:val="0"/>
                <w:sz w:val="20"/>
                <w:szCs w:val="20"/>
                <w:u w:val="none" w:color="0d0d0d"/>
                <w:vertAlign w:val="baseline"/>
                <w:rtl w:val="0"/>
                <w:lang w:val="en-US"/>
              </w:rPr>
              <w:t>0.025</w:t>
            </w:r>
          </w:p>
        </w:tc>
      </w:tr>
      <w:tr>
        <w:tblPrEx>
          <w:shd w:val="clear" w:color="auto" w:fill="d0ddef"/>
        </w:tblPrEx>
        <w:trPr>
          <w:trHeight w:val="310" w:hRule="atLeast"/>
        </w:trPr>
        <w:tc>
          <w:tcPr>
            <w:tcW w:type="dxa" w:w="17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G</w:t>
            </w:r>
          </w:p>
        </w:tc>
        <w:tc>
          <w:tcPr>
            <w:tcW w:type="dxa" w:w="1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113</w:t>
            </w:r>
          </w:p>
        </w:tc>
        <w:tc>
          <w:tcPr>
            <w:tcW w:type="dxa" w:w="1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39.2</w:t>
            </w:r>
          </w:p>
        </w:tc>
        <w:tc>
          <w:tcPr>
            <w:tcW w:type="dxa" w:w="13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72</w:t>
            </w:r>
          </w:p>
        </w:tc>
        <w:tc>
          <w:tcPr>
            <w:tcW w:type="dxa" w:w="12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310" w:hRule="atLeast"/>
        </w:trPr>
        <w:tc>
          <w:tcPr>
            <w:tcW w:type="dxa" w:w="17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A</w:t>
            </w:r>
          </w:p>
        </w:tc>
        <w:tc>
          <w:tcPr>
            <w:tcW w:type="dxa" w:w="1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28</w:t>
            </w:r>
          </w:p>
        </w:tc>
        <w:tc>
          <w:tcPr>
            <w:tcW w:type="dxa" w:w="1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43.8</w:t>
            </w:r>
          </w:p>
        </w:tc>
        <w:tc>
          <w:tcPr>
            <w:tcW w:type="dxa" w:w="13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54</w:t>
            </w:r>
          </w:p>
        </w:tc>
        <w:tc>
          <w:tcPr>
            <w:tcW w:type="dxa" w:w="12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310" w:hRule="atLeast"/>
        </w:trPr>
        <w:tc>
          <w:tcPr>
            <w:tcW w:type="dxa" w:w="17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Light Chain</w:t>
            </w:r>
          </w:p>
        </w:tc>
        <w:tc>
          <w:tcPr>
            <w:tcW w:type="dxa" w:w="1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29</w:t>
            </w:r>
          </w:p>
        </w:tc>
        <w:tc>
          <w:tcPr>
            <w:tcW w:type="dxa" w:w="1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52.7</w:t>
            </w:r>
          </w:p>
        </w:tc>
        <w:tc>
          <w:tcPr>
            <w:tcW w:type="dxa" w:w="13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0.412</w:t>
            </w:r>
          </w:p>
        </w:tc>
        <w:tc>
          <w:tcPr>
            <w:tcW w:type="dxa" w:w="17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73</w:t>
            </w:r>
          </w:p>
        </w:tc>
        <w:tc>
          <w:tcPr>
            <w:tcW w:type="dxa" w:w="12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0.261</w:t>
            </w:r>
          </w:p>
        </w:tc>
      </w:tr>
      <w:tr>
        <w:tblPrEx>
          <w:shd w:val="clear" w:color="auto" w:fill="d0ddef"/>
        </w:tblPrEx>
        <w:trPr>
          <w:trHeight w:val="242" w:hRule="atLeast"/>
        </w:trPr>
        <w:tc>
          <w:tcPr>
            <w:tcW w:type="dxa" w:w="17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da-DK"/>
              </w:rPr>
              <w:t>ECOG</w:t>
            </w:r>
          </w:p>
        </w:tc>
        <w:tc>
          <w:tcPr>
            <w:tcW w:type="dxa" w:w="1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 xml:space="preserve">≤ </w:t>
            </w: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1 / &gt;1</w:t>
            </w:r>
          </w:p>
        </w:tc>
        <w:tc>
          <w:tcPr>
            <w:tcW w:type="dxa" w:w="1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137/31</w:t>
            </w:r>
          </w:p>
        </w:tc>
        <w:tc>
          <w:tcPr>
            <w:tcW w:type="dxa" w:w="1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44.4 / 17.1</w:t>
            </w:r>
          </w:p>
        </w:tc>
        <w:tc>
          <w:tcPr>
            <w:tcW w:type="dxa" w:w="13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d0d0d"/>
                <w:spacing w:val="0"/>
                <w:kern w:val="0"/>
                <w:position w:val="0"/>
                <w:sz w:val="20"/>
                <w:szCs w:val="20"/>
                <w:u w:val="none" w:color="0d0d0d"/>
                <w:vertAlign w:val="baseline"/>
                <w:rtl w:val="0"/>
                <w:lang w:val="en-US"/>
              </w:rPr>
              <w:t>0.029</w:t>
            </w:r>
          </w:p>
        </w:tc>
        <w:tc>
          <w:tcPr>
            <w:tcW w:type="dxa" w:w="17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74 / 29.4</w:t>
            </w:r>
          </w:p>
        </w:tc>
        <w:tc>
          <w:tcPr>
            <w:tcW w:type="dxa" w:w="12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d0d0d"/>
                <w:spacing w:val="0"/>
                <w:kern w:val="0"/>
                <w:position w:val="0"/>
                <w:sz w:val="20"/>
                <w:szCs w:val="20"/>
                <w:u w:val="none" w:color="0d0d0d"/>
                <w:vertAlign w:val="baseline"/>
                <w:rtl w:val="0"/>
                <w:lang w:val="en-US"/>
              </w:rPr>
              <w:t>0.001</w:t>
            </w:r>
          </w:p>
        </w:tc>
      </w:tr>
      <w:tr>
        <w:tblPrEx>
          <w:shd w:val="clear" w:color="auto" w:fill="d0ddef"/>
        </w:tblPrEx>
        <w:trPr>
          <w:trHeight w:val="242" w:hRule="atLeast"/>
        </w:trPr>
        <w:tc>
          <w:tcPr>
            <w:tcW w:type="dxa" w:w="17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Platelet(x100/l)</w:t>
            </w:r>
          </w:p>
        </w:tc>
        <w:tc>
          <w:tcPr>
            <w:tcW w:type="dxa" w:w="1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 xml:space="preserve">&lt;150 / </w:t>
            </w:r>
            <w:r>
              <w:rPr>
                <w:rFonts w:ascii="Times New Roman" w:cs="Calibri" w:hAnsi="Times New Roman" w:eastAsia="Calibri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≥</w:t>
            </w: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150</w:t>
            </w:r>
          </w:p>
        </w:tc>
        <w:tc>
          <w:tcPr>
            <w:tcW w:type="dxa" w:w="1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18/84</w:t>
            </w:r>
          </w:p>
        </w:tc>
        <w:tc>
          <w:tcPr>
            <w:tcW w:type="dxa" w:w="1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23.5 / 24.4</w:t>
            </w:r>
          </w:p>
        </w:tc>
        <w:tc>
          <w:tcPr>
            <w:tcW w:type="dxa" w:w="13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0.798</w:t>
            </w:r>
          </w:p>
        </w:tc>
        <w:tc>
          <w:tcPr>
            <w:tcW w:type="dxa" w:w="17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59 /77.5</w:t>
            </w:r>
          </w:p>
        </w:tc>
        <w:tc>
          <w:tcPr>
            <w:tcW w:type="dxa" w:w="12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0.324</w:t>
            </w:r>
          </w:p>
        </w:tc>
      </w:tr>
      <w:tr>
        <w:tblPrEx>
          <w:shd w:val="clear" w:color="auto" w:fill="d0ddef"/>
        </w:tblPrEx>
        <w:trPr>
          <w:trHeight w:val="242" w:hRule="atLeast"/>
        </w:trPr>
        <w:tc>
          <w:tcPr>
            <w:tcW w:type="dxa" w:w="17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LDH (IU/l)</w:t>
            </w:r>
          </w:p>
        </w:tc>
        <w:tc>
          <w:tcPr>
            <w:tcW w:type="dxa" w:w="1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 xml:space="preserve">&lt;480 / </w:t>
            </w:r>
            <w:r>
              <w:rPr>
                <w:rFonts w:ascii="Times New Roman" w:cs="Calibri" w:hAnsi="Times New Roman" w:eastAsia="Calibri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≥</w:t>
            </w: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480</w:t>
            </w:r>
          </w:p>
        </w:tc>
        <w:tc>
          <w:tcPr>
            <w:tcW w:type="dxa" w:w="1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157/14</w:t>
            </w:r>
          </w:p>
        </w:tc>
        <w:tc>
          <w:tcPr>
            <w:tcW w:type="dxa" w:w="1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40.4 / 21.8</w:t>
            </w:r>
          </w:p>
        </w:tc>
        <w:tc>
          <w:tcPr>
            <w:tcW w:type="dxa" w:w="13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0.769</w:t>
            </w:r>
          </w:p>
        </w:tc>
        <w:tc>
          <w:tcPr>
            <w:tcW w:type="dxa" w:w="17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69 / 99.1</w:t>
            </w:r>
          </w:p>
        </w:tc>
        <w:tc>
          <w:tcPr>
            <w:tcW w:type="dxa" w:w="12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0.329</w:t>
            </w:r>
          </w:p>
        </w:tc>
      </w:tr>
      <w:tr>
        <w:tblPrEx>
          <w:shd w:val="clear" w:color="auto" w:fill="d0ddef"/>
        </w:tblPrEx>
        <w:trPr>
          <w:trHeight w:val="242" w:hRule="atLeast"/>
        </w:trPr>
        <w:tc>
          <w:tcPr>
            <w:tcW w:type="dxa" w:w="17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CRP (mg/l)</w:t>
            </w:r>
          </w:p>
        </w:tc>
        <w:tc>
          <w:tcPr>
            <w:tcW w:type="dxa" w:w="1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 xml:space="preserve">&lt;5 / </w:t>
            </w:r>
            <w:r>
              <w:rPr>
                <w:rFonts w:ascii="Times New Roman" w:cs="Calibri" w:hAnsi="Times New Roman" w:eastAsia="Calibri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 xml:space="preserve">≥ </w:t>
            </w: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5</w:t>
            </w:r>
          </w:p>
        </w:tc>
        <w:tc>
          <w:tcPr>
            <w:tcW w:type="dxa" w:w="1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69/101</w:t>
            </w:r>
          </w:p>
        </w:tc>
        <w:tc>
          <w:tcPr>
            <w:tcW w:type="dxa" w:w="1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44.4 / 38.5</w:t>
            </w:r>
          </w:p>
        </w:tc>
        <w:tc>
          <w:tcPr>
            <w:tcW w:type="dxa" w:w="13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0.398</w:t>
            </w:r>
          </w:p>
        </w:tc>
        <w:tc>
          <w:tcPr>
            <w:tcW w:type="dxa" w:w="17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78 / 87.1</w:t>
            </w:r>
          </w:p>
        </w:tc>
        <w:tc>
          <w:tcPr>
            <w:tcW w:type="dxa" w:w="12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0.087</w:t>
            </w:r>
          </w:p>
        </w:tc>
      </w:tr>
      <w:tr>
        <w:tblPrEx>
          <w:shd w:val="clear" w:color="auto" w:fill="d0ddef"/>
        </w:tblPrEx>
        <w:trPr>
          <w:trHeight w:val="567" w:hRule="atLeast"/>
        </w:trPr>
        <w:tc>
          <w:tcPr>
            <w:tcW w:type="dxa" w:w="17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First-line tratment</w:t>
            </w:r>
          </w:p>
        </w:tc>
        <w:tc>
          <w:tcPr>
            <w:tcW w:type="dxa" w:w="1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VCd, AHSCT, Rd</w:t>
            </w:r>
          </w:p>
        </w:tc>
        <w:tc>
          <w:tcPr>
            <w:tcW w:type="dxa" w:w="1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156</w:t>
            </w:r>
          </w:p>
        </w:tc>
        <w:tc>
          <w:tcPr>
            <w:tcW w:type="dxa" w:w="1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54.3</w:t>
            </w:r>
          </w:p>
        </w:tc>
        <w:tc>
          <w:tcPr>
            <w:tcW w:type="dxa" w:w="13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79</w:t>
            </w:r>
          </w:p>
        </w:tc>
        <w:tc>
          <w:tcPr>
            <w:tcW w:type="dxa" w:w="12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310" w:hRule="atLeast"/>
        </w:trPr>
        <w:tc>
          <w:tcPr>
            <w:tcW w:type="dxa" w:w="17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VCd, Rd</w:t>
            </w:r>
          </w:p>
        </w:tc>
        <w:tc>
          <w:tcPr>
            <w:tcW w:type="dxa" w:w="1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44</w:t>
            </w:r>
          </w:p>
        </w:tc>
        <w:tc>
          <w:tcPr>
            <w:tcW w:type="dxa" w:w="1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11.4</w:t>
            </w:r>
          </w:p>
        </w:tc>
        <w:tc>
          <w:tcPr>
            <w:tcW w:type="dxa" w:w="13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d0d0d"/>
                <w:spacing w:val="0"/>
                <w:kern w:val="0"/>
                <w:position w:val="0"/>
                <w:sz w:val="20"/>
                <w:szCs w:val="20"/>
                <w:u w:val="none" w:color="0d0d0d"/>
                <w:vertAlign w:val="baseline"/>
                <w:rtl w:val="0"/>
                <w:lang w:val="en-US"/>
              </w:rPr>
              <w:t>0.001</w:t>
            </w:r>
          </w:p>
        </w:tc>
        <w:tc>
          <w:tcPr>
            <w:tcW w:type="dxa" w:w="17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29.4</w:t>
            </w:r>
          </w:p>
        </w:tc>
        <w:tc>
          <w:tcPr>
            <w:tcW w:type="dxa" w:w="12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d0d0d"/>
                <w:spacing w:val="0"/>
                <w:kern w:val="0"/>
                <w:position w:val="0"/>
                <w:sz w:val="20"/>
                <w:szCs w:val="20"/>
                <w:u w:val="none" w:color="0d0d0d"/>
                <w:vertAlign w:val="baseline"/>
                <w:rtl w:val="0"/>
                <w:lang w:val="en-US"/>
              </w:rPr>
              <w:t>0.001</w:t>
            </w:r>
          </w:p>
        </w:tc>
      </w:tr>
      <w:tr>
        <w:tblPrEx>
          <w:shd w:val="clear" w:color="auto" w:fill="d0ddef"/>
        </w:tblPrEx>
        <w:trPr>
          <w:trHeight w:val="242" w:hRule="atLeast"/>
        </w:trPr>
        <w:tc>
          <w:tcPr>
            <w:tcW w:type="dxa" w:w="17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MiR-196a2</w:t>
            </w:r>
          </w:p>
        </w:tc>
        <w:tc>
          <w:tcPr>
            <w:tcW w:type="dxa" w:w="1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CC</w:t>
            </w:r>
          </w:p>
        </w:tc>
        <w:tc>
          <w:tcPr>
            <w:tcW w:type="dxa" w:w="1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79</w:t>
            </w:r>
          </w:p>
        </w:tc>
        <w:tc>
          <w:tcPr>
            <w:tcW w:type="dxa" w:w="1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31.5</w:t>
            </w:r>
          </w:p>
        </w:tc>
        <w:tc>
          <w:tcPr>
            <w:tcW w:type="dxa" w:w="138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Fonts w:ascii="Times New Roman" w:cs="Times New Roman" w:hAnsi="Times New Roman" w:eastAsia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0.274</w:t>
            </w:r>
          </w:p>
        </w:tc>
        <w:tc>
          <w:tcPr>
            <w:tcW w:type="dxa" w:w="17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65</w:t>
            </w:r>
          </w:p>
        </w:tc>
        <w:tc>
          <w:tcPr>
            <w:tcW w:type="dxa" w:w="1249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Fonts w:ascii="Times New Roman" w:cs="Times New Roman" w:hAnsi="Times New Roman" w:eastAsia="Times New Roman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d0d0d"/>
                <w:spacing w:val="0"/>
                <w:kern w:val="0"/>
                <w:position w:val="0"/>
                <w:sz w:val="20"/>
                <w:szCs w:val="20"/>
                <w:u w:val="none" w:color="0d0d0d"/>
                <w:vertAlign w:val="baseline"/>
                <w:rtl w:val="0"/>
                <w:lang w:val="en-U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d0d0d"/>
                <w:spacing w:val="0"/>
                <w:kern w:val="0"/>
                <w:position w:val="0"/>
                <w:sz w:val="20"/>
                <w:szCs w:val="20"/>
                <w:u w:val="none" w:color="0d0d0d"/>
                <w:vertAlign w:val="baseline"/>
                <w:rtl w:val="0"/>
                <w:lang w:val="en-US"/>
              </w:rPr>
              <w:t>0.022</w:t>
            </w:r>
          </w:p>
        </w:tc>
      </w:tr>
      <w:tr>
        <w:tblPrEx>
          <w:shd w:val="clear" w:color="auto" w:fill="d0ddef"/>
        </w:tblPrEx>
        <w:trPr>
          <w:trHeight w:val="310" w:hRule="atLeast"/>
        </w:trPr>
        <w:tc>
          <w:tcPr>
            <w:tcW w:type="dxa" w:w="17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CT</w:t>
            </w:r>
          </w:p>
        </w:tc>
        <w:tc>
          <w:tcPr>
            <w:tcW w:type="dxa" w:w="1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91</w:t>
            </w:r>
          </w:p>
        </w:tc>
        <w:tc>
          <w:tcPr>
            <w:tcW w:type="dxa" w:w="1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67.1</w:t>
            </w:r>
          </w:p>
        </w:tc>
        <w:tc>
          <w:tcPr>
            <w:tcW w:type="dxa" w:w="138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7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72</w:t>
            </w:r>
          </w:p>
        </w:tc>
        <w:tc>
          <w:tcPr>
            <w:tcW w:type="dxa" w:w="1249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d0ddef"/>
        </w:tblPrEx>
        <w:trPr>
          <w:trHeight w:val="310" w:hRule="atLeast"/>
        </w:trPr>
        <w:tc>
          <w:tcPr>
            <w:tcW w:type="dxa" w:w="17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TT</w:t>
            </w:r>
          </w:p>
        </w:tc>
        <w:tc>
          <w:tcPr>
            <w:tcW w:type="dxa" w:w="1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30</w:t>
            </w:r>
          </w:p>
        </w:tc>
        <w:tc>
          <w:tcPr>
            <w:tcW w:type="dxa" w:w="1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27.4</w:t>
            </w:r>
          </w:p>
        </w:tc>
        <w:tc>
          <w:tcPr>
            <w:tcW w:type="dxa" w:w="138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7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82</w:t>
            </w:r>
          </w:p>
        </w:tc>
        <w:tc>
          <w:tcPr>
            <w:tcW w:type="dxa" w:w="1249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d0ddef"/>
        </w:tblPrEx>
        <w:trPr>
          <w:trHeight w:val="242" w:hRule="atLeast"/>
        </w:trPr>
        <w:tc>
          <w:tcPr>
            <w:tcW w:type="dxa" w:w="17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MiR-196a2</w:t>
            </w:r>
          </w:p>
        </w:tc>
        <w:tc>
          <w:tcPr>
            <w:tcW w:type="dxa" w:w="1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CC</w:t>
            </w:r>
          </w:p>
        </w:tc>
        <w:tc>
          <w:tcPr>
            <w:tcW w:type="dxa" w:w="1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79</w:t>
            </w:r>
          </w:p>
        </w:tc>
        <w:tc>
          <w:tcPr>
            <w:tcW w:type="dxa" w:w="1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31.5</w:t>
            </w:r>
          </w:p>
        </w:tc>
        <w:tc>
          <w:tcPr>
            <w:tcW w:type="dxa" w:w="138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Fonts w:ascii="Times New Roman" w:cs="Times New Roman" w:hAnsi="Times New Roman" w:eastAsia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0.098</w:t>
            </w:r>
          </w:p>
        </w:tc>
        <w:tc>
          <w:tcPr>
            <w:tcW w:type="dxa" w:w="17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65</w:t>
            </w:r>
          </w:p>
        </w:tc>
        <w:tc>
          <w:tcPr>
            <w:tcW w:type="dxa" w:w="1249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Fonts w:ascii="Times New Roman" w:cs="Times New Roman" w:hAnsi="Times New Roman" w:eastAsia="Times New Roman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d0d0d"/>
                <w:spacing w:val="0"/>
                <w:kern w:val="0"/>
                <w:position w:val="0"/>
                <w:sz w:val="20"/>
                <w:szCs w:val="20"/>
                <w:u w:val="none" w:color="0d0d0d"/>
                <w:vertAlign w:val="baseline"/>
                <w:rtl w:val="0"/>
                <w:lang w:val="en-U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d0d0d"/>
                <w:spacing w:val="0"/>
                <w:kern w:val="0"/>
                <w:position w:val="0"/>
                <w:sz w:val="20"/>
                <w:szCs w:val="20"/>
                <w:u w:val="none" w:color="0d0d0d"/>
                <w:vertAlign w:val="baseline"/>
                <w:rtl w:val="0"/>
                <w:lang w:val="en-US"/>
              </w:rPr>
              <w:t>0.008</w:t>
            </w:r>
          </w:p>
        </w:tc>
      </w:tr>
      <w:tr>
        <w:tblPrEx>
          <w:shd w:val="clear" w:color="auto" w:fill="d0ddef"/>
        </w:tblPrEx>
        <w:trPr>
          <w:trHeight w:val="310" w:hRule="atLeast"/>
        </w:trPr>
        <w:tc>
          <w:tcPr>
            <w:tcW w:type="dxa" w:w="17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CT/TT</w:t>
            </w:r>
          </w:p>
        </w:tc>
        <w:tc>
          <w:tcPr>
            <w:tcW w:type="dxa" w:w="1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121</w:t>
            </w:r>
          </w:p>
        </w:tc>
        <w:tc>
          <w:tcPr>
            <w:tcW w:type="dxa" w:w="1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67.1</w:t>
            </w:r>
          </w:p>
        </w:tc>
        <w:tc>
          <w:tcPr>
            <w:tcW w:type="dxa" w:w="138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7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75</w:t>
            </w:r>
          </w:p>
        </w:tc>
        <w:tc>
          <w:tcPr>
            <w:tcW w:type="dxa" w:w="1249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d0ddef"/>
        </w:tblPrEx>
        <w:trPr>
          <w:trHeight w:val="1238" w:hRule="atLeast"/>
        </w:trPr>
        <w:tc>
          <w:tcPr>
            <w:tcW w:type="dxa" w:w="10512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 w:val="0"/>
              <w:bidi w:val="0"/>
              <w:spacing w:before="0" w:after="200" w:line="276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 xml:space="preserve">*Median (month), </w:t>
            </w: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d0d0d"/>
                <w:spacing w:val="0"/>
                <w:kern w:val="0"/>
                <w:position w:val="0"/>
                <w:sz w:val="20"/>
                <w:szCs w:val="20"/>
                <w:u w:val="none" w:color="0d0d0d"/>
                <w:vertAlign w:val="baseline"/>
                <w:rtl w:val="0"/>
                <w:lang w:val="it-IT"/>
              </w:rPr>
              <w:t xml:space="preserve">VCd: Bortezomib, </w:t>
            </w: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d0d0d"/>
                <w:spacing w:val="0"/>
                <w:kern w:val="0"/>
                <w:position w:val="0"/>
                <w:sz w:val="20"/>
                <w:szCs w:val="20"/>
                <w:u w:val="none" w:color="0d0d0d"/>
                <w:shd w:val="clear" w:color="auto" w:fill="ffffff"/>
                <w:vertAlign w:val="baseline"/>
                <w:rtl w:val="0"/>
                <w:lang w:val="en-US"/>
              </w:rPr>
              <w:t>Cyclophosphamide</w:t>
            </w: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d0d0d"/>
                <w:spacing w:val="0"/>
                <w:kern w:val="0"/>
                <w:position w:val="0"/>
                <w:sz w:val="20"/>
                <w:szCs w:val="20"/>
                <w:u w:val="none" w:color="0d0d0d"/>
                <w:vertAlign w:val="baseline"/>
                <w:rtl w:val="0"/>
                <w:lang w:val="en-US"/>
              </w:rPr>
              <w:t>, dexamethasone</w:t>
            </w: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 xml:space="preserve">; </w:t>
            </w: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d0d0d"/>
                <w:spacing w:val="0"/>
                <w:kern w:val="0"/>
                <w:position w:val="0"/>
                <w:sz w:val="20"/>
                <w:szCs w:val="20"/>
                <w:u w:val="none" w:color="0d0d0d"/>
                <w:vertAlign w:val="baseline"/>
                <w:rtl w:val="0"/>
                <w:lang w:val="en-US"/>
              </w:rPr>
              <w:t>Rd: Lenolidomide, dexamethasone</w:t>
            </w: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 xml:space="preserve">; </w:t>
            </w: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d0d0d"/>
                <w:spacing w:val="0"/>
                <w:kern w:val="0"/>
                <w:position w:val="0"/>
                <w:sz w:val="20"/>
                <w:szCs w:val="20"/>
                <w:u w:val="none" w:color="0d0d0d"/>
                <w:vertAlign w:val="baseline"/>
                <w:rtl w:val="0"/>
                <w:lang w:val="en-US"/>
              </w:rPr>
              <w:t xml:space="preserve">AHSCT: </w:t>
            </w: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>autologous  hematopoeticstem cell transplantation</w:t>
            </w: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d0d0d"/>
                <w:spacing w:val="0"/>
                <w:kern w:val="0"/>
                <w:position w:val="0"/>
                <w:sz w:val="20"/>
                <w:szCs w:val="20"/>
                <w:u w:val="none" w:color="0d0d0d"/>
                <w:vertAlign w:val="baseline"/>
                <w:rtl w:val="0"/>
                <w:lang w:val="it-IT"/>
              </w:rPr>
              <w:t>; ECOG: performance scores</w:t>
            </w: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de-DE"/>
              </w:rPr>
              <w:t xml:space="preserve">; Ig: Immunglobulin; </w:t>
            </w: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d0d0d"/>
                <w:spacing w:val="0"/>
                <w:kern w:val="0"/>
                <w:position w:val="0"/>
                <w:sz w:val="20"/>
                <w:szCs w:val="20"/>
                <w:u w:val="none" w:color="0d0d0d"/>
                <w:vertAlign w:val="baseline"/>
                <w:rtl w:val="0"/>
                <w:lang w:val="de-DE"/>
              </w:rPr>
              <w:t xml:space="preserve">LDH: </w:t>
            </w:r>
            <w:r>
              <w:rPr>
                <w:rFonts w:ascii="Times New Roman" w:cs="Calibri" w:hAnsi="Times New Roman" w:eastAsia="Calibri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d0d0d"/>
                <w:spacing w:val="0"/>
                <w:kern w:val="0"/>
                <w:position w:val="0"/>
                <w:sz w:val="20"/>
                <w:szCs w:val="20"/>
                <w:u w:val="none" w:color="0d0d0d"/>
                <w:shd w:val="clear" w:color="auto" w:fill="ffffff"/>
                <w:vertAlign w:val="baseline"/>
                <w:rtl w:val="0"/>
                <w:lang w:val="en-US"/>
              </w:rPr>
              <w:t>Lactate dehydrogenase</w:t>
            </w: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 xml:space="preserve">; </w:t>
            </w: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d0d0d"/>
                <w:spacing w:val="0"/>
                <w:kern w:val="0"/>
                <w:position w:val="0"/>
                <w:sz w:val="20"/>
                <w:szCs w:val="20"/>
                <w:u w:val="none" w:color="0d0d0d"/>
                <w:vertAlign w:val="baseline"/>
                <w:rtl w:val="0"/>
                <w:lang w:val="en-US"/>
              </w:rPr>
              <w:t>ISS: internationale stage system; Stage: Durie Salmon; OS: overall survival*median; PFS: Progression free survival .</w:t>
            </w: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en-US"/>
              </w:rPr>
              <w:t xml:space="preserve"> The statistically significant results are shown in boldface.</w:t>
            </w:r>
          </w:p>
        </w:tc>
      </w:tr>
    </w:tbl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216" w:right="0" w:hanging="216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108" w:right="0" w:hanging="108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108" w:right="0" w:hanging="108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108" w:right="0" w:hanging="108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108" w:right="0" w:hanging="108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108" w:right="0" w:hanging="108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108" w:right="0" w:hanging="108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108" w:right="0" w:hanging="108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108" w:right="0" w:hanging="108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108" w:right="0" w:hanging="108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108" w:right="0" w:hanging="108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108" w:right="0" w:hanging="108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108" w:right="0" w:hanging="108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108" w:right="0" w:hanging="108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108" w:right="0" w:hanging="108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108" w:right="0" w:hanging="108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108" w:right="0" w:hanging="108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108" w:right="0" w:hanging="108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108" w:right="0" w:hanging="108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108" w:right="0" w:hanging="108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108" w:right="0" w:hanging="108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108" w:right="0" w:hanging="108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108" w:right="0" w:hanging="108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108" w:right="0" w:hanging="108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108" w:right="0" w:hanging="108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108" w:right="0" w:hanging="108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108" w:right="0" w:hanging="108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108" w:right="0" w:hanging="108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108" w:right="0" w:hanging="108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108" w:right="0" w:hanging="108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108" w:right="0" w:hanging="108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108" w:right="0" w:hanging="108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108" w:right="0" w:hanging="108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108" w:right="0" w:hanging="108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108" w:right="0" w:hanging="108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108" w:right="0" w:hanging="108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108" w:right="0" w:hanging="108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108" w:right="0" w:hanging="108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108" w:right="0" w:hanging="108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108" w:right="0" w:hanging="108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108" w:right="0" w:hanging="108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108" w:right="0" w:hanging="108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108" w:right="0" w:hanging="108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200" w:line="240" w:lineRule="auto"/>
        <w:ind w:left="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</w:pPr>
      <w:r>
        <w:rPr>
          <w:rFonts w:ascii="Times New Roman" w:cs="Calibri" w:hAnsi="Times New Roman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 xml:space="preserve">Table </w:t>
      </w:r>
      <w:r>
        <w:rPr>
          <w:rFonts w:ascii="Times New Roman" w:cs="Calibri" w:hAnsi="Times New Roman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>S2</w:t>
      </w:r>
      <w:r>
        <w:rPr>
          <w:rFonts w:ascii="Times New Roman" w:cs="Calibri" w:hAnsi="Times New Roman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 xml:space="preserve">. </w:t>
      </w:r>
      <w:r>
        <w:rPr>
          <w:rFonts w:ascii="Times New Roman" w:cs="Calibri" w:hAnsi="Times New Roman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  <w:t xml:space="preserve">Prognostic factors of MM patients (Cox proportional hazard model backward ,Multivariate analysis). </w:t>
      </w:r>
    </w:p>
    <w:tbl>
      <w:tblPr>
        <w:tblW w:w="10235" w:type="dxa"/>
        <w:jc w:val="left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2761"/>
        <w:gridCol w:w="1521"/>
        <w:gridCol w:w="1462"/>
        <w:gridCol w:w="890"/>
        <w:gridCol w:w="1388"/>
        <w:gridCol w:w="1382"/>
        <w:gridCol w:w="831"/>
      </w:tblGrid>
      <w:tr>
        <w:tblPrEx>
          <w:shd w:val="clear" w:color="auto" w:fill="d0ddef"/>
        </w:tblPrEx>
        <w:trPr>
          <w:trHeight w:val="310" w:hRule="atLeast"/>
        </w:trPr>
        <w:tc>
          <w:tcPr>
            <w:tcW w:type="dxa" w:w="27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OS</w:t>
            </w:r>
          </w:p>
        </w:tc>
        <w:tc>
          <w:tcPr>
            <w:tcW w:type="dxa" w:w="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PFS</w:t>
            </w:r>
          </w:p>
        </w:tc>
        <w:tc>
          <w:tcPr>
            <w:tcW w:type="dxa" w:w="8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1171" w:hRule="atLeast"/>
        </w:trPr>
        <w:tc>
          <w:tcPr>
            <w:tcW w:type="dxa" w:w="27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Fonts w:ascii="Times New Roman" w:cs="Times New Roman" w:hAnsi="Times New Roman" w:eastAsia="Times New Roman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Exp (B)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Relative risk</w:t>
            </w:r>
          </w:p>
        </w:tc>
        <w:tc>
          <w:tcPr>
            <w:tcW w:type="dxa" w:w="14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%95 CI</w:t>
            </w:r>
          </w:p>
        </w:tc>
        <w:tc>
          <w:tcPr>
            <w:tcW w:type="dxa" w:w="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p</w:t>
            </w:r>
          </w:p>
        </w:tc>
        <w:tc>
          <w:tcPr>
            <w:tcW w:type="dxa" w:w="13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Fonts w:ascii="Times New Roman" w:cs="Times New Roman" w:hAnsi="Times New Roman" w:eastAsia="Times New Roman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Exp (B)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Relative risk</w:t>
            </w:r>
          </w:p>
        </w:tc>
        <w:tc>
          <w:tcPr>
            <w:tcW w:type="dxa" w:w="13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%95 CI</w:t>
            </w:r>
          </w:p>
        </w:tc>
        <w:tc>
          <w:tcPr>
            <w:tcW w:type="dxa" w:w="8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P</w:t>
            </w:r>
          </w:p>
        </w:tc>
      </w:tr>
      <w:tr>
        <w:tblPrEx>
          <w:shd w:val="clear" w:color="auto" w:fill="d0ddef"/>
        </w:tblPrEx>
        <w:trPr>
          <w:trHeight w:val="616" w:hRule="atLeast"/>
        </w:trPr>
        <w:tc>
          <w:tcPr>
            <w:tcW w:type="dxa" w:w="27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  <w:tab w:val="left" w:pos="2124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da-DK"/>
              </w:rPr>
              <w:t>ECOG</w:t>
            </w:r>
            <w:r>
              <w:rPr>
                <w:rFonts w:ascii="Times New Roman" w:cs="Calibri" w:hAnsi="Times New Roman" w:eastAsia="Calibri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 xml:space="preserve">≤ </w:t>
            </w:r>
            <w:r>
              <w:rPr>
                <w:rFonts w:ascii="Times New Roman" w:cs="Calibri" w:hAnsi="Times New Roman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1 / &gt;1</w:t>
            </w:r>
          </w:p>
        </w:tc>
        <w:tc>
          <w:tcPr>
            <w:tcW w:type="dxa" w:w="15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0.385</w:t>
            </w:r>
          </w:p>
        </w:tc>
        <w:tc>
          <w:tcPr>
            <w:tcW w:type="dxa" w:w="14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0.178-0.835</w:t>
            </w:r>
          </w:p>
        </w:tc>
        <w:tc>
          <w:tcPr>
            <w:tcW w:type="dxa" w:w="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0.016</w:t>
            </w:r>
          </w:p>
        </w:tc>
        <w:tc>
          <w:tcPr>
            <w:tcW w:type="dxa" w:w="13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0.810</w:t>
            </w:r>
          </w:p>
        </w:tc>
        <w:tc>
          <w:tcPr>
            <w:tcW w:type="dxa" w:w="13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0.440-1.492</w:t>
            </w:r>
          </w:p>
        </w:tc>
        <w:tc>
          <w:tcPr>
            <w:tcW w:type="dxa" w:w="8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0.500</w:t>
            </w:r>
          </w:p>
        </w:tc>
      </w:tr>
      <w:tr>
        <w:tblPrEx>
          <w:shd w:val="clear" w:color="auto" w:fill="d0ddef"/>
        </w:tblPrEx>
        <w:trPr>
          <w:trHeight w:val="816" w:hRule="atLeast"/>
        </w:trPr>
        <w:tc>
          <w:tcPr>
            <w:tcW w:type="dxa" w:w="27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  <w:tab w:val="left" w:pos="2124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left"/>
              <w:outlineLvl w:val="9"/>
              <w:rPr>
                <w:rFonts w:ascii="Times New Roman" w:cs="Times New Roman" w:hAnsi="Times New Roman" w:eastAsia="Times New Roman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MiR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 xml:space="preserve">-196a2 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  <w:tab w:val="left" w:pos="2124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CC / CT-TT</w:t>
            </w:r>
          </w:p>
        </w:tc>
        <w:tc>
          <w:tcPr>
            <w:tcW w:type="dxa" w:w="15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0.541</w:t>
            </w:r>
          </w:p>
        </w:tc>
        <w:tc>
          <w:tcPr>
            <w:tcW w:type="dxa" w:w="14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0.281-0.973</w:t>
            </w:r>
          </w:p>
        </w:tc>
        <w:tc>
          <w:tcPr>
            <w:tcW w:type="dxa" w:w="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0.041</w:t>
            </w:r>
          </w:p>
        </w:tc>
        <w:tc>
          <w:tcPr>
            <w:tcW w:type="dxa" w:w="13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0.825</w:t>
            </w:r>
          </w:p>
        </w:tc>
        <w:tc>
          <w:tcPr>
            <w:tcW w:type="dxa" w:w="13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0.527-1.292</w:t>
            </w:r>
          </w:p>
        </w:tc>
        <w:tc>
          <w:tcPr>
            <w:tcW w:type="dxa" w:w="8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0.401</w:t>
            </w:r>
          </w:p>
        </w:tc>
      </w:tr>
      <w:tr>
        <w:tblPrEx>
          <w:shd w:val="clear" w:color="auto" w:fill="d0ddef"/>
        </w:tblPrEx>
        <w:trPr>
          <w:trHeight w:val="816" w:hRule="atLeast"/>
        </w:trPr>
        <w:tc>
          <w:tcPr>
            <w:tcW w:type="dxa" w:w="27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  <w:tab w:val="left" w:pos="2124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left"/>
              <w:outlineLvl w:val="9"/>
              <w:rPr>
                <w:rFonts w:ascii="Times New Roman" w:cs="Times New Roman" w:hAnsi="Times New Roman" w:eastAsia="Times New Roman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 xml:space="preserve">First Line Tratment 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  <w:tab w:val="left" w:pos="2124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 xml:space="preserve">  ASCT  +/-</w:t>
            </w:r>
          </w:p>
        </w:tc>
        <w:tc>
          <w:tcPr>
            <w:tcW w:type="dxa" w:w="15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0.541</w:t>
            </w:r>
          </w:p>
        </w:tc>
        <w:tc>
          <w:tcPr>
            <w:tcW w:type="dxa" w:w="14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0.251-1.167</w:t>
            </w:r>
          </w:p>
        </w:tc>
        <w:tc>
          <w:tcPr>
            <w:tcW w:type="dxa" w:w="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0.117</w:t>
            </w:r>
          </w:p>
        </w:tc>
        <w:tc>
          <w:tcPr>
            <w:tcW w:type="dxa" w:w="13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0.414</w:t>
            </w:r>
          </w:p>
        </w:tc>
        <w:tc>
          <w:tcPr>
            <w:tcW w:type="dxa" w:w="13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0.250-0.687</w:t>
            </w:r>
          </w:p>
        </w:tc>
        <w:tc>
          <w:tcPr>
            <w:tcW w:type="dxa" w:w="8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0.001</w:t>
            </w:r>
          </w:p>
        </w:tc>
      </w:tr>
      <w:tr>
        <w:tblPrEx>
          <w:shd w:val="clear" w:color="auto" w:fill="d0ddef"/>
        </w:tblPrEx>
        <w:trPr>
          <w:trHeight w:val="616" w:hRule="atLeast"/>
        </w:trPr>
        <w:tc>
          <w:tcPr>
            <w:tcW w:type="dxa" w:w="27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  <w:tab w:val="left" w:pos="2124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Gender (Females/Males)</w:t>
            </w:r>
          </w:p>
        </w:tc>
        <w:tc>
          <w:tcPr>
            <w:tcW w:type="dxa" w:w="15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0.682</w:t>
            </w:r>
          </w:p>
        </w:tc>
        <w:tc>
          <w:tcPr>
            <w:tcW w:type="dxa" w:w="14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0.351-1.325</w:t>
            </w:r>
          </w:p>
        </w:tc>
        <w:tc>
          <w:tcPr>
            <w:tcW w:type="dxa" w:w="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0.259</w:t>
            </w:r>
          </w:p>
        </w:tc>
        <w:tc>
          <w:tcPr>
            <w:tcW w:type="dxa" w:w="13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0.664</w:t>
            </w:r>
          </w:p>
        </w:tc>
        <w:tc>
          <w:tcPr>
            <w:tcW w:type="dxa" w:w="13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0.420-1.049</w:t>
            </w:r>
          </w:p>
        </w:tc>
        <w:tc>
          <w:tcPr>
            <w:tcW w:type="dxa" w:w="8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0.079</w:t>
            </w:r>
          </w:p>
        </w:tc>
      </w:tr>
      <w:tr>
        <w:tblPrEx>
          <w:shd w:val="clear" w:color="auto" w:fill="d0ddef"/>
        </w:tblPrEx>
        <w:trPr>
          <w:trHeight w:val="310" w:hRule="atLeast"/>
        </w:trPr>
        <w:tc>
          <w:tcPr>
            <w:tcW w:type="dxa" w:w="27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  <w:tab w:val="left" w:pos="2124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ISS I/II-III</w:t>
            </w:r>
          </w:p>
        </w:tc>
        <w:tc>
          <w:tcPr>
            <w:tcW w:type="dxa" w:w="15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0.515</w:t>
            </w:r>
          </w:p>
        </w:tc>
        <w:tc>
          <w:tcPr>
            <w:tcW w:type="dxa" w:w="14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0.265-1.003</w:t>
            </w:r>
          </w:p>
        </w:tc>
        <w:tc>
          <w:tcPr>
            <w:tcW w:type="dxa" w:w="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0.045</w:t>
            </w:r>
          </w:p>
        </w:tc>
        <w:tc>
          <w:tcPr>
            <w:tcW w:type="dxa" w:w="13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310" w:hRule="atLeast"/>
        </w:trPr>
        <w:tc>
          <w:tcPr>
            <w:tcW w:type="dxa" w:w="27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  <w:tab w:val="left" w:pos="2124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DS Stage A/B</w:t>
            </w:r>
          </w:p>
        </w:tc>
        <w:tc>
          <w:tcPr>
            <w:tcW w:type="dxa" w:w="15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1.707</w:t>
            </w:r>
          </w:p>
        </w:tc>
        <w:tc>
          <w:tcPr>
            <w:tcW w:type="dxa" w:w="14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0.779-3.736</w:t>
            </w:r>
          </w:p>
        </w:tc>
        <w:tc>
          <w:tcPr>
            <w:tcW w:type="dxa" w:w="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0.182</w:t>
            </w:r>
          </w:p>
        </w:tc>
        <w:tc>
          <w:tcPr>
            <w:tcW w:type="dxa" w:w="13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310" w:hRule="atLeast"/>
        </w:trPr>
        <w:tc>
          <w:tcPr>
            <w:tcW w:type="dxa" w:w="27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  <w:tab w:val="left" w:pos="2124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 xml:space="preserve">Age&lt;65 / </w:t>
            </w:r>
            <w:r>
              <w:rPr>
                <w:rFonts w:ascii="Times New Roman" w:cs="Calibri" w:hAnsi="Times New Roman" w:eastAsia="Calibri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≥</w:t>
            </w:r>
            <w:r>
              <w:rPr>
                <w:rFonts w:ascii="Times New Roman" w:cs="Calibri" w:hAnsi="Times New Roman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65</w:t>
            </w:r>
          </w:p>
        </w:tc>
        <w:tc>
          <w:tcPr>
            <w:tcW w:type="dxa" w:w="15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0.714</w:t>
            </w:r>
          </w:p>
        </w:tc>
        <w:tc>
          <w:tcPr>
            <w:tcW w:type="dxa" w:w="14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0.351-1.452</w:t>
            </w:r>
          </w:p>
        </w:tc>
        <w:tc>
          <w:tcPr>
            <w:tcW w:type="dxa" w:w="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0.353</w:t>
            </w:r>
          </w:p>
        </w:tc>
        <w:tc>
          <w:tcPr>
            <w:tcW w:type="dxa" w:w="13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310" w:hRule="atLeast"/>
        </w:trPr>
        <w:tc>
          <w:tcPr>
            <w:tcW w:type="dxa" w:w="27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  <w:tab w:val="left" w:pos="2124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 xml:space="preserve">CRP &lt;5 / </w:t>
            </w:r>
            <w:r>
              <w:rPr>
                <w:rFonts w:ascii="Times New Roman" w:cs="Calibri" w:hAnsi="Times New Roman" w:eastAsia="Calibri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 xml:space="preserve">≥ </w:t>
            </w:r>
            <w:r>
              <w:rPr>
                <w:rFonts w:ascii="Times New Roman" w:cs="Calibri" w:hAnsi="Times New Roman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5</w:t>
            </w:r>
          </w:p>
        </w:tc>
        <w:tc>
          <w:tcPr>
            <w:tcW w:type="dxa" w:w="15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0.643</w:t>
            </w:r>
          </w:p>
        </w:tc>
        <w:tc>
          <w:tcPr>
            <w:tcW w:type="dxa" w:w="14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  <w:tab w:val="left" w:pos="1416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0.320-1.293</w:t>
            </w:r>
          </w:p>
        </w:tc>
        <w:tc>
          <w:tcPr>
            <w:tcW w:type="dxa" w:w="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08"/>
              </w:tabs>
              <w:suppressAutoHyphens w:val="0"/>
              <w:bidi w:val="0"/>
              <w:spacing w:before="0" w:after="200" w:line="36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0.216</w:t>
            </w:r>
          </w:p>
        </w:tc>
        <w:tc>
          <w:tcPr>
            <w:tcW w:type="dxa" w:w="13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1559" w:hRule="atLeast"/>
        </w:trPr>
        <w:tc>
          <w:tcPr>
            <w:tcW w:type="dxa" w:w="10235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 w:val="0"/>
              <w:bidi w:val="0"/>
              <w:spacing w:before="0" w:after="200" w:line="276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OS: overall survival; ECOG: performance scores; ISS: International staging system; PFS: progression-free survival; AHSCT: autologous  hematopoetic stem cell transplantation; CRP: C-reactive protein; DS: Durie-Salmon staging; The statistically significant results are shown in boldface.</w:t>
            </w:r>
          </w:p>
        </w:tc>
      </w:tr>
    </w:tbl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200" w:line="240" w:lineRule="auto"/>
        <w:ind w:left="216" w:right="0" w:hanging="216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200" w:line="240" w:lineRule="auto"/>
        <w:ind w:left="108" w:right="0" w:hanging="108"/>
        <w:jc w:val="left"/>
        <w:outlineLvl w:val="9"/>
        <w:rPr>
          <w:rtl w:val="0"/>
        </w:rPr>
      </w:pPr>
      <w: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  <w:lang w:val="en-US"/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Türkçe" w:val="‘“(〔[{〈《「『【⦅〘〖«〝︵︷︹︻︽︿﹁﹃﹇﹙﹛﹝｢"/>
  <w:noLineBreaksBefore w:lang="Türkçe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