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75B1E" w14:textId="0D6071FA" w:rsidR="00B61150" w:rsidRDefault="00B61150">
      <w:pPr>
        <w:rPr>
          <w:rFonts w:ascii="Arial" w:hAnsi="Arial" w:cs="Arial"/>
          <w:b/>
        </w:rPr>
      </w:pPr>
      <w:r w:rsidRPr="00B61150">
        <w:rPr>
          <w:rFonts w:ascii="Arial" w:hAnsi="Arial" w:cs="Arial"/>
          <w:b/>
        </w:rPr>
        <w:t>Supplementary Methods</w:t>
      </w:r>
    </w:p>
    <w:p w14:paraId="2CF9F919" w14:textId="77777777" w:rsidR="00524166" w:rsidRPr="00033E8D" w:rsidRDefault="00524166" w:rsidP="00524166">
      <w:pPr>
        <w:rPr>
          <w:rFonts w:ascii="Arial" w:hAnsi="Arial" w:cs="Arial"/>
          <w:i/>
        </w:rPr>
      </w:pPr>
      <w:r w:rsidRPr="00033E8D">
        <w:rPr>
          <w:rFonts w:ascii="Arial" w:hAnsi="Arial" w:cs="Arial"/>
          <w:i/>
        </w:rPr>
        <w:t>Data</w:t>
      </w:r>
    </w:p>
    <w:p w14:paraId="0CD610FF" w14:textId="1F7431F4" w:rsidR="00524166" w:rsidRDefault="00524166" w:rsidP="00524166">
      <w:pPr>
        <w:rPr>
          <w:rFonts w:ascii="Arial" w:hAnsi="Arial" w:cs="Arial"/>
        </w:rPr>
      </w:pPr>
      <w:r>
        <w:rPr>
          <w:rFonts w:ascii="Arial" w:hAnsi="Arial" w:cs="Arial"/>
        </w:rPr>
        <w:t xml:space="preserve">The DAISY dataset includes 687 total arrays for 256 unique subjects on the 450K, and 475 total arrays for 178 unique subjects on the EPIC. For quality control, these included replicates of </w:t>
      </w:r>
      <w:r w:rsidRPr="003C243D">
        <w:rPr>
          <w:rFonts w:ascii="Arial" w:hAnsi="Arial" w:cs="Arial"/>
        </w:rPr>
        <w:t xml:space="preserve">12 </w:t>
      </w:r>
      <w:r w:rsidRPr="00FB3A3E">
        <w:rPr>
          <w:rFonts w:ascii="Arial" w:hAnsi="Arial" w:cs="Arial"/>
        </w:rPr>
        <w:t>samples</w:t>
      </w:r>
      <w:r w:rsidRPr="00804F23">
        <w:rPr>
          <w:rFonts w:ascii="Arial" w:hAnsi="Arial" w:cs="Arial"/>
        </w:rPr>
        <w:t xml:space="preserve"> across platforms and </w:t>
      </w:r>
      <w:r>
        <w:rPr>
          <w:rFonts w:ascii="Arial" w:hAnsi="Arial" w:cs="Arial"/>
        </w:rPr>
        <w:t xml:space="preserve">replicates of </w:t>
      </w:r>
      <w:r w:rsidRPr="00804F23">
        <w:rPr>
          <w:rFonts w:ascii="Arial" w:hAnsi="Arial" w:cs="Arial"/>
        </w:rPr>
        <w:t xml:space="preserve">32 </w:t>
      </w:r>
      <w:r>
        <w:rPr>
          <w:rFonts w:ascii="Arial" w:hAnsi="Arial" w:cs="Arial"/>
        </w:rPr>
        <w:t>samples</w:t>
      </w:r>
      <w:r w:rsidRPr="00804F23">
        <w:rPr>
          <w:rFonts w:ascii="Arial" w:hAnsi="Arial" w:cs="Arial"/>
        </w:rPr>
        <w:t xml:space="preserve"> within the 450K platform</w:t>
      </w:r>
      <w:r>
        <w:rPr>
          <w:rFonts w:ascii="Arial" w:hAnsi="Arial" w:cs="Arial"/>
        </w:rPr>
        <w:t xml:space="preserve"> </w:t>
      </w:r>
      <w:r>
        <w:rPr>
          <w:rFonts w:ascii="Arial" w:hAnsi="Arial" w:cs="Arial"/>
        </w:rPr>
        <w:fldChar w:fldCharType="begin"/>
      </w:r>
      <w:r w:rsidR="00CC1AA7">
        <w:rPr>
          <w:rFonts w:ascii="Arial" w:hAnsi="Arial" w:cs="Arial"/>
        </w:rPr>
        <w:instrText xml:space="preserve"> ADDIN ZOTERO_ITEM CSL_CITATION {"citationID":"HFFxp4bm","properties":{"formattedCitation":"(Johnson et al., 2020)","plainCitation":"(Johnson et al., 2020)","noteIndex":0},"citationItems":[{"id":1,"uris":["http://zotero.org/users/6108095/items/XS68HL6M"],"uri":["http://zotero.org/users/6108095/items/XS68HL6M"],"itemData":{"id":1,"type":"article-journal","abstract":"DNA methylation may be involved in development of type 1 diabetes (T1D), but previous epigenome-wide association studies were conducted among cases with clinically diagnosed diabetes. Using multiple pre-disease peripheral blood samples on the Illumina 450 K and EPIC platforms, we investigated longitudinal methylation differences between 87 T1D cases and 87 controls from the prospective Diabetes Autoimmunity Study in the Young (DAISY) cohort. Change in methylation with age differed between cases and controls in 10 regions. Average longitudinal methylation differed between cases and controls at two genomic positions and 28 regions. Some methylation differences were detectable and consistent as early as birth, including before and after the onset of preclinical islet autoimmunity. Results map to transcription factors, other protein coding genes, and non-coding regions of the genome with regulatory potential. The identification of methylation differences that predate islet autoimmunity and clinical diagnosis may suggest a role for epigenetics in T1D pathogenesis; however, functional validation is warranted.","container-title":"Scientific Reports","DOI":"10.1038/s41598-020-60758-0","ISSN":"2045-2322","journalAbbreviation":"Sci Rep","note":"PMID: 32111940\nPMCID: PMC7048736","source":"PubMed Central","title":"Longitudinal DNA methylation differences precede type 1 diabetes","URL":"https://www.ncbi.nlm.nih.gov/pmc/articles/PMC7048736/","volume":"10","author":[{"family":"Johnson","given":"Randi K."},{"family":"Vanderlinden","given":"Lauren A."},{"family":"Dong","given":"Fran"},{"family":"Carry","given":"Patrick M."},{"family":"Seifert","given":"Jennifer"},{"family":"Waugh","given":"Kathleen"},{"family":"Shorrosh","given":"Hanan"},{"family":"Fingerlin","given":"Tasha"},{"family":"Frohnert","given":"Brigitte I."},{"family":"Yang","given":"Ivana V."},{"family":"Kechris","given":"Katerina"},{"family":"Rewers","given":"Marian"},{"family":"Norris","given":"Jill M."}],"accessed":{"date-parts":[["2020",3,11]]},"issued":{"date-parts":[["2020",2,28]]}}}],"schema":"https://github.com/citation-style-language/schema/raw/master/csl-citation.json"} </w:instrText>
      </w:r>
      <w:r>
        <w:rPr>
          <w:rFonts w:ascii="Arial" w:hAnsi="Arial" w:cs="Arial"/>
        </w:rPr>
        <w:fldChar w:fldCharType="separate"/>
      </w:r>
      <w:r w:rsidR="00CC1AA7" w:rsidRPr="00CC1AA7">
        <w:rPr>
          <w:rFonts w:ascii="Arial" w:hAnsi="Arial" w:cs="Arial"/>
        </w:rPr>
        <w:t>(Johnson et al., 2020)</w:t>
      </w:r>
      <w:r>
        <w:rPr>
          <w:rFonts w:ascii="Arial" w:hAnsi="Arial" w:cs="Arial"/>
        </w:rPr>
        <w:fldChar w:fldCharType="end"/>
      </w:r>
      <w:r>
        <w:rPr>
          <w:rFonts w:ascii="Arial" w:hAnsi="Arial" w:cs="Arial"/>
        </w:rPr>
        <w:t>. These data were generated to answer numerous scientific hypotheses using a combination of outcomes and time points. Accordingly, the DNA methylation pre-processing and QC steps were conducted on the full set of samples to produce a final dataset for use in all subsequent analyses.</w:t>
      </w:r>
    </w:p>
    <w:p w14:paraId="0B56C31B" w14:textId="77777777" w:rsidR="00524166" w:rsidRPr="00033E8D" w:rsidRDefault="00524166" w:rsidP="00524166">
      <w:pPr>
        <w:rPr>
          <w:rFonts w:ascii="Arial" w:hAnsi="Arial" w:cs="Arial"/>
          <w:i/>
        </w:rPr>
      </w:pPr>
      <w:r w:rsidRPr="00033E8D">
        <w:rPr>
          <w:rFonts w:ascii="Arial" w:hAnsi="Arial" w:cs="Arial"/>
          <w:i/>
        </w:rPr>
        <w:t>Batch Effects</w:t>
      </w:r>
    </w:p>
    <w:p w14:paraId="1A87ACB1" w14:textId="77777777" w:rsidR="00524166" w:rsidRDefault="00524166" w:rsidP="00524166">
      <w:pPr>
        <w:rPr>
          <w:rFonts w:ascii="Arial" w:hAnsi="Arial" w:cs="Arial"/>
        </w:rPr>
      </w:pPr>
      <w:r>
        <w:rPr>
          <w:rFonts w:ascii="Arial" w:hAnsi="Arial" w:cs="Arial"/>
        </w:rPr>
        <w:t xml:space="preserve">We considered batch effect as the plate and row position combination.  In total there were 15 </w:t>
      </w:r>
      <w:r w:rsidRPr="00290EA2">
        <w:rPr>
          <w:rFonts w:ascii="Arial" w:hAnsi="Arial" w:cs="Arial"/>
        </w:rPr>
        <w:t>plates (nine</w:t>
      </w:r>
      <w:r>
        <w:rPr>
          <w:rFonts w:ascii="Arial" w:hAnsi="Arial" w:cs="Arial"/>
        </w:rPr>
        <w:t xml:space="preserve"> on the 450K and six on the EPIC).  By Illumina’s design, 450K has six different row position possibilities, while the EPIC has eight.  We included row position as part of the batch effect due to previous studies finding positional effects </w:t>
      </w:r>
      <w:r>
        <w:rPr>
          <w:rFonts w:ascii="Arial" w:hAnsi="Arial" w:cs="Arial"/>
        </w:rPr>
        <w:fldChar w:fldCharType="begin"/>
      </w:r>
      <w:r>
        <w:rPr>
          <w:rFonts w:ascii="Arial" w:hAnsi="Arial" w:cs="Arial"/>
        </w:rPr>
        <w:instrText xml:space="preserve"> ADDIN ZOTERO_ITEM CSL_CITATION {"citationID":"6aARcyuC","properties":{"formattedCitation":"(Jiao et al., 2018)","plainCitation":"(Jiao et al., 2018)","noteIndex":0},"citationItems":[{"id":32,"uris":["http://zotero.org/users/6108095/items/M48HXFIR"],"uri":["http://zotero.org/users/6108095/items/M48HXFIR"],"itemData":{"id":32,"type":"article-journal","abstract":"AIM: We aimed to prove the existence of positional effects in the Illumina methylation beadchip data and to find an optimal correction method.\nMATERIALS &amp; METHODS: Three HumanMethylation450, three HumanMethylation27 datasets and two EPIC datasets were analyzed. ComBat, linear regression, functional normalization and single-sample Noob were used for minimizing positional effects. The corrected results were evaluated by four methods.\nRESULTS: We detected 52,988 CpG loci significantly associated with sample positions, 112 remained after ComBat correction in the primary dataset. The pre- and postcorrection comparisons indicate the positional effects could alter the measured methylation values and downstream analysis results.\nCONCLUSION: Positional effects exist in the Illumina methylation array and may bias the analyses. Using ComBat to correct positional effects is recommended.","container-title":"Epigenomics","DOI":"10.2217/epi-2017-0105","ISSN":"1750-192X","issue":"5","journalAbbreviation":"Epigenomics","language":"eng","note":"PMID: 29469594\nPMCID: PMC6021926","page":"643-659","source":"PubMed","title":"Positional effects revealed in Illumina methylation array and the impact on analysis","volume":"10","author":[{"family":"Jiao","given":"Chuan"},{"family":"Zhang","given":"Chunling"},{"family":"Dai","given":"Rujia"},{"family":"Xia","given":"Yan"},{"family":"Wang","given":"Kangli"},{"family":"Giase","given":"Gina"},{"family":"Chen","given":"Chao"},{"family":"Liu","given":"Chunyu"}],"issued":{"date-parts":[["2018"]]}}}],"schema":"https://github.com/citation-style-language/schema/raw/master/csl-citation.json"} </w:instrText>
      </w:r>
      <w:r>
        <w:rPr>
          <w:rFonts w:ascii="Arial" w:hAnsi="Arial" w:cs="Arial"/>
        </w:rPr>
        <w:fldChar w:fldCharType="separate"/>
      </w:r>
      <w:r w:rsidRPr="00627E63">
        <w:rPr>
          <w:rFonts w:ascii="Arial" w:hAnsi="Arial" w:cs="Arial"/>
        </w:rPr>
        <w:t>(Jiao et al., 2018)</w:t>
      </w:r>
      <w:r>
        <w:rPr>
          <w:rFonts w:ascii="Arial" w:hAnsi="Arial" w:cs="Arial"/>
        </w:rPr>
        <w:fldChar w:fldCharType="end"/>
      </w:r>
      <w:r>
        <w:rPr>
          <w:rFonts w:ascii="Arial" w:hAnsi="Arial" w:cs="Arial"/>
        </w:rPr>
        <w:t>.</w:t>
      </w:r>
    </w:p>
    <w:p w14:paraId="7F3F6D0E" w14:textId="77777777" w:rsidR="00B61150" w:rsidRPr="00B61150" w:rsidRDefault="00B61150">
      <w:pPr>
        <w:rPr>
          <w:rFonts w:ascii="Arial" w:hAnsi="Arial" w:cs="Arial"/>
          <w:i/>
        </w:rPr>
      </w:pPr>
      <w:r w:rsidRPr="005563D5">
        <w:rPr>
          <w:rFonts w:ascii="Arial" w:hAnsi="Arial" w:cs="Arial"/>
          <w:i/>
        </w:rPr>
        <w:t>Normalization</w:t>
      </w:r>
      <w:r>
        <w:rPr>
          <w:rFonts w:ascii="Arial" w:hAnsi="Arial" w:cs="Arial"/>
          <w:i/>
        </w:rPr>
        <w:t xml:space="preserve"> and Probe-level QC</w:t>
      </w:r>
    </w:p>
    <w:p w14:paraId="3F47A626" w14:textId="2A006D24" w:rsidR="00B61150" w:rsidRDefault="00B61150">
      <w:pPr>
        <w:rPr>
          <w:rFonts w:ascii="Arial" w:hAnsi="Arial" w:cs="Arial"/>
        </w:rPr>
      </w:pPr>
      <w:r>
        <w:rPr>
          <w:rFonts w:ascii="Arial" w:hAnsi="Arial" w:cs="Arial"/>
        </w:rPr>
        <w:t xml:space="preserve">The specific combination of Noob normalization and </w:t>
      </w:r>
      <w:proofErr w:type="spellStart"/>
      <w:r>
        <w:rPr>
          <w:rFonts w:ascii="Arial" w:hAnsi="Arial" w:cs="Arial"/>
        </w:rPr>
        <w:t>pooBAH</w:t>
      </w:r>
      <w:proofErr w:type="spellEnd"/>
      <w:r>
        <w:rPr>
          <w:rFonts w:ascii="Arial" w:hAnsi="Arial" w:cs="Arial"/>
        </w:rPr>
        <w:t xml:space="preserve"> probe QC </w:t>
      </w:r>
      <w:r w:rsidRPr="002A53F4">
        <w:rPr>
          <w:rFonts w:ascii="Arial" w:hAnsi="Arial" w:cs="Arial"/>
        </w:rPr>
        <w:t xml:space="preserve">filtering will be referred to as </w:t>
      </w:r>
      <w:proofErr w:type="spellStart"/>
      <w:r w:rsidRPr="002A53F4">
        <w:rPr>
          <w:rFonts w:ascii="Arial" w:hAnsi="Arial" w:cs="Arial"/>
        </w:rPr>
        <w:t>SeSAMe</w:t>
      </w:r>
      <w:proofErr w:type="spellEnd"/>
      <w:r w:rsidRPr="002A53F4">
        <w:rPr>
          <w:rFonts w:ascii="Arial" w:hAnsi="Arial" w:cs="Arial"/>
        </w:rPr>
        <w:t xml:space="preserve"> </w:t>
      </w:r>
      <w:r w:rsidRPr="002A53F4">
        <w:rPr>
          <w:rFonts w:ascii="Arial" w:hAnsi="Arial" w:cs="Arial"/>
        </w:rPr>
        <w:fldChar w:fldCharType="begin"/>
      </w:r>
      <w:r w:rsidRPr="002A53F4">
        <w:rPr>
          <w:rFonts w:ascii="Arial" w:hAnsi="Arial" w:cs="Arial"/>
        </w:rPr>
        <w:instrText xml:space="preserve"> ADDIN ZOTERO_ITEM CSL_CITATION {"citationID":"2NbCDNib","properties":{"formattedCitation":"(Zhou et al., 2018)","plainCitation":"(Zhou et al., 2018)","noteIndex":0},"citationItems":[{"id":35,"uris":["http://zotero.org/users/6108095/items/YKKA8UHJ"],"uri":["http://zotero.org/users/6108095/items/YKKA8UHJ"],"itemData":{"id":35,"type":"article-journal","abstract":"We report a new class of artifacts in DNA methylation measurements from Illumina HumanMethylation450 and MethylationEPIC arrays. These artifacts reflect failed hybridization to target DNA, often due to germline or somatic deletions and manifest as incorrectly reported intermediate methylation. The artifacts often survive existing preprocessing pipelines, masquerade as epigenetic alterations and can confound discoveries in epigenome-wide association studies and studies of methylation-quantitative trait loci. We implement a solution, P-value with out-of-band (OOB) array hybridization (pOOBAH), in the R package SeSAMe. Our method effectively masks deleted and hyperpolymorphic regions, reducing or eliminating spurious reports of epigenetic silencing at oft-deleted tumor suppressor genes such as CDKN2A and RB1 in cases with somatic deletions. Furthermore, our method substantially decreases technical variation whilst retaining biological variation, both within and across HM450 and EPIC platform measurements. SeSAMe provides a light-weight, modular DNA methylation data analysis suite, with a performant implementation suitable for efficient analysis of thousands of samples.","container-title":"Nucleic Acids Research","DOI":"10.1093/nar/gky691","ISSN":"1362-4962","issue":"20","journalAbbreviation":"Nucleic Acids Res.","language":"eng","note":"PMID: 30085201\nPMCID: PMC6237738","page":"e123","source":"PubMed","title":"SeSAMe: reducing artifactual detection of DNA methylation by Infinium BeadChips in genomic deletions","title-short":"SeSAMe","volume":"46","author":[{"family":"Zhou","given":"Wanding"},{"family":"Triche","given":"Timothy J."},{"family":"Laird","given":"Peter W."},{"family":"Shen","given":"Hui"}],"issued":{"date-parts":[["2018"]],"season":"16"}}}],"schema":"https://github.com/citation-style-language/schema/raw/master/csl-citation.json"} </w:instrText>
      </w:r>
      <w:r w:rsidRPr="002A53F4">
        <w:rPr>
          <w:rFonts w:ascii="Arial" w:hAnsi="Arial" w:cs="Arial"/>
        </w:rPr>
        <w:fldChar w:fldCharType="separate"/>
      </w:r>
      <w:r w:rsidRPr="002A53F4">
        <w:rPr>
          <w:rFonts w:ascii="Arial" w:hAnsi="Arial" w:cs="Arial"/>
        </w:rPr>
        <w:t>(Zhou et al., 2018)</w:t>
      </w:r>
      <w:r w:rsidRPr="002A53F4">
        <w:rPr>
          <w:rFonts w:ascii="Arial" w:hAnsi="Arial" w:cs="Arial"/>
        </w:rPr>
        <w:fldChar w:fldCharType="end"/>
      </w:r>
      <w:r>
        <w:rPr>
          <w:rFonts w:ascii="Arial" w:hAnsi="Arial" w:cs="Arial"/>
        </w:rPr>
        <w:t xml:space="preserve"> as this is the recommended normalization and probe QC combination in the </w:t>
      </w:r>
      <w:proofErr w:type="spellStart"/>
      <w:r>
        <w:rPr>
          <w:rFonts w:ascii="Arial" w:hAnsi="Arial" w:cs="Arial"/>
        </w:rPr>
        <w:t>SeSAMe</w:t>
      </w:r>
      <w:proofErr w:type="spellEnd"/>
      <w:r>
        <w:rPr>
          <w:rFonts w:ascii="Arial" w:hAnsi="Arial" w:cs="Arial"/>
        </w:rPr>
        <w:t xml:space="preserve"> pipeline</w:t>
      </w:r>
      <w:r w:rsidRPr="002A53F4">
        <w:rPr>
          <w:rFonts w:ascii="Arial" w:hAnsi="Arial" w:cs="Arial"/>
        </w:rPr>
        <w:t>.</w:t>
      </w:r>
      <w:r>
        <w:rPr>
          <w:rFonts w:ascii="Arial" w:hAnsi="Arial" w:cs="Arial"/>
        </w:rPr>
        <w:t xml:space="preserve">  SWAN and </w:t>
      </w:r>
      <w:proofErr w:type="spellStart"/>
      <w:r>
        <w:rPr>
          <w:rFonts w:ascii="Arial" w:hAnsi="Arial" w:cs="Arial"/>
        </w:rPr>
        <w:t>SeSAMe</w:t>
      </w:r>
      <w:proofErr w:type="spellEnd"/>
      <w:r>
        <w:rPr>
          <w:rFonts w:ascii="Arial" w:hAnsi="Arial" w:cs="Arial"/>
        </w:rPr>
        <w:t xml:space="preserve"> were performed on each platform individually, while </w:t>
      </w:r>
      <w:proofErr w:type="spellStart"/>
      <w:r>
        <w:rPr>
          <w:rFonts w:ascii="Arial" w:hAnsi="Arial" w:cs="Arial"/>
        </w:rPr>
        <w:t>ssNoob</w:t>
      </w:r>
      <w:proofErr w:type="spellEnd"/>
      <w:r>
        <w:rPr>
          <w:rFonts w:ascii="Arial" w:hAnsi="Arial" w:cs="Arial"/>
        </w:rPr>
        <w:t xml:space="preserve"> was performed on both platforms together (with only probes on the EPIC that were also present on the 450K) as suggested by </w:t>
      </w:r>
      <w:r w:rsidRPr="00661412">
        <w:rPr>
          <w:rFonts w:ascii="Arial" w:hAnsi="Arial" w:cs="Arial"/>
        </w:rPr>
        <w:t>Fortin</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{"citationID":"zSjjj89r","properties":{"formattedCitation":"(Fortin et al., 2017)","plainCitation":"(Fortin et al., 2017)","noteIndex":0},"citationItems":[{"id":37,"uris":["http://zotero.org/users/6108095/items/45W6FGZH"],"uri":["http://zotero.org/users/6108095/items/45W6FGZH"],"itemData":{"id":37,"type":"article-journal","abstract":"Summary: The minfi package is widely used for analyzing Illumina DNA methylation array data. Here we describe modifications to the minfi package required to support the HumanMethylationEPIC ('EPIC') array from Illumina. We discuss methods for the joint analysis and normalization of data from the HumanMethylation450 ('450k') and EPIC platforms. We introduce the single-sample Noob ( ssNoob ) method, a normalization procedure suitable for incremental preprocessing of individual methylation arrays and conclude that this method should be used when integrating data from multiple generations of Infinium methylation arrays. We show how to use reference 450k datasets to estimate cell type composition of samples on EPIC arrays. The cumulative effect of these updates is to ensure that minfi provides the tools to best integrate existing and forthcoming Illumina methylation array data.\nAvailability and Implementation: The minfi package version 1.19.12 or higher is available for all platforms from the Bioconductor project.\nContact: khansen@jhsph.edu.\nSupplementary information: Supplementary data are available at Bioinformatics online.","container-title":"Bioinformatics (Oxford, England)","DOI":"10.1093/bioinformatics/btw691","ISSN":"1367-4811","issue":"4","journalAbbreviation":"Bioinformatics","language":"eng","note":"PMID: 28035024\nPMCID: PMC5408810","page":"558-560","source":"PubMed","title":"Preprocessing, normalization and integration of the Illumina HumanMethylationEPIC array with minfi","volume":"33","author":[{"family":"Fortin","given":"Jean-Philippe"},{"family":"Triche","given":"Timothy J."},{"family":"Hansen","given":"Kasper D."}],"issued":{"date-parts":[["2017"]],"season":"15"}}}],"schema":"https://github.com/citation-style-language/schema/raw/master/csl-citation.json"} </w:instrText>
      </w:r>
      <w:r>
        <w:rPr>
          <w:rFonts w:ascii="Arial" w:hAnsi="Arial" w:cs="Arial"/>
        </w:rPr>
        <w:fldChar w:fldCharType="separate"/>
      </w:r>
      <w:r w:rsidRPr="00575B50">
        <w:rPr>
          <w:rFonts w:ascii="Arial" w:hAnsi="Arial" w:cs="Arial"/>
        </w:rPr>
        <w:t>(Fortin et al., 2017)</w:t>
      </w:r>
      <w:r>
        <w:rPr>
          <w:rFonts w:ascii="Arial" w:hAnsi="Arial" w:cs="Arial"/>
        </w:rPr>
        <w:fldChar w:fldCharType="end"/>
      </w:r>
      <w:r>
        <w:rPr>
          <w:rFonts w:ascii="Arial" w:hAnsi="Arial" w:cs="Arial"/>
        </w:rPr>
        <w:t xml:space="preserve">.  </w:t>
      </w:r>
    </w:p>
    <w:p w14:paraId="1D168256" w14:textId="19CA4DE3" w:rsidR="006D62A6" w:rsidRDefault="009C094B">
      <w:pPr>
        <w:rPr>
          <w:rFonts w:ascii="Arial" w:hAnsi="Arial" w:cs="Arial"/>
        </w:rPr>
      </w:pPr>
      <w:r>
        <w:rPr>
          <w:rFonts w:ascii="Arial" w:hAnsi="Arial" w:cs="Arial"/>
        </w:rPr>
        <w:t xml:space="preserve">When examining the two different detection above background methods: </w:t>
      </w:r>
      <w:proofErr w:type="spellStart"/>
      <w:r w:rsidRPr="005563D5">
        <w:rPr>
          <w:rFonts w:ascii="Arial" w:hAnsi="Arial" w:cs="Arial"/>
        </w:rPr>
        <w:t>minfi</w:t>
      </w:r>
      <w:r>
        <w:rPr>
          <w:rFonts w:ascii="Arial" w:hAnsi="Arial" w:cs="Arial"/>
        </w:rPr>
        <w:t>’s</w:t>
      </w:r>
      <w:proofErr w:type="spellEnd"/>
      <w:r>
        <w:rPr>
          <w:rFonts w:ascii="Arial" w:hAnsi="Arial" w:cs="Arial"/>
        </w:rPr>
        <w:t xml:space="preserve"> default</w:t>
      </w:r>
      <w:r>
        <w:rPr>
          <w:rFonts w:ascii="Arial" w:hAnsi="Arial" w:cs="Arial"/>
          <w:vertAlign w:val="superscript"/>
        </w:rPr>
        <w:t xml:space="preserve"> </w:t>
      </w:r>
      <w:r>
        <w:rPr>
          <w:rFonts w:ascii="Arial" w:hAnsi="Arial" w:cs="Arial"/>
        </w:rPr>
        <w:t>(</w:t>
      </w:r>
      <w:r>
        <w:rPr>
          <w:rFonts w:ascii="Arial" w:hAnsi="Arial" w:cs="Arial"/>
          <w:vertAlign w:val="superscript"/>
        </w:rPr>
        <w:fldChar w:fldCharType="begin"/>
      </w:r>
      <w:r>
        <w:rPr>
          <w:rFonts w:ascii="Arial" w:hAnsi="Arial" w:cs="Arial"/>
          <w:vertAlign w:val="superscript"/>
        </w:rPr>
        <w:instrText xml:space="preserve"> ADDIN ZOTERO_ITEM CSL_CITATION {"citationID":"rgaZhmY7","properties":{"formattedCitation":"(Aryee et al., 2014)","plainCitation":"(Aryee et al., 2014)","dontUpdate":true,"noteIndex":0},"citationItems":[{"id":36,"uris":["http://zotero.org/users/6108095/items/CRKG2K37"],"uri":["http://zotero.org/users/6108095/items/CRKG2K37"],"itemData":{"id":36,"type":"article-journal","abstract":"MOTIVATION: The recently released Infinium HumanMethylation450 array (the '450k' array) provides a high-throughput assay to quantify DNA methylation (DNAm) at </w:instrText>
      </w:r>
      <w:r>
        <w:rPr>
          <w:rFonts w:ascii="Cambria Math" w:hAnsi="Cambria Math" w:cs="Cambria Math"/>
          <w:vertAlign w:val="superscript"/>
        </w:rPr>
        <w:instrText>∼</w:instrText>
      </w:r>
      <w:r>
        <w:rPr>
          <w:rFonts w:ascii="Arial" w:hAnsi="Arial" w:cs="Arial"/>
          <w:vertAlign w:val="superscript"/>
        </w:rPr>
        <w:instrText xml:space="preserve">450 000 loci across a range of genomic features. Although less comprehensive than high-throughput sequencing-based techniques, this product is more cost-effective and promises to be the most widely used DNAm high-throughput measurement technology over the next several years.\nRESULTS: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methods.\nAVAILABILITY AND IMPLEMENTATION: http://bioconductor.org/packages/release/bioc/html/minfi.html.\nCONTACT: khansen@jhsph.edu; rafa@jimmy.harvard.edu\nSUPPLEMENTARY INFORMATION: Supplementary data are available at Bioinformatics online.","container-title":"Bioinformatics (Oxford, England)","DOI":"10.1093/bioinformatics/btu049","ISSN":"1367-4811","issue":"10","journalAbbreviation":"Bioinformatics","language":"eng","note":"PMID: 24478339\nPMCID: PMC4016708","page":"1363-1369","source":"PubMed","title":"Minfi: a flexible and comprehensive Bioconductor package for the analysis of Infinium DNA methylation microarrays","title-short":"Minfi","volume":"30","author":[{"family":"Aryee","given":"Martin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Pr>
          <w:rFonts w:ascii="Arial" w:hAnsi="Arial" w:cs="Arial"/>
          <w:vertAlign w:val="superscript"/>
        </w:rPr>
        <w:fldChar w:fldCharType="separate"/>
      </w:r>
      <w:r w:rsidRPr="00E33C3D">
        <w:rPr>
          <w:rFonts w:ascii="Arial" w:hAnsi="Arial" w:cs="Arial"/>
        </w:rPr>
        <w:t>Aryee et al., 2014)</w:t>
      </w:r>
      <w:r>
        <w:rPr>
          <w:rFonts w:ascii="Arial" w:hAnsi="Arial" w:cs="Arial"/>
          <w:vertAlign w:val="superscript"/>
        </w:rPr>
        <w:fldChar w:fldCharType="end"/>
      </w:r>
      <w:r w:rsidRPr="005563D5">
        <w:rPr>
          <w:rFonts w:ascii="Arial" w:hAnsi="Arial" w:cs="Arial"/>
        </w:rPr>
        <w:t xml:space="preserve"> and </w:t>
      </w:r>
      <w:proofErr w:type="spellStart"/>
      <w:r>
        <w:rPr>
          <w:rFonts w:ascii="Arial" w:hAnsi="Arial" w:cs="Arial"/>
        </w:rPr>
        <w:t>SeSAMe’s</w:t>
      </w:r>
      <w:proofErr w:type="spellEnd"/>
      <w:r>
        <w:rPr>
          <w:rFonts w:ascii="Arial" w:hAnsi="Arial" w:cs="Arial"/>
        </w:rPr>
        <w:t xml:space="preserve"> </w:t>
      </w:r>
      <w:proofErr w:type="spellStart"/>
      <w:r w:rsidRPr="005563D5">
        <w:rPr>
          <w:rFonts w:ascii="Arial" w:hAnsi="Arial" w:cs="Arial"/>
        </w:rPr>
        <w:t>pooBAH</w:t>
      </w:r>
      <w:proofErr w:type="spellEnd"/>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{"citationID":"dxukRt7a","properties":{"formattedCitation":"(Zhou et al., 2018)","plainCitation":"(Zhou et al., 2018)","noteIndex":0},"citationItems":[{"id":35,"uris":["http://zotero.org/users/6108095/items/YKKA8UHJ"],"uri":["http://zotero.org/users/6108095/items/YKKA8UHJ"],"itemData":{"id":35,"type":"article-journal","abstract":"We report a new class of artifacts in DNA methylation measurements from Illumina HumanMethylation450 and MethylationEPIC arrays. These artifacts reflect failed hybridization to target DNA, often due to germline or somatic deletions and manifest as incorrectly reported intermediate methylation. The artifacts often survive existing preprocessing pipelines, masquerade as epigenetic alterations and can confound discoveries in epigenome-wide association studies and studies of methylation-quantitative trait loci. We implement a solution, P-value with out-of-band (OOB) array hybridization (pOOBAH), in the R package SeSAMe. Our method effectively masks deleted and hyperpolymorphic regions, reducing or eliminating spurious reports of epigenetic silencing at oft-deleted tumor suppressor genes such as CDKN2A and RB1 in cases with somatic deletions. Furthermore, our method substantially decreases technical variation whilst retaining biological variation, both within and across HM450 and EPIC platform measurements. SeSAMe provides a light-weight, modular DNA methylation data analysis suite, with a performant implementation suitable for efficient analysis of thousands of samples.","container-title":"Nucleic Acids Research","DOI":"10.1093/nar/gky691","ISSN":"1362-4962","issue":"20","journalAbbreviation":"Nucleic Acids Res.","language":"eng","note":"PMID: 30085201\nPMCID: PMC6237738","page":"e123","source":"PubMed","title":"SeSAMe: reducing artifactual detection of DNA methylation by Infinium BeadChips in genomic deletions","title-short":"SeSAMe","volume":"46","author":[{"family":"Zhou","given":"Wanding"},{"family":"Triche","given":"Timothy J."},{"family":"Laird","given":"Peter W."},{"family":"Shen","given":"Hui"}],"issued":{"date-parts":[["2018"]],"season":"16"}}}],"schema":"https://github.com/citation-style-language/schema/raw/master/csl-citation.json"} </w:instrText>
      </w:r>
      <w:r>
        <w:rPr>
          <w:rFonts w:ascii="Arial" w:hAnsi="Arial" w:cs="Arial"/>
        </w:rPr>
        <w:fldChar w:fldCharType="separate"/>
      </w:r>
      <w:r w:rsidRPr="00A7537B">
        <w:rPr>
          <w:rFonts w:ascii="Arial" w:hAnsi="Arial" w:cs="Arial"/>
        </w:rPr>
        <w:t>(Zhou et al., 2018)</w:t>
      </w:r>
      <w:r>
        <w:rPr>
          <w:rFonts w:ascii="Arial" w:hAnsi="Arial" w:cs="Arial"/>
        </w:rPr>
        <w:fldChar w:fldCharType="end"/>
      </w:r>
      <w:r>
        <w:rPr>
          <w:rFonts w:ascii="Arial" w:hAnsi="Arial" w:cs="Arial"/>
        </w:rPr>
        <w:t xml:space="preserve">, we coupled it to the normalization which was in the same R package for ease of coding </w:t>
      </w:r>
      <w:r w:rsidR="00101398">
        <w:rPr>
          <w:rFonts w:ascii="Arial" w:hAnsi="Arial" w:cs="Arial"/>
        </w:rPr>
        <w:t xml:space="preserve">execution.  </w:t>
      </w:r>
      <w:r w:rsidR="006D62A6">
        <w:rPr>
          <w:rFonts w:ascii="Arial" w:hAnsi="Arial" w:cs="Arial"/>
        </w:rPr>
        <w:t xml:space="preserve">In </w:t>
      </w:r>
      <w:r w:rsidR="00101398">
        <w:rPr>
          <w:rFonts w:ascii="Arial" w:hAnsi="Arial" w:cs="Arial"/>
        </w:rPr>
        <w:t xml:space="preserve">regards to the different detection above background methods, </w:t>
      </w:r>
      <w:r w:rsidR="006D62A6">
        <w:rPr>
          <w:rFonts w:ascii="Arial" w:hAnsi="Arial" w:cs="Arial"/>
        </w:rPr>
        <w:t xml:space="preserve">the probe QC in </w:t>
      </w:r>
      <w:proofErr w:type="spellStart"/>
      <w:r w:rsidR="006D62A6">
        <w:rPr>
          <w:rFonts w:ascii="Arial" w:hAnsi="Arial" w:cs="Arial"/>
        </w:rPr>
        <w:t>minfi</w:t>
      </w:r>
      <w:proofErr w:type="spellEnd"/>
      <w:r w:rsidR="006D62A6">
        <w:rPr>
          <w:rFonts w:ascii="Arial" w:hAnsi="Arial" w:cs="Arial"/>
        </w:rPr>
        <w:t xml:space="preserve"> (utilized in the SWAN method) assumes the fluorescence intensity is normally distributed and a parametric method is used to determine if the fluorescence intensity detected from the probe expressed significantly higher than the negative control probes. In contrast, the </w:t>
      </w:r>
      <w:proofErr w:type="spellStart"/>
      <w:r w:rsidR="006D62A6">
        <w:rPr>
          <w:rFonts w:ascii="Arial" w:hAnsi="Arial" w:cs="Arial"/>
        </w:rPr>
        <w:t>pooBAH</w:t>
      </w:r>
      <w:proofErr w:type="spellEnd"/>
      <w:r w:rsidR="006D62A6">
        <w:rPr>
          <w:rFonts w:ascii="Arial" w:hAnsi="Arial" w:cs="Arial"/>
        </w:rPr>
        <w:t xml:space="preserve"> method uses an </w:t>
      </w:r>
      <w:r w:rsidR="006D62A6" w:rsidRPr="006D62A6">
        <w:rPr>
          <w:rFonts w:ascii="Arial" w:hAnsi="Arial" w:cs="Arial"/>
        </w:rPr>
        <w:t>empirical cumulative distribution function</w:t>
      </w:r>
      <w:r w:rsidR="006D62A6">
        <w:rPr>
          <w:rFonts w:ascii="Arial" w:hAnsi="Arial" w:cs="Arial"/>
        </w:rPr>
        <w:t xml:space="preserve"> and does not assume the fluorescence intensity is distributed normally. </w:t>
      </w:r>
    </w:p>
    <w:p w14:paraId="3ABDE795" w14:textId="77777777" w:rsidR="00B61150" w:rsidRPr="00B61150" w:rsidRDefault="00B61150" w:rsidP="00B61150">
      <w:pPr>
        <w:rPr>
          <w:rFonts w:ascii="Arial" w:hAnsi="Arial" w:cs="Arial"/>
        </w:rPr>
      </w:pPr>
      <w:r>
        <w:rPr>
          <w:rFonts w:ascii="Arial" w:hAnsi="Arial" w:cs="Arial"/>
        </w:rPr>
        <w:t xml:space="preserve">Technical replicate metrics used for evaluation: </w:t>
      </w:r>
    </w:p>
    <w:p w14:paraId="226A0890" w14:textId="77777777" w:rsidR="00B61150" w:rsidRDefault="00B61150" w:rsidP="00B61150">
      <w:pPr>
        <w:rPr>
          <w:rFonts w:ascii="Arial" w:hAnsi="Arial" w:cs="Arial"/>
        </w:rPr>
      </w:pPr>
      <w:r>
        <w:rPr>
          <w:rFonts w:ascii="Arial" w:eastAsiaTheme="minorEastAsia" w:hAnsi="Arial" w:cs="Arial"/>
        </w:rPr>
        <w:t xml:space="preserve">  </w:t>
      </w:r>
      <w:r>
        <w:rPr>
          <w:rFonts w:ascii="Arial" w:hAnsi="Arial" w:cs="Arial"/>
        </w:rPr>
        <w:t>For looking at differences between technical replicates at the probe level we used:</w:t>
      </w:r>
    </w:p>
    <w:p w14:paraId="58D73016" w14:textId="77777777" w:rsidR="00B61150" w:rsidRDefault="00253487" w:rsidP="00B61150">
      <w:pPr>
        <w:jc w:val="center"/>
        <w:rPr>
          <w:rFonts w:ascii="Arial" w:eastAsiaTheme="minorEastAsia" w:hAnsi="Arial" w:cs="Arial"/>
        </w:rPr>
      </w:pPr>
      <m:oMath>
        <m:sSub>
          <m:sSubPr>
            <m:ctrlPr>
              <w:rPr>
                <w:rFonts w:ascii="Cambria Math" w:hAnsi="Cambria Math" w:cs="Arial"/>
                <w:i/>
              </w:rPr>
            </m:ctrlPr>
          </m:sSubPr>
          <m:e>
            <m:r>
              <w:rPr>
                <w:rFonts w:ascii="Cambria Math" w:hAnsi="Cambria Math" w:cs="Arial"/>
              </w:rPr>
              <m:t>∆</m:t>
            </m:r>
          </m:e>
          <m:sub>
            <m:r>
              <w:rPr>
                <w:rFonts w:ascii="Cambria Math" w:hAnsi="Cambria Math" w:cs="Arial"/>
              </w:rPr>
              <m:t>r,i</m:t>
            </m:r>
          </m:sub>
        </m:sSub>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450K</m:t>
            </m:r>
          </m:sup>
        </m:sSubSup>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EPIC</m:t>
            </m:r>
          </m:sup>
        </m:sSubSup>
      </m:oMath>
      <w:r w:rsidR="00B61150" w:rsidDel="00F92049">
        <w:rPr>
          <w:rFonts w:ascii="Arial" w:eastAsiaTheme="minorEastAsia" w:hAnsi="Arial" w:cs="Arial"/>
        </w:rPr>
        <w:tab/>
      </w:r>
      <w:r w:rsidR="00B61150" w:rsidDel="00F92049">
        <w:rPr>
          <w:rFonts w:ascii="Arial" w:eastAsiaTheme="minorEastAsia" w:hAnsi="Arial" w:cs="Arial"/>
        </w:rPr>
        <w:tab/>
      </w:r>
      <w:r w:rsidR="00B61150" w:rsidDel="00F92049">
        <w:rPr>
          <w:rFonts w:ascii="Arial" w:eastAsiaTheme="minorEastAsia" w:hAnsi="Arial" w:cs="Arial"/>
        </w:rPr>
        <w:tab/>
      </w:r>
      <w:r w:rsidR="00B61150" w:rsidDel="00F92049">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sidDel="00F92049">
        <w:rPr>
          <w:rFonts w:ascii="Arial" w:eastAsiaTheme="minorEastAsia" w:hAnsi="Arial" w:cs="Arial"/>
        </w:rPr>
        <w:t>(</w:t>
      </w:r>
      <w:r w:rsidR="00B61150">
        <w:rPr>
          <w:rFonts w:ascii="Arial" w:eastAsiaTheme="minorEastAsia" w:hAnsi="Arial" w:cs="Arial"/>
        </w:rPr>
        <w:t>S</w:t>
      </w:r>
      <w:r w:rsidR="00B61150" w:rsidDel="00F92049">
        <w:rPr>
          <w:rFonts w:ascii="Arial" w:eastAsiaTheme="minorEastAsia" w:hAnsi="Arial" w:cs="Arial"/>
        </w:rPr>
        <w:t>1)</w:t>
      </w:r>
    </w:p>
    <w:p w14:paraId="525CA989" w14:textId="77777777" w:rsidR="00B61150" w:rsidDel="00F92049" w:rsidRDefault="00B61150" w:rsidP="00B61150">
      <w:pPr>
        <w:jc w:val="center"/>
        <w:rPr>
          <w:rFonts w:ascii="Arial" w:hAnsi="Arial" w:cs="Arial"/>
        </w:rPr>
      </w:pPr>
    </w:p>
    <w:p w14:paraId="47E0DC0A" w14:textId="77777777" w:rsidR="00B61150" w:rsidRDefault="00B61150" w:rsidP="00B61150">
      <w:pPr>
        <w:rPr>
          <w:rFonts w:ascii="Arial" w:hAnsi="Arial" w:cs="Arial"/>
        </w:rPr>
      </w:pPr>
      <w:r w:rsidDel="00F92049">
        <w:rPr>
          <w:rFonts w:ascii="Arial" w:hAnsi="Arial" w:cs="Arial"/>
        </w:rPr>
        <w:t>Where</w:t>
      </w:r>
      <w:r>
        <w:rPr>
          <w:rFonts w:ascii="Arial" w:hAnsi="Arial" w:cs="Arial"/>
        </w:rPr>
        <w:t>:</w:t>
      </w:r>
      <w:r w:rsidDel="00F92049">
        <w:rPr>
          <w:rFonts w:ascii="Arial" w:hAnsi="Arial" w:cs="Arial"/>
        </w:rPr>
        <w:t xml:space="preserve"> </w:t>
      </w:r>
      <w:r>
        <w:rPr>
          <w:rFonts w:ascii="Arial" w:hAnsi="Arial" w:cs="Arial"/>
        </w:rPr>
        <w:tab/>
      </w:r>
      <m:oMath>
        <m:r>
          <w:rPr>
            <w:rFonts w:ascii="Cambria Math" w:hAnsi="Cambria Math" w:cs="Arial"/>
          </w:rPr>
          <m:t>X</m:t>
        </m:r>
      </m:oMath>
      <w:r>
        <w:rPr>
          <w:rFonts w:ascii="Arial" w:hAnsi="Arial" w:cs="Arial"/>
        </w:rPr>
        <w:t xml:space="preserve"> is the methylation Beta value (methylation Beta value is the ratio of the methylated signal intensity to the total methylated and unmethylated signal intensity). </w:t>
      </w:r>
    </w:p>
    <w:p w14:paraId="18663B5C" w14:textId="77777777" w:rsidR="00B61150" w:rsidRDefault="00B61150" w:rsidP="00B61150">
      <w:pPr>
        <w:ind w:left="720" w:firstLine="720"/>
        <w:rPr>
          <w:rFonts w:ascii="Arial" w:hAnsi="Arial" w:cs="Arial"/>
        </w:rPr>
      </w:pPr>
      <m:oMath>
        <m:r>
          <w:rPr>
            <w:rFonts w:ascii="Cambria Math" w:hAnsi="Cambria Math" w:cs="Arial"/>
          </w:rPr>
          <m:t>r</m:t>
        </m:r>
      </m:oMath>
      <w:r>
        <w:rPr>
          <w:rFonts w:ascii="Arial" w:eastAsiaTheme="minorEastAsia" w:hAnsi="Arial" w:cs="Arial"/>
        </w:rPr>
        <w:t xml:space="preserve"> </w:t>
      </w:r>
      <w:r>
        <w:rPr>
          <w:rFonts w:ascii="Arial" w:hAnsi="Arial" w:cs="Arial"/>
        </w:rPr>
        <w:t>= 1…R are the technical replicates</w:t>
      </w:r>
    </w:p>
    <w:p w14:paraId="24FFF617" w14:textId="77777777" w:rsidR="00B61150" w:rsidRDefault="00B61150" w:rsidP="00B61150">
      <w:pPr>
        <w:ind w:left="720" w:firstLine="720"/>
        <w:rPr>
          <w:rFonts w:ascii="Arial" w:hAnsi="Arial" w:cs="Arial"/>
        </w:rPr>
      </w:pPr>
      <m:oMath>
        <m:r>
          <w:rPr>
            <w:rFonts w:ascii="Cambria Math" w:hAnsi="Cambria Math" w:cs="Arial"/>
          </w:rPr>
          <m:t>i</m:t>
        </m:r>
      </m:oMath>
      <w:r>
        <w:rPr>
          <w:rFonts w:ascii="Arial" w:hAnsi="Arial" w:cs="Arial"/>
        </w:rPr>
        <w:t xml:space="preserve"> = 1… P are the number of CpG sites</w:t>
      </w:r>
    </w:p>
    <w:p w14:paraId="0A9096A4" w14:textId="77777777" w:rsidR="00B61150" w:rsidRDefault="00B61150" w:rsidP="00B61150">
      <w:pPr>
        <w:ind w:left="720" w:firstLine="720"/>
        <w:rPr>
          <w:rFonts w:ascii="Arial" w:hAnsi="Arial" w:cs="Arial"/>
        </w:rPr>
      </w:pPr>
      <w:r>
        <w:rPr>
          <w:rFonts w:ascii="Arial" w:hAnsi="Arial" w:cs="Arial"/>
        </w:rPr>
        <w:t xml:space="preserve">450K and EPIC represent the 2 platforms and R = 12 in our example.  </w:t>
      </w:r>
    </w:p>
    <w:p w14:paraId="67EFD396" w14:textId="77777777" w:rsidR="00B61150" w:rsidRDefault="00B61150" w:rsidP="00B61150">
      <w:pPr>
        <w:rPr>
          <w:rFonts w:ascii="Arial" w:hAnsi="Arial" w:cs="Arial"/>
        </w:rPr>
      </w:pPr>
    </w:p>
    <w:p w14:paraId="769522AA" w14:textId="77777777" w:rsidR="00B61150" w:rsidRDefault="00B61150" w:rsidP="00B61150">
      <w:pPr>
        <w:rPr>
          <w:rFonts w:ascii="Arial" w:eastAsiaTheme="minorEastAsia" w:hAnsi="Arial" w:cs="Arial"/>
        </w:rPr>
      </w:pPr>
      <w:r w:rsidDel="00F92049">
        <w:rPr>
          <w:rFonts w:ascii="Arial" w:eastAsiaTheme="minorEastAsia" w:hAnsi="Arial" w:cs="Arial"/>
        </w:rPr>
        <w:t>We also looked at the correlations between the technical replicates:</w:t>
      </w:r>
    </w:p>
    <w:p w14:paraId="525FD9A7" w14:textId="77777777" w:rsidR="00B61150" w:rsidRDefault="00253487" w:rsidP="00B61150">
      <w:pP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r</m:t>
            </m:r>
          </m:sub>
        </m:sSub>
        <m:r>
          <w:rPr>
            <w:rFonts w:ascii="Cambria Math" w:eastAsiaTheme="minorEastAsia" w:hAnsi="Cambria Math" w:cs="Arial"/>
          </w:rPr>
          <m:t>=corr(</m:t>
        </m:r>
        <m:sSubSup>
          <m:sSubSupPr>
            <m:ctrlPr>
              <w:rPr>
                <w:rFonts w:ascii="Cambria Math" w:eastAsiaTheme="minorEastAsia" w:hAnsi="Cambria Math" w:cs="Arial"/>
                <w:i/>
              </w:rPr>
            </m:ctrlPr>
          </m:sSubSupPr>
          <m:e>
            <m:acc>
              <m:accPr>
                <m:chr m:val="⃗"/>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r</m:t>
            </m:r>
          </m:sub>
          <m:sup>
            <m:r>
              <w:rPr>
                <w:rFonts w:ascii="Cambria Math" w:eastAsiaTheme="minorEastAsia" w:hAnsi="Cambria Math" w:cs="Arial"/>
              </w:rPr>
              <m:t>450K</m:t>
            </m:r>
          </m:sup>
        </m:sSubSup>
        <m:r>
          <w:rPr>
            <w:rFonts w:ascii="Cambria Math" w:eastAsiaTheme="minorEastAsia" w:hAnsi="Cambria Math" w:cs="Arial"/>
          </w:rPr>
          <m:t xml:space="preserve">, </m:t>
        </m:r>
        <m:sSubSup>
          <m:sSubSupPr>
            <m:ctrlPr>
              <w:rPr>
                <w:rFonts w:ascii="Cambria Math" w:eastAsiaTheme="minorEastAsia" w:hAnsi="Cambria Math" w:cs="Arial"/>
                <w:i/>
              </w:rPr>
            </m:ctrlPr>
          </m:sSubSupPr>
          <m:e>
            <m:acc>
              <m:accPr>
                <m:chr m:val="⃗"/>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r</m:t>
            </m:r>
          </m:sub>
          <m:sup>
            <m:r>
              <w:rPr>
                <w:rFonts w:ascii="Cambria Math" w:eastAsiaTheme="minorEastAsia" w:hAnsi="Cambria Math" w:cs="Arial"/>
              </w:rPr>
              <m:t>EPIC</m:t>
            </m:r>
          </m:sup>
        </m:sSubSup>
        <m:r>
          <w:rPr>
            <w:rFonts w:ascii="Cambria Math" w:eastAsiaTheme="minorEastAsia" w:hAnsi="Cambria Math" w:cs="Arial"/>
          </w:rPr>
          <m:t xml:space="preserve">) </m:t>
        </m:r>
      </m:oMath>
      <w:r w:rsidR="00B61150" w:rsidDel="00F92049">
        <w:rPr>
          <w:rFonts w:ascii="Arial" w:eastAsiaTheme="minorEastAsia" w:hAnsi="Arial" w:cs="Arial"/>
        </w:rPr>
        <w:tab/>
      </w:r>
      <w:r w:rsidR="00B61150" w:rsidDel="00F92049">
        <w:rPr>
          <w:rFonts w:ascii="Arial" w:eastAsiaTheme="minorEastAsia" w:hAnsi="Arial" w:cs="Arial"/>
        </w:rPr>
        <w:tab/>
      </w:r>
      <w:r w:rsidR="00B61150" w:rsidDel="00F92049">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sidDel="00F92049">
        <w:rPr>
          <w:rFonts w:ascii="Arial" w:eastAsiaTheme="minorEastAsia" w:hAnsi="Arial" w:cs="Arial"/>
        </w:rPr>
        <w:t>(</w:t>
      </w:r>
      <w:r w:rsidR="00B61150">
        <w:rPr>
          <w:rFonts w:ascii="Arial" w:eastAsiaTheme="minorEastAsia" w:hAnsi="Arial" w:cs="Arial"/>
        </w:rPr>
        <w:t>S</w:t>
      </w:r>
      <w:r w:rsidR="00B61150" w:rsidDel="00F92049">
        <w:rPr>
          <w:rFonts w:ascii="Arial" w:eastAsiaTheme="minorEastAsia" w:hAnsi="Arial" w:cs="Arial"/>
        </w:rPr>
        <w:t>2</w:t>
      </w:r>
      <w:r w:rsidR="00B61150">
        <w:rPr>
          <w:rFonts w:ascii="Arial" w:eastAsiaTheme="minorEastAsia" w:hAnsi="Arial" w:cs="Arial"/>
        </w:rPr>
        <w:t>a</w:t>
      </w:r>
      <w:r w:rsidR="00B61150" w:rsidDel="00F92049">
        <w:rPr>
          <w:rFonts w:ascii="Arial" w:eastAsiaTheme="minorEastAsia" w:hAnsi="Arial" w:cs="Arial"/>
        </w:rPr>
        <w:t>)</w:t>
      </w:r>
    </w:p>
    <w:p w14:paraId="422DCC49" w14:textId="77777777" w:rsidR="00B61150" w:rsidRDefault="00253487" w:rsidP="00B61150">
      <w:pP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r</m:t>
            </m:r>
          </m:sub>
        </m:sSub>
        <m:r>
          <w:rPr>
            <w:rFonts w:ascii="Cambria Math" w:eastAsiaTheme="minorEastAsia" w:hAnsi="Cambria Math" w:cs="Arial"/>
          </w:rPr>
          <m:t>=</m:t>
        </m:r>
        <m:f>
          <m:fPr>
            <m:ctrlPr>
              <w:rPr>
                <w:rFonts w:ascii="Cambria Math" w:eastAsiaTheme="minorEastAsia" w:hAnsi="Cambria Math" w:cs="Arial"/>
                <w:i/>
              </w:rPr>
            </m:ctrlPr>
          </m:fPr>
          <m:num>
            <m:nary>
              <m:naryPr>
                <m:chr m:val="∑"/>
                <m:limLoc m:val="subSup"/>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p</m:t>
                </m:r>
              </m:sup>
              <m:e>
                <m:r>
                  <w:rPr>
                    <w:rFonts w:ascii="Cambria Math" w:eastAsiaTheme="minorEastAsia" w:hAnsi="Cambria Math" w:cs="Arial"/>
                  </w:rPr>
                  <m:t>(</m:t>
                </m:r>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450K</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r</m:t>
                    </m:r>
                  </m:sub>
                  <m:sup>
                    <m:r>
                      <w:rPr>
                        <w:rFonts w:ascii="Cambria Math" w:hAnsi="Cambria Math" w:cs="Arial"/>
                      </w:rPr>
                      <m:t>450K</m:t>
                    </m:r>
                  </m:sup>
                </m:sSubSup>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EPIC</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r</m:t>
                    </m:r>
                  </m:sub>
                  <m:sup>
                    <m:r>
                      <w:rPr>
                        <w:rFonts w:ascii="Cambria Math" w:hAnsi="Cambria Math" w:cs="Arial"/>
                      </w:rPr>
                      <m:t>EPIC</m:t>
                    </m:r>
                  </m:sup>
                </m:sSubSup>
                <m:r>
                  <w:rPr>
                    <w:rFonts w:ascii="Cambria Math" w:eastAsiaTheme="minorEastAsia" w:hAnsi="Cambria Math" w:cs="Arial"/>
                  </w:rPr>
                  <m:t>)</m:t>
                </m:r>
              </m:e>
            </m:nary>
          </m:num>
          <m:den>
            <m:rad>
              <m:radPr>
                <m:degHide m:val="1"/>
                <m:ctrlPr>
                  <w:rPr>
                    <w:rFonts w:ascii="Cambria Math" w:eastAsiaTheme="minorEastAsia" w:hAnsi="Cambria Math" w:cs="Arial"/>
                    <w:i/>
                  </w:rPr>
                </m:ctrlPr>
              </m:radPr>
              <m:deg/>
              <m:e>
                <m:nary>
                  <m:naryPr>
                    <m:chr m:val="∑"/>
                    <m:limLoc m:val="subSup"/>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p</m:t>
                    </m:r>
                  </m:sup>
                  <m:e>
                    <m:sSup>
                      <m:sSupPr>
                        <m:ctrlPr>
                          <w:rPr>
                            <w:rFonts w:ascii="Cambria Math" w:eastAsiaTheme="minorEastAsia" w:hAnsi="Cambria Math" w:cs="Arial"/>
                            <w:i/>
                          </w:rPr>
                        </m:ctrlPr>
                      </m:sSupPr>
                      <m:e>
                        <m:r>
                          <w:rPr>
                            <w:rFonts w:ascii="Cambria Math" w:eastAsiaTheme="minorEastAsia" w:hAnsi="Cambria Math" w:cs="Arial"/>
                          </w:rPr>
                          <m:t>(</m:t>
                        </m:r>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450K</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r</m:t>
                            </m:r>
                          </m:sub>
                          <m:sup>
                            <m:r>
                              <w:rPr>
                                <w:rFonts w:ascii="Cambria Math" w:hAnsi="Cambria Math" w:cs="Arial"/>
                              </w:rPr>
                              <m:t>450K</m:t>
                            </m:r>
                          </m:sup>
                        </m:sSubSup>
                        <m:r>
                          <w:rPr>
                            <w:rFonts w:ascii="Cambria Math" w:eastAsiaTheme="minorEastAsia" w:hAnsi="Cambria Math" w:cs="Arial"/>
                          </w:rPr>
                          <m:t>)</m:t>
                        </m:r>
                      </m:e>
                      <m:sup>
                        <m:r>
                          <w:rPr>
                            <w:rFonts w:ascii="Cambria Math" w:eastAsiaTheme="minorEastAsia" w:hAnsi="Cambria Math" w:cs="Arial"/>
                          </w:rPr>
                          <m:t>2</m:t>
                        </m:r>
                      </m:sup>
                    </m:sSup>
                  </m:e>
                </m:nary>
              </m:e>
            </m:rad>
            <m:rad>
              <m:radPr>
                <m:degHide m:val="1"/>
                <m:ctrlPr>
                  <w:rPr>
                    <w:rFonts w:ascii="Cambria Math" w:eastAsiaTheme="minorEastAsia" w:hAnsi="Cambria Math" w:cs="Arial"/>
                    <w:i/>
                  </w:rPr>
                </m:ctrlPr>
              </m:radPr>
              <m:deg/>
              <m:e>
                <m:nary>
                  <m:naryPr>
                    <m:chr m:val="∑"/>
                    <m:limLoc m:val="subSup"/>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p</m:t>
                    </m:r>
                  </m:sup>
                  <m:e>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EPIC</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r</m:t>
                        </m:r>
                      </m:sub>
                      <m:sup>
                        <m:r>
                          <w:rPr>
                            <w:rFonts w:ascii="Cambria Math" w:hAnsi="Cambria Math" w:cs="Arial"/>
                          </w:rPr>
                          <m:t>EPIC</m:t>
                        </m:r>
                      </m:sup>
                    </m:sSubSup>
                    <m:sSup>
                      <m:sSupPr>
                        <m:ctrlPr>
                          <w:rPr>
                            <w:rFonts w:ascii="Cambria Math" w:eastAsiaTheme="minorEastAsia" w:hAnsi="Cambria Math" w:cs="Arial"/>
                            <w:i/>
                          </w:rPr>
                        </m:ctrlPr>
                      </m:sSupPr>
                      <m:e>
                        <m:r>
                          <w:rPr>
                            <w:rFonts w:ascii="Cambria Math" w:eastAsiaTheme="minorEastAsia" w:hAnsi="Cambria Math" w:cs="Arial"/>
                          </w:rPr>
                          <m:t>)</m:t>
                        </m:r>
                      </m:e>
                      <m:sup>
                        <m:r>
                          <w:rPr>
                            <w:rFonts w:ascii="Cambria Math" w:eastAsiaTheme="minorEastAsia" w:hAnsi="Cambria Math" w:cs="Arial"/>
                          </w:rPr>
                          <m:t>2</m:t>
                        </m:r>
                      </m:sup>
                    </m:sSup>
                  </m:e>
                </m:nary>
              </m:e>
            </m:rad>
          </m:den>
        </m:f>
      </m:oMath>
      <w:r w:rsidR="00B61150" w:rsidDel="00F92049">
        <w:rPr>
          <w:rFonts w:ascii="Arial" w:eastAsiaTheme="minorEastAsia" w:hAnsi="Arial" w:cs="Arial"/>
        </w:rPr>
        <w:tab/>
      </w:r>
      <w:r w:rsidR="00B61150" w:rsidDel="00F92049">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sidDel="00F92049">
        <w:rPr>
          <w:rFonts w:ascii="Arial" w:eastAsiaTheme="minorEastAsia" w:hAnsi="Arial" w:cs="Arial"/>
        </w:rPr>
        <w:t>(</w:t>
      </w:r>
      <w:r w:rsidR="00B61150">
        <w:rPr>
          <w:rFonts w:ascii="Arial" w:eastAsiaTheme="minorEastAsia" w:hAnsi="Arial" w:cs="Arial"/>
        </w:rPr>
        <w:t>S</w:t>
      </w:r>
      <w:r w:rsidR="00B61150" w:rsidDel="00F92049">
        <w:rPr>
          <w:rFonts w:ascii="Arial" w:eastAsiaTheme="minorEastAsia" w:hAnsi="Arial" w:cs="Arial"/>
        </w:rPr>
        <w:t>2</w:t>
      </w:r>
      <w:r w:rsidR="00B61150">
        <w:rPr>
          <w:rFonts w:ascii="Arial" w:eastAsiaTheme="minorEastAsia" w:hAnsi="Arial" w:cs="Arial"/>
        </w:rPr>
        <w:t>b</w:t>
      </w:r>
      <w:r w:rsidR="00B61150" w:rsidDel="00F92049">
        <w:rPr>
          <w:rFonts w:ascii="Arial" w:eastAsiaTheme="minorEastAsia" w:hAnsi="Arial" w:cs="Arial"/>
        </w:rPr>
        <w:t>)</w:t>
      </w:r>
    </w:p>
    <w:p w14:paraId="7202E695" w14:textId="77777777" w:rsidR="00B61150" w:rsidDel="00F92049" w:rsidRDefault="00B61150" w:rsidP="00B61150">
      <w:pPr>
        <w:rPr>
          <w:rFonts w:ascii="Arial" w:hAnsi="Arial" w:cs="Arial"/>
        </w:rPr>
      </w:pPr>
    </w:p>
    <w:p w14:paraId="7454C8B4" w14:textId="642E8D90" w:rsidR="00B61150" w:rsidDel="00F92049" w:rsidRDefault="00B61150" w:rsidP="00B61150">
      <w:pPr>
        <w:rPr>
          <w:rFonts w:ascii="Arial" w:hAnsi="Arial" w:cs="Arial"/>
        </w:rPr>
      </w:pPr>
      <w:r w:rsidDel="00F92049">
        <w:rPr>
          <w:rFonts w:ascii="Arial" w:hAnsi="Arial" w:cs="Arial"/>
        </w:rPr>
        <w:t xml:space="preserve">Where  </w:t>
      </w:r>
      <m:oMath>
        <m:r>
          <w:rPr>
            <w:rFonts w:ascii="Cambria Math" w:eastAsiaTheme="minorEastAsia" w:hAnsi="Cambria Math" w:cs="Arial"/>
          </w:rPr>
          <m:t>i</m:t>
        </m:r>
      </m:oMath>
      <w:r w:rsidDel="00F92049">
        <w:rPr>
          <w:rFonts w:ascii="Arial" w:eastAsiaTheme="minorEastAsia" w:hAnsi="Arial" w:cs="Arial"/>
        </w:rPr>
        <w:t xml:space="preserve"> </w:t>
      </w:r>
      <w:r>
        <w:rPr>
          <w:rFonts w:ascii="Arial" w:eastAsiaTheme="minorEastAsia" w:hAnsi="Arial" w:cs="Arial"/>
        </w:rPr>
        <w:t xml:space="preserve">and </w:t>
      </w:r>
      <m:oMath>
        <m:r>
          <w:rPr>
            <w:rFonts w:ascii="Cambria Math" w:eastAsiaTheme="minorEastAsia" w:hAnsi="Cambria Math" w:cs="Arial"/>
          </w:rPr>
          <m:t>r</m:t>
        </m:r>
      </m:oMath>
      <w:r>
        <w:rPr>
          <w:rFonts w:ascii="Arial" w:eastAsiaTheme="minorEastAsia" w:hAnsi="Arial" w:cs="Arial"/>
        </w:rPr>
        <w:t xml:space="preserve"> are </w:t>
      </w:r>
      <w:r w:rsidDel="00F92049">
        <w:rPr>
          <w:rFonts w:ascii="Arial" w:eastAsiaTheme="minorEastAsia" w:hAnsi="Arial" w:cs="Arial"/>
        </w:rPr>
        <w:t>denotes a</w:t>
      </w:r>
      <w:r>
        <w:rPr>
          <w:rFonts w:ascii="Arial" w:eastAsiaTheme="minorEastAsia" w:hAnsi="Arial" w:cs="Arial"/>
        </w:rPr>
        <w:t xml:space="preserve">s above in equation (1).  </w:t>
      </w:r>
      <m:oMath>
        <m:r>
          <w:rPr>
            <w:rFonts w:ascii="Cambria Math" w:hAnsi="Cambria Math" w:cs="Arial"/>
          </w:rPr>
          <m:t>X</m:t>
        </m:r>
      </m:oMath>
      <w:r w:rsidR="009B524F" w:rsidDel="009B524F">
        <w:rPr>
          <w:rFonts w:ascii="Arial" w:eastAsiaTheme="minorEastAsia" w:hAnsi="Arial" w:cs="Arial"/>
        </w:rPr>
        <w:t xml:space="preserve"> </w:t>
      </w:r>
      <w:r>
        <w:rPr>
          <w:rFonts w:ascii="Arial" w:eastAsiaTheme="minorEastAsia" w:hAnsi="Arial" w:cs="Arial"/>
        </w:rPr>
        <w:t xml:space="preserve"> is the methylation M-value</w:t>
      </w:r>
      <w:r w:rsidDel="00F92049">
        <w:rPr>
          <w:rFonts w:ascii="Arial" w:eastAsiaTheme="minorEastAsia" w:hAnsi="Arial" w:cs="Arial"/>
        </w:rPr>
        <w:t xml:space="preserve"> </w:t>
      </w:r>
      <w:r>
        <w:rPr>
          <w:rFonts w:ascii="Arial" w:eastAsiaTheme="minorEastAsia" w:hAnsi="Arial" w:cs="Arial"/>
        </w:rPr>
        <w:t xml:space="preserve">and the bar symbol denotes the mean over the </w:t>
      </w:r>
      <m:oMath>
        <m:sSup>
          <m:sSupPr>
            <m:ctrlPr>
              <w:rPr>
                <w:rFonts w:ascii="Cambria Math" w:eastAsiaTheme="minorEastAsia" w:hAnsi="Cambria Math" w:cs="Arial"/>
                <w:i/>
                <w:vertAlign w:val="superscript"/>
              </w:rPr>
            </m:ctrlPr>
          </m:sSupPr>
          <m:e>
            <m:r>
              <w:rPr>
                <w:rFonts w:ascii="Cambria Math" w:eastAsiaTheme="minorEastAsia" w:hAnsi="Cambria Math" w:cs="Arial"/>
                <w:vertAlign w:val="superscript"/>
              </w:rPr>
              <m:t>i</m:t>
            </m:r>
          </m:e>
          <m:sup>
            <m:r>
              <w:rPr>
                <w:rFonts w:ascii="Cambria Math" w:eastAsiaTheme="minorEastAsia" w:hAnsi="Cambria Math" w:cs="Arial"/>
                <w:vertAlign w:val="superscript"/>
              </w:rPr>
              <m:t>th</m:t>
            </m:r>
          </m:sup>
        </m:sSup>
      </m:oMath>
      <w:r>
        <w:rPr>
          <w:rFonts w:ascii="Arial" w:eastAsiaTheme="minorEastAsia" w:hAnsi="Arial" w:cs="Arial"/>
        </w:rPr>
        <w:t xml:space="preserve"> CpG </w:t>
      </w:r>
      <w:proofErr w:type="gramStart"/>
      <w:r>
        <w:rPr>
          <w:rFonts w:ascii="Arial" w:eastAsiaTheme="minorEastAsia" w:hAnsi="Arial" w:cs="Arial"/>
        </w:rPr>
        <w:t>site.</w:t>
      </w:r>
      <w:proofErr w:type="gramEnd"/>
      <w:r>
        <w:rPr>
          <w:rFonts w:ascii="Arial" w:eastAsiaTheme="minorEastAsia" w:hAnsi="Arial" w:cs="Arial"/>
        </w:rPr>
        <w:t xml:space="preserve">  </w:t>
      </w:r>
      <w:r w:rsidDel="00F92049">
        <w:rPr>
          <w:rFonts w:ascii="Arial" w:hAnsi="Arial" w:cs="Arial"/>
        </w:rPr>
        <w:t xml:space="preserve"> </w:t>
      </w:r>
    </w:p>
    <w:p w14:paraId="73A494DA" w14:textId="77777777" w:rsidR="00B61150" w:rsidRPr="00351DD5" w:rsidRDefault="00B61150" w:rsidP="00B61150">
      <w:pPr>
        <w:rPr>
          <w:rFonts w:ascii="Arial" w:hAnsi="Arial" w:cs="Arial"/>
        </w:rPr>
      </w:pPr>
      <w:r>
        <w:rPr>
          <w:rFonts w:ascii="Arial" w:hAnsi="Arial" w:cs="Arial"/>
        </w:rPr>
        <w:t>Correlation of CpG sites</w:t>
      </w:r>
      <w:r w:rsidDel="00F92049">
        <w:rPr>
          <w:rFonts w:ascii="Arial" w:hAnsi="Arial" w:cs="Arial"/>
        </w:rPr>
        <w:t xml:space="preserve"> across technical replicates was</w:t>
      </w:r>
      <w:r>
        <w:rPr>
          <w:rFonts w:ascii="Arial" w:hAnsi="Arial" w:cs="Arial"/>
        </w:rPr>
        <w:t xml:space="preserve"> also </w:t>
      </w:r>
      <w:r w:rsidDel="00F92049">
        <w:rPr>
          <w:rFonts w:ascii="Arial" w:hAnsi="Arial" w:cs="Arial"/>
        </w:rPr>
        <w:t>examined:</w:t>
      </w:r>
    </w:p>
    <w:p w14:paraId="0BEF6BF4" w14:textId="77777777" w:rsidR="00B61150" w:rsidRDefault="00253487" w:rsidP="00B61150">
      <w:pP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i</m:t>
            </m:r>
          </m:sub>
        </m:sSub>
        <m:r>
          <w:rPr>
            <w:rFonts w:ascii="Cambria Math" w:eastAsiaTheme="minorEastAsia" w:hAnsi="Cambria Math" w:cs="Arial"/>
          </w:rPr>
          <m:t>=corr(</m:t>
        </m:r>
        <m:sSubSup>
          <m:sSubSupPr>
            <m:ctrlPr>
              <w:rPr>
                <w:rFonts w:ascii="Cambria Math" w:eastAsiaTheme="minorEastAsia" w:hAnsi="Cambria Math" w:cs="Arial"/>
                <w:i/>
              </w:rPr>
            </m:ctrlPr>
          </m:sSubSupPr>
          <m:e>
            <m:acc>
              <m:accPr>
                <m:chr m:val="⃗"/>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i</m:t>
            </m:r>
          </m:sub>
          <m:sup>
            <m:r>
              <w:rPr>
                <w:rFonts w:ascii="Cambria Math" w:eastAsiaTheme="minorEastAsia" w:hAnsi="Cambria Math" w:cs="Arial"/>
              </w:rPr>
              <m:t>450K</m:t>
            </m:r>
          </m:sup>
        </m:sSubSup>
        <m:r>
          <w:rPr>
            <w:rFonts w:ascii="Cambria Math" w:eastAsiaTheme="minorEastAsia" w:hAnsi="Cambria Math" w:cs="Arial"/>
          </w:rPr>
          <m:t xml:space="preserve">, </m:t>
        </m:r>
        <m:sSubSup>
          <m:sSubSupPr>
            <m:ctrlPr>
              <w:rPr>
                <w:rFonts w:ascii="Cambria Math" w:eastAsiaTheme="minorEastAsia" w:hAnsi="Cambria Math" w:cs="Arial"/>
                <w:i/>
              </w:rPr>
            </m:ctrlPr>
          </m:sSubSupPr>
          <m:e>
            <m:acc>
              <m:accPr>
                <m:chr m:val="⃗"/>
                <m:ctrlPr>
                  <w:rPr>
                    <w:rFonts w:ascii="Cambria Math" w:eastAsiaTheme="minorEastAsia" w:hAnsi="Cambria Math" w:cs="Arial"/>
                    <w:i/>
                  </w:rPr>
                </m:ctrlPr>
              </m:accPr>
              <m:e>
                <m:r>
                  <w:rPr>
                    <w:rFonts w:ascii="Cambria Math" w:eastAsiaTheme="minorEastAsia" w:hAnsi="Cambria Math" w:cs="Arial"/>
                  </w:rPr>
                  <m:t>X</m:t>
                </m:r>
              </m:e>
            </m:acc>
          </m:e>
          <m:sub>
            <m:r>
              <w:rPr>
                <w:rFonts w:ascii="Cambria Math" w:eastAsiaTheme="minorEastAsia" w:hAnsi="Cambria Math" w:cs="Arial"/>
              </w:rPr>
              <m:t>i</m:t>
            </m:r>
          </m:sub>
          <m:sup>
            <m:r>
              <w:rPr>
                <w:rFonts w:ascii="Cambria Math" w:eastAsiaTheme="minorEastAsia" w:hAnsi="Cambria Math" w:cs="Arial"/>
              </w:rPr>
              <m:t>EPIC</m:t>
            </m:r>
          </m:sup>
        </m:sSubSup>
        <m:r>
          <w:rPr>
            <w:rFonts w:ascii="Cambria Math" w:eastAsiaTheme="minorEastAsia" w:hAnsi="Cambria Math" w:cs="Arial"/>
          </w:rPr>
          <m:t xml:space="preserve">) </m:t>
        </m:r>
      </m:oMath>
      <w:r w:rsidR="00B61150" w:rsidDel="00F92049">
        <w:rPr>
          <w:rFonts w:ascii="Arial" w:eastAsiaTheme="minorEastAsia" w:hAnsi="Arial" w:cs="Arial"/>
        </w:rPr>
        <w:tab/>
      </w:r>
      <w:r w:rsidR="00B61150" w:rsidDel="00F92049">
        <w:rPr>
          <w:rFonts w:ascii="Arial" w:eastAsiaTheme="minorEastAsia" w:hAnsi="Arial" w:cs="Arial"/>
        </w:rPr>
        <w:tab/>
      </w:r>
      <w:r w:rsidR="00B61150" w:rsidDel="00F92049">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t>(S3a</w:t>
      </w:r>
      <w:r w:rsidR="00B61150" w:rsidDel="00F92049">
        <w:rPr>
          <w:rFonts w:ascii="Arial" w:eastAsiaTheme="minorEastAsia" w:hAnsi="Arial" w:cs="Arial"/>
        </w:rPr>
        <w:t>)</w:t>
      </w:r>
    </w:p>
    <w:p w14:paraId="7B0D33BF" w14:textId="77777777" w:rsidR="00B61150" w:rsidRDefault="00253487" w:rsidP="00B61150">
      <w:pP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i</m:t>
            </m:r>
          </m:sub>
        </m:sSub>
        <m:r>
          <w:rPr>
            <w:rFonts w:ascii="Cambria Math" w:eastAsiaTheme="minorEastAsia" w:hAnsi="Cambria Math" w:cs="Arial"/>
          </w:rPr>
          <m:t>=</m:t>
        </m:r>
        <m:f>
          <m:fPr>
            <m:ctrlPr>
              <w:rPr>
                <w:rFonts w:ascii="Cambria Math" w:eastAsiaTheme="minorEastAsia" w:hAnsi="Cambria Math" w:cs="Arial"/>
                <w:i/>
              </w:rPr>
            </m:ctrlPr>
          </m:fPr>
          <m:num>
            <m:nary>
              <m:naryPr>
                <m:chr m:val="∑"/>
                <m:limLoc m:val="subSup"/>
                <m:ctrlPr>
                  <w:rPr>
                    <w:rFonts w:ascii="Cambria Math" w:eastAsiaTheme="minorEastAsia" w:hAnsi="Cambria Math" w:cs="Arial"/>
                    <w:i/>
                  </w:rPr>
                </m:ctrlPr>
              </m:naryPr>
              <m:sub>
                <m:r>
                  <w:rPr>
                    <w:rFonts w:ascii="Cambria Math" w:eastAsiaTheme="minorEastAsia" w:hAnsi="Cambria Math" w:cs="Arial"/>
                  </w:rPr>
                  <m:t>r=1</m:t>
                </m:r>
              </m:sub>
              <m:sup>
                <m:r>
                  <w:rPr>
                    <w:rFonts w:ascii="Cambria Math" w:eastAsiaTheme="minorEastAsia" w:hAnsi="Cambria Math" w:cs="Arial"/>
                  </w:rPr>
                  <m:t>R</m:t>
                </m:r>
              </m:sup>
              <m:e>
                <m:r>
                  <w:rPr>
                    <w:rFonts w:ascii="Cambria Math" w:eastAsiaTheme="minorEastAsia" w:hAnsi="Cambria Math" w:cs="Arial"/>
                  </w:rPr>
                  <m:t>(</m:t>
                </m:r>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450K</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i</m:t>
                    </m:r>
                  </m:sub>
                  <m:sup>
                    <m:r>
                      <w:rPr>
                        <w:rFonts w:ascii="Cambria Math" w:hAnsi="Cambria Math" w:cs="Arial"/>
                      </w:rPr>
                      <m:t>450K</m:t>
                    </m:r>
                  </m:sup>
                </m:sSubSup>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EPIC</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 xml:space="preserve"> i</m:t>
                    </m:r>
                  </m:sub>
                  <m:sup>
                    <m:r>
                      <w:rPr>
                        <w:rFonts w:ascii="Cambria Math" w:hAnsi="Cambria Math" w:cs="Arial"/>
                      </w:rPr>
                      <m:t>EPIC</m:t>
                    </m:r>
                  </m:sup>
                </m:sSubSup>
                <m:r>
                  <w:rPr>
                    <w:rFonts w:ascii="Cambria Math" w:eastAsiaTheme="minorEastAsia" w:hAnsi="Cambria Math" w:cs="Arial"/>
                  </w:rPr>
                  <m:t>)</m:t>
                </m:r>
              </m:e>
            </m:nary>
          </m:num>
          <m:den>
            <m:rad>
              <m:radPr>
                <m:degHide m:val="1"/>
                <m:ctrlPr>
                  <w:rPr>
                    <w:rFonts w:ascii="Cambria Math" w:eastAsiaTheme="minorEastAsia" w:hAnsi="Cambria Math" w:cs="Arial"/>
                    <w:i/>
                  </w:rPr>
                </m:ctrlPr>
              </m:radPr>
              <m:deg/>
              <m:e>
                <m:nary>
                  <m:naryPr>
                    <m:chr m:val="∑"/>
                    <m:limLoc m:val="subSup"/>
                    <m:ctrlPr>
                      <w:rPr>
                        <w:rFonts w:ascii="Cambria Math" w:eastAsiaTheme="minorEastAsia" w:hAnsi="Cambria Math" w:cs="Arial"/>
                        <w:i/>
                      </w:rPr>
                    </m:ctrlPr>
                  </m:naryPr>
                  <m:sub>
                    <m:r>
                      <w:rPr>
                        <w:rFonts w:ascii="Cambria Math" w:eastAsiaTheme="minorEastAsia" w:hAnsi="Cambria Math" w:cs="Arial"/>
                      </w:rPr>
                      <m:t>r=1</m:t>
                    </m:r>
                  </m:sub>
                  <m:sup>
                    <m:r>
                      <w:rPr>
                        <w:rFonts w:ascii="Cambria Math" w:eastAsiaTheme="minorEastAsia" w:hAnsi="Cambria Math" w:cs="Arial"/>
                      </w:rPr>
                      <m:t>R</m:t>
                    </m:r>
                  </m:sup>
                  <m:e>
                    <m:sSup>
                      <m:sSupPr>
                        <m:ctrlPr>
                          <w:rPr>
                            <w:rFonts w:ascii="Cambria Math" w:eastAsiaTheme="minorEastAsia" w:hAnsi="Cambria Math" w:cs="Arial"/>
                            <w:i/>
                          </w:rPr>
                        </m:ctrlPr>
                      </m:sSupPr>
                      <m:e>
                        <m:r>
                          <w:rPr>
                            <w:rFonts w:ascii="Cambria Math" w:eastAsiaTheme="minorEastAsia" w:hAnsi="Cambria Math" w:cs="Arial"/>
                          </w:rPr>
                          <m:t>(</m:t>
                        </m:r>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450K</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 xml:space="preserve"> i</m:t>
                            </m:r>
                          </m:sub>
                          <m:sup>
                            <m:r>
                              <w:rPr>
                                <w:rFonts w:ascii="Cambria Math" w:hAnsi="Cambria Math" w:cs="Arial"/>
                              </w:rPr>
                              <m:t>450K</m:t>
                            </m:r>
                          </m:sup>
                        </m:sSubSup>
                        <m:r>
                          <w:rPr>
                            <w:rFonts w:ascii="Cambria Math" w:eastAsiaTheme="minorEastAsia" w:hAnsi="Cambria Math" w:cs="Arial"/>
                          </w:rPr>
                          <m:t>)</m:t>
                        </m:r>
                      </m:e>
                      <m:sup>
                        <m:r>
                          <w:rPr>
                            <w:rFonts w:ascii="Cambria Math" w:eastAsiaTheme="minorEastAsia" w:hAnsi="Cambria Math" w:cs="Arial"/>
                          </w:rPr>
                          <m:t>2</m:t>
                        </m:r>
                      </m:sup>
                    </m:sSup>
                  </m:e>
                </m:nary>
              </m:e>
            </m:rad>
            <m:rad>
              <m:radPr>
                <m:degHide m:val="1"/>
                <m:ctrlPr>
                  <w:rPr>
                    <w:rFonts w:ascii="Cambria Math" w:eastAsiaTheme="minorEastAsia" w:hAnsi="Cambria Math" w:cs="Arial"/>
                    <w:i/>
                  </w:rPr>
                </m:ctrlPr>
              </m:radPr>
              <m:deg/>
              <m:e>
                <m:nary>
                  <m:naryPr>
                    <m:chr m:val="∑"/>
                    <m:limLoc m:val="subSup"/>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R</m:t>
                    </m:r>
                  </m:sup>
                  <m:e>
                    <m:r>
                      <w:rPr>
                        <w:rFonts w:ascii="Cambria Math" w:eastAsiaTheme="minorEastAsia"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r, i</m:t>
                        </m:r>
                      </m:sub>
                      <m:sup>
                        <m:r>
                          <w:rPr>
                            <w:rFonts w:ascii="Cambria Math" w:hAnsi="Cambria Math" w:cs="Arial"/>
                          </w:rPr>
                          <m:t>EPIC</m:t>
                        </m:r>
                      </m:sup>
                    </m:sSubSup>
                    <m:r>
                      <w:rPr>
                        <w:rFonts w:ascii="Cambria Math" w:eastAsiaTheme="minorEastAsia" w:hAnsi="Cambria Math" w:cs="Arial"/>
                      </w:rPr>
                      <m:t xml:space="preserve">- </m:t>
                    </m:r>
                    <m:r>
                      <w:rPr>
                        <w:rFonts w:ascii="Cambria Math" w:hAnsi="Cambria Math" w:cs="Arial"/>
                      </w:rPr>
                      <m:t xml:space="preserve"> </m:t>
                    </m:r>
                    <m:sSubSup>
                      <m:sSubSupPr>
                        <m:ctrlPr>
                          <w:rPr>
                            <w:rFonts w:ascii="Cambria Math" w:hAnsi="Cambria Math" w:cs="Arial"/>
                            <w:i/>
                          </w:rPr>
                        </m:ctrlPr>
                      </m:sSubSup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 xml:space="preserve"> i</m:t>
                        </m:r>
                      </m:sub>
                      <m:sup>
                        <m:r>
                          <w:rPr>
                            <w:rFonts w:ascii="Cambria Math" w:hAnsi="Cambria Math" w:cs="Arial"/>
                          </w:rPr>
                          <m:t>EPIC</m:t>
                        </m:r>
                      </m:sup>
                    </m:sSubSup>
                    <m:sSup>
                      <m:sSupPr>
                        <m:ctrlPr>
                          <w:rPr>
                            <w:rFonts w:ascii="Cambria Math" w:eastAsiaTheme="minorEastAsia" w:hAnsi="Cambria Math" w:cs="Arial"/>
                            <w:i/>
                          </w:rPr>
                        </m:ctrlPr>
                      </m:sSupPr>
                      <m:e>
                        <m:r>
                          <w:rPr>
                            <w:rFonts w:ascii="Cambria Math" w:eastAsiaTheme="minorEastAsia" w:hAnsi="Cambria Math" w:cs="Arial"/>
                          </w:rPr>
                          <m:t>)</m:t>
                        </m:r>
                      </m:e>
                      <m:sup>
                        <m:r>
                          <w:rPr>
                            <w:rFonts w:ascii="Cambria Math" w:eastAsiaTheme="minorEastAsia" w:hAnsi="Cambria Math" w:cs="Arial"/>
                          </w:rPr>
                          <m:t>2</m:t>
                        </m:r>
                      </m:sup>
                    </m:sSup>
                  </m:e>
                </m:nary>
              </m:e>
            </m:rad>
          </m:den>
        </m:f>
      </m:oMath>
      <w:r w:rsidR="00B61150" w:rsidDel="00F92049">
        <w:rPr>
          <w:rFonts w:ascii="Arial" w:eastAsiaTheme="minorEastAsia" w:hAnsi="Arial" w:cs="Arial"/>
        </w:rPr>
        <w:tab/>
      </w:r>
      <w:r w:rsidR="00B61150" w:rsidDel="00F92049">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r>
      <w:r w:rsidR="00B61150">
        <w:rPr>
          <w:rFonts w:ascii="Arial" w:eastAsiaTheme="minorEastAsia" w:hAnsi="Arial" w:cs="Arial"/>
        </w:rPr>
        <w:tab/>
        <w:t>(S3b</w:t>
      </w:r>
      <w:r w:rsidR="00B61150" w:rsidDel="00F92049">
        <w:rPr>
          <w:rFonts w:ascii="Arial" w:eastAsiaTheme="minorEastAsia" w:hAnsi="Arial" w:cs="Arial"/>
        </w:rPr>
        <w:t>)</w:t>
      </w:r>
    </w:p>
    <w:p w14:paraId="44872ADC" w14:textId="77777777" w:rsidR="00B61150" w:rsidDel="00F92049" w:rsidRDefault="00B61150" w:rsidP="00B61150">
      <w:pPr>
        <w:rPr>
          <w:rFonts w:ascii="Arial" w:hAnsi="Arial" w:cs="Arial"/>
        </w:rPr>
      </w:pPr>
    </w:p>
    <w:p w14:paraId="36C5E833" w14:textId="74347527" w:rsidR="00B61150" w:rsidRDefault="00B61150">
      <w:pPr>
        <w:rPr>
          <w:rFonts w:ascii="Arial" w:hAnsi="Arial" w:cs="Arial"/>
        </w:rPr>
      </w:pPr>
      <w:r w:rsidDel="00F92049">
        <w:rPr>
          <w:rFonts w:ascii="Arial" w:hAnsi="Arial" w:cs="Arial"/>
        </w:rPr>
        <w:t xml:space="preserve">Where </w:t>
      </w:r>
      <m:oMath>
        <m:r>
          <w:rPr>
            <w:rFonts w:ascii="Cambria Math" w:hAnsi="Cambria Math" w:cs="Arial"/>
          </w:rPr>
          <m:t>X</m:t>
        </m:r>
      </m:oMath>
      <w:r>
        <w:rPr>
          <w:rFonts w:ascii="Arial" w:hAnsi="Arial" w:cs="Arial"/>
        </w:rPr>
        <w:t>,</w:t>
      </w:r>
      <w:r w:rsidDel="00F92049">
        <w:rPr>
          <w:rFonts w:ascii="Arial" w:hAnsi="Arial" w:cs="Arial"/>
        </w:rPr>
        <w:t xml:space="preserve"> </w:t>
      </w:r>
      <m:oMath>
        <m:r>
          <w:rPr>
            <w:rFonts w:ascii="Cambria Math" w:eastAsiaTheme="minorEastAsia" w:hAnsi="Cambria Math" w:cs="Arial"/>
          </w:rPr>
          <m:t>i</m:t>
        </m:r>
      </m:oMath>
      <w:r w:rsidDel="00F92049">
        <w:rPr>
          <w:rFonts w:ascii="Arial" w:eastAsiaTheme="minorEastAsia" w:hAnsi="Arial" w:cs="Arial"/>
        </w:rPr>
        <w:t xml:space="preserve"> </w:t>
      </w:r>
      <w:r>
        <w:rPr>
          <w:rFonts w:ascii="Arial" w:eastAsiaTheme="minorEastAsia" w:hAnsi="Arial" w:cs="Arial"/>
        </w:rPr>
        <w:t xml:space="preserve">and </w:t>
      </w:r>
      <m:oMath>
        <m:r>
          <w:rPr>
            <w:rFonts w:ascii="Cambria Math" w:eastAsiaTheme="minorEastAsia" w:hAnsi="Cambria Math" w:cs="Arial"/>
          </w:rPr>
          <m:t>r</m:t>
        </m:r>
      </m:oMath>
      <w:r>
        <w:rPr>
          <w:rFonts w:ascii="Arial" w:eastAsiaTheme="minorEastAsia" w:hAnsi="Arial" w:cs="Arial"/>
        </w:rPr>
        <w:t xml:space="preserve"> are </w:t>
      </w:r>
      <w:r w:rsidDel="00F92049">
        <w:rPr>
          <w:rFonts w:ascii="Arial" w:eastAsiaTheme="minorEastAsia" w:hAnsi="Arial" w:cs="Arial"/>
        </w:rPr>
        <w:t>denote</w:t>
      </w:r>
      <w:r>
        <w:rPr>
          <w:rFonts w:ascii="Arial" w:eastAsiaTheme="minorEastAsia" w:hAnsi="Arial" w:cs="Arial"/>
        </w:rPr>
        <w:t>d</w:t>
      </w:r>
      <w:r w:rsidDel="00F92049">
        <w:rPr>
          <w:rFonts w:ascii="Arial" w:eastAsiaTheme="minorEastAsia" w:hAnsi="Arial" w:cs="Arial"/>
        </w:rPr>
        <w:t xml:space="preserve"> a</w:t>
      </w:r>
      <w:r>
        <w:rPr>
          <w:rFonts w:ascii="Arial" w:eastAsiaTheme="minorEastAsia" w:hAnsi="Arial" w:cs="Arial"/>
        </w:rPr>
        <w:t xml:space="preserve">s above in the previous correlation.  The bar symbol denotes the mean over the </w:t>
      </w:r>
      <m:oMath>
        <m:r>
          <w:rPr>
            <w:rFonts w:ascii="Cambria Math" w:eastAsiaTheme="minorEastAsia" w:hAnsi="Cambria Math" w:cs="Arial"/>
          </w:rPr>
          <m:t>r</m:t>
        </m:r>
      </m:oMath>
      <w:r>
        <w:rPr>
          <w:rFonts w:ascii="Arial" w:eastAsiaTheme="minorEastAsia" w:hAnsi="Arial" w:cs="Arial"/>
        </w:rPr>
        <w:t xml:space="preserve"> technical replicates.   </w:t>
      </w:r>
    </w:p>
    <w:p w14:paraId="1B7F5EFE" w14:textId="006BF9A3" w:rsidR="00E20B0D" w:rsidRDefault="00E20B0D">
      <w:pPr>
        <w:rPr>
          <w:rFonts w:ascii="Arial" w:hAnsi="Arial" w:cs="Arial"/>
        </w:rPr>
      </w:pPr>
    </w:p>
    <w:p w14:paraId="5DB545A4" w14:textId="6C702FC0" w:rsidR="00E20B0D" w:rsidRPr="00E20B0D" w:rsidRDefault="00E20B0D" w:rsidP="00E20B0D">
      <w:pPr>
        <w:rPr>
          <w:rFonts w:ascii="Arial" w:hAnsi="Arial" w:cs="Arial"/>
          <w:b/>
        </w:rPr>
      </w:pPr>
      <w:r>
        <w:rPr>
          <w:rFonts w:ascii="Arial" w:hAnsi="Arial" w:cs="Arial"/>
          <w:b/>
        </w:rPr>
        <w:t>Supplementary Results</w:t>
      </w:r>
    </w:p>
    <w:p w14:paraId="7FDF1719" w14:textId="4F4D883B" w:rsidR="00E20B0D" w:rsidRPr="00E20B0D" w:rsidRDefault="00E20B0D" w:rsidP="00E20B0D">
      <w:pPr>
        <w:rPr>
          <w:rFonts w:ascii="Arial" w:hAnsi="Arial" w:cs="Arial"/>
          <w:i/>
        </w:rPr>
      </w:pPr>
      <w:r w:rsidRPr="00E20B0D">
        <w:rPr>
          <w:rFonts w:ascii="Arial" w:hAnsi="Arial" w:cs="Arial"/>
          <w:i/>
        </w:rPr>
        <w:t>Probe QC at the Normalization Step</w:t>
      </w:r>
    </w:p>
    <w:p w14:paraId="07F79D8D" w14:textId="77777777" w:rsidR="00E20B0D" w:rsidRDefault="00E20B0D" w:rsidP="00E20B0D">
      <w:pPr>
        <w:rPr>
          <w:rFonts w:ascii="Arial" w:hAnsi="Arial" w:cs="Arial"/>
        </w:rPr>
      </w:pPr>
      <w:r>
        <w:rPr>
          <w:rFonts w:ascii="Arial" w:hAnsi="Arial" w:cs="Arial"/>
        </w:rPr>
        <w:t xml:space="preserve">It should be noted after probe QC performed in conjunction with a normalization procedure, the number of probes which failed QC using the </w:t>
      </w:r>
      <w:proofErr w:type="spellStart"/>
      <w:r>
        <w:rPr>
          <w:rFonts w:ascii="Arial" w:hAnsi="Arial" w:cs="Arial"/>
        </w:rPr>
        <w:t>SeSAMe</w:t>
      </w:r>
      <w:proofErr w:type="spellEnd"/>
      <w:r>
        <w:rPr>
          <w:rFonts w:ascii="Arial" w:hAnsi="Arial" w:cs="Arial"/>
        </w:rPr>
        <w:t xml:space="preserve"> method was much higher than the SWAN method.  Of the original 484,976 probes on the 450K, we were left with 375,020 and 454,078 probes for </w:t>
      </w:r>
      <w:proofErr w:type="spellStart"/>
      <w:r>
        <w:rPr>
          <w:rFonts w:ascii="Arial" w:hAnsi="Arial" w:cs="Arial"/>
        </w:rPr>
        <w:t>SeSAMe</w:t>
      </w:r>
      <w:proofErr w:type="spellEnd"/>
      <w:r>
        <w:rPr>
          <w:rFonts w:ascii="Arial" w:hAnsi="Arial" w:cs="Arial"/>
        </w:rPr>
        <w:t xml:space="preserve"> and SWAN methods respectively.  Of the 866,836 probes on the EPIC, we were left with 664,615 and 833,798 probes for the </w:t>
      </w:r>
      <w:proofErr w:type="spellStart"/>
      <w:r>
        <w:rPr>
          <w:rFonts w:ascii="Arial" w:hAnsi="Arial" w:cs="Arial"/>
        </w:rPr>
        <w:t>SeSAMe</w:t>
      </w:r>
      <w:proofErr w:type="spellEnd"/>
      <w:r>
        <w:rPr>
          <w:rFonts w:ascii="Arial" w:hAnsi="Arial" w:cs="Arial"/>
        </w:rPr>
        <w:t xml:space="preserve"> and SWAN methods respectively.</w:t>
      </w:r>
    </w:p>
    <w:p w14:paraId="52A4F8D3" w14:textId="77777777" w:rsidR="00524166" w:rsidRPr="00033E8D" w:rsidRDefault="00524166" w:rsidP="00524166">
      <w:pPr>
        <w:rPr>
          <w:rFonts w:ascii="Arial" w:hAnsi="Arial" w:cs="Arial"/>
          <w:i/>
        </w:rPr>
      </w:pPr>
      <w:r w:rsidRPr="00033E8D">
        <w:rPr>
          <w:rFonts w:ascii="Arial" w:hAnsi="Arial" w:cs="Arial"/>
          <w:i/>
        </w:rPr>
        <w:t>Probe Filtering</w:t>
      </w:r>
    </w:p>
    <w:p w14:paraId="1DEA9092" w14:textId="76C03277" w:rsidR="00524166" w:rsidRDefault="00524166" w:rsidP="00524166">
      <w:pPr>
        <w:rPr>
          <w:rFonts w:ascii="Arial" w:hAnsi="Arial" w:cs="Arial"/>
        </w:rPr>
      </w:pPr>
      <w:r>
        <w:rPr>
          <w:rFonts w:ascii="Arial" w:hAnsi="Arial" w:cs="Arial"/>
        </w:rPr>
        <w:t>The proportion of probes on the autosomes were very similar pre and post this range filtering in both the 450K and EPIC platforms (Supplement Figure S4) showing th</w:t>
      </w:r>
      <w:r w:rsidR="00B93A87">
        <w:rPr>
          <w:rFonts w:ascii="Arial" w:hAnsi="Arial" w:cs="Arial"/>
        </w:rPr>
        <w:t>is</w:t>
      </w:r>
      <w:r>
        <w:rPr>
          <w:rFonts w:ascii="Arial" w:hAnsi="Arial" w:cs="Arial"/>
        </w:rPr>
        <w:t xml:space="preserve"> filtering method does not affect one area of the genome more than others.  We also show the</w:t>
      </w:r>
      <w:r w:rsidR="00B93A87">
        <w:rPr>
          <w:rFonts w:ascii="Arial" w:hAnsi="Arial" w:cs="Arial"/>
        </w:rPr>
        <w:t xml:space="preserve"> higher</w:t>
      </w:r>
      <w:r>
        <w:rPr>
          <w:rFonts w:ascii="Arial" w:hAnsi="Arial" w:cs="Arial"/>
        </w:rPr>
        <w:t xml:space="preserve"> probe-level technical replicate correlation within platform (</w:t>
      </w:r>
      <w:proofErr w:type="spellStart"/>
      <w:r w:rsidRPr="00B0767C">
        <w:rPr>
          <w:rFonts w:ascii="Arial" w:hAnsi="Arial" w:cs="Arial"/>
        </w:rPr>
        <w:t>Eqn</w:t>
      </w:r>
      <w:proofErr w:type="spellEnd"/>
      <w:r>
        <w:rPr>
          <w:rFonts w:ascii="Arial" w:hAnsi="Arial" w:cs="Arial"/>
        </w:rPr>
        <w:t xml:space="preserve"> – S3) is associated with those probes with high</w:t>
      </w:r>
      <w:r w:rsidR="00B93A87">
        <w:rPr>
          <w:rFonts w:ascii="Arial" w:hAnsi="Arial" w:cs="Arial"/>
        </w:rPr>
        <w:t>er</w:t>
      </w:r>
      <w:r>
        <w:rPr>
          <w:rFonts w:ascii="Arial" w:hAnsi="Arial" w:cs="Arial"/>
        </w:rPr>
        <w:t xml:space="preserve"> methylation Beta range across all samples (Supplemental Figure S5).          </w:t>
      </w:r>
    </w:p>
    <w:p w14:paraId="0E3D9A5E" w14:textId="4163E9FD" w:rsidR="00E20B0D" w:rsidRDefault="00E20B0D" w:rsidP="00E20B0D">
      <w:pPr>
        <w:rPr>
          <w:rFonts w:ascii="Arial" w:hAnsi="Arial" w:cs="Arial"/>
        </w:rPr>
      </w:pPr>
      <w:r>
        <w:rPr>
          <w:rFonts w:ascii="Arial" w:hAnsi="Arial" w:cs="Arial"/>
        </w:rPr>
        <w:t xml:space="preserve">  </w:t>
      </w:r>
    </w:p>
    <w:p w14:paraId="1B63C625" w14:textId="0B648B0E" w:rsidR="00E20B0D" w:rsidRPr="00CC1AA7" w:rsidRDefault="00CC1AA7">
      <w:pPr>
        <w:rPr>
          <w:rFonts w:ascii="Arial" w:hAnsi="Arial" w:cs="Arial"/>
          <w:b/>
        </w:rPr>
      </w:pPr>
      <w:r w:rsidRPr="00CC1AA7">
        <w:rPr>
          <w:rFonts w:ascii="Arial" w:hAnsi="Arial" w:cs="Arial"/>
          <w:b/>
        </w:rPr>
        <w:t>Supplementary Discussion</w:t>
      </w:r>
    </w:p>
    <w:p w14:paraId="0C014385" w14:textId="3AD85E63" w:rsidR="00777E94" w:rsidRDefault="00CC1AA7">
      <w:pPr>
        <w:rPr>
          <w:rFonts w:ascii="Arial" w:hAnsi="Arial" w:cs="Arial"/>
        </w:rPr>
      </w:pPr>
      <w:r>
        <w:rPr>
          <w:rFonts w:ascii="Arial" w:hAnsi="Arial" w:cs="Arial"/>
        </w:rPr>
        <w:t xml:space="preserve">We did remove a substantial amount of probes using the additional methylation Beta range filtering suggested by Logue et al </w:t>
      </w:r>
      <w:r>
        <w:rPr>
          <w:rFonts w:ascii="Arial" w:hAnsi="Arial" w:cs="Arial"/>
        </w:rPr>
        <w:fldChar w:fldCharType="begin"/>
      </w:r>
      <w:r>
        <w:rPr>
          <w:rFonts w:ascii="Arial" w:hAnsi="Arial" w:cs="Arial"/>
        </w:rPr>
        <w:instrText xml:space="preserve"> ADDIN ZOTERO_ITEM CSL_CITATION {"citationID":"6S4x2wpT","properties":{"formattedCitation":"(Logue et al., 2017)","plainCitation":"(Logue et al., 2017)","noteIndex":0},"citationItems":[{"id":31,"uris":["http://zotero.org/users/6108095/items/DFBNXVUX"],"uri":["http://zotero.org/users/6108095/items/DFBNXVUX"],"itemData":{"id":31,"type":"article-journal","abstract":"AIM: We examined concordance of methylation levels across the Illumina Infinium HumanMethylation450 BeadChip and the Infinium MethylationEPIC BeadChip.\nMETHODS: We computed the correlation for 145 whole blood DNA samples at each of the 422,524 CpG sites measured by both chips.\nRESULTS: The correlation at some sites was high (up to r = 0.95), but many sites had low correlation (55% had r &lt; 0.20). The low correspondence between 450K and EPIC measured methylation values at many loci was largely due to the low variability in methylation values for the majority of the CpG sites in blood.\nCONCLUSION: Filtering out probes based on the observed correlation or low variability may increase reproducibility of BeadChip-based epidemiological studies.","container-title":"Epigenomics","DOI":"10.2217/epi-2017-0078","ISSN":"1750-192X","issue":"11","journalAbbreviation":"Epigenomics","language":"eng","note":"PMID: 28809127\nPMCID: PMC5967357","page":"1363-1371","source":"PubMed","title":"The correlation of methylation levels measured using Illumina 450K and EPIC BeadChips in blood samples","volume":"9","author":[{"family":"Logue","given":"Mark W."},{"family":"Smith","given":"Alicia K."},{"family":"Wolf","given":"Erika J."},{"family":"Maniates","given":"Hannah"},{"family":"Stone","given":"Annjanette"},{"family":"Schichman","given":"Steven A."},{"family":"McGlinchey","given":"Regina E."},{"family":"Milberg","given":"William"},{"family":"Miller","given":"Mark W."}],"issued":{"date-parts":[["2017"]]}}}],"schema":"https://github.com/citation-style-language/schema/raw/master/csl-citation.json"} </w:instrText>
      </w:r>
      <w:r>
        <w:rPr>
          <w:rFonts w:ascii="Arial" w:hAnsi="Arial" w:cs="Arial"/>
        </w:rPr>
        <w:fldChar w:fldCharType="separate"/>
      </w:r>
      <w:r w:rsidRPr="00CC1AA7">
        <w:rPr>
          <w:rFonts w:ascii="Arial" w:hAnsi="Arial" w:cs="Arial"/>
        </w:rPr>
        <w:t>(Logue et al., 2017)</w:t>
      </w:r>
      <w:r>
        <w:rPr>
          <w:rFonts w:ascii="Arial" w:hAnsi="Arial" w:cs="Arial"/>
        </w:rPr>
        <w:fldChar w:fldCharType="end"/>
      </w:r>
      <w:r>
        <w:rPr>
          <w:rFonts w:ascii="Arial" w:hAnsi="Arial" w:cs="Arial"/>
        </w:rPr>
        <w:t xml:space="preserve">.  Since neither the 450K nor EPIC array </w:t>
      </w:r>
      <w:r w:rsidR="00777E94">
        <w:rPr>
          <w:rFonts w:ascii="Arial" w:hAnsi="Arial" w:cs="Arial"/>
        </w:rPr>
        <w:t xml:space="preserve">is </w:t>
      </w:r>
      <w:r w:rsidR="00777E94">
        <w:rPr>
          <w:rFonts w:ascii="Arial" w:hAnsi="Arial" w:cs="Arial"/>
        </w:rPr>
        <w:lastRenderedPageBreak/>
        <w:t xml:space="preserve">specifically </w:t>
      </w:r>
      <w:r>
        <w:rPr>
          <w:rFonts w:ascii="Arial" w:hAnsi="Arial" w:cs="Arial"/>
        </w:rPr>
        <w:t>designed for our population of interest, we expect many probes to be either completely methylated or unmethylat</w:t>
      </w:r>
      <w:r w:rsidR="00E166C1">
        <w:rPr>
          <w:rFonts w:ascii="Arial" w:hAnsi="Arial" w:cs="Arial"/>
        </w:rPr>
        <w:t xml:space="preserve">ed and not vary across subjects. </w:t>
      </w:r>
    </w:p>
    <w:p w14:paraId="1B63E4CC" w14:textId="77777777" w:rsidR="00777E94" w:rsidRPr="00777E94" w:rsidRDefault="00777E94">
      <w:pPr>
        <w:rPr>
          <w:rFonts w:ascii="Arial" w:hAnsi="Arial" w:cs="Arial"/>
          <w:b/>
        </w:rPr>
      </w:pPr>
      <w:r w:rsidRPr="00777E94">
        <w:rPr>
          <w:rFonts w:ascii="Arial" w:hAnsi="Arial" w:cs="Arial"/>
          <w:b/>
        </w:rPr>
        <w:t>Supplemental Tables &amp; Figures</w:t>
      </w:r>
    </w:p>
    <w:p w14:paraId="624D24D3" w14:textId="77777777" w:rsidR="00777E94" w:rsidRDefault="00777E94" w:rsidP="00777E94">
      <w:pPr>
        <w:rPr>
          <w:rFonts w:ascii="Arial" w:hAnsi="Arial" w:cs="Arial"/>
        </w:rPr>
      </w:pPr>
    </w:p>
    <w:p w14:paraId="448A8DC4" w14:textId="77777777" w:rsidR="00777E94" w:rsidRPr="00597FE7" w:rsidRDefault="00777E94" w:rsidP="00777E94">
      <w:pPr>
        <w:rPr>
          <w:rFonts w:ascii="Arial" w:hAnsi="Arial" w:cs="Arial"/>
          <w:b/>
          <w:u w:val="single"/>
        </w:rPr>
      </w:pPr>
      <w:r w:rsidRPr="00192FA9">
        <w:rPr>
          <w:rFonts w:ascii="Arial" w:hAnsi="Arial" w:cs="Arial"/>
          <w:b/>
          <w:u w:val="single"/>
        </w:rPr>
        <w:t>Supplemental Table S1: PC Association with Platform.</w:t>
      </w:r>
      <w:r>
        <w:rPr>
          <w:rFonts w:ascii="Arial" w:hAnsi="Arial" w:cs="Arial"/>
        </w:rPr>
        <w:t xml:space="preserve">  Principal component analysis was performed across the </w:t>
      </w:r>
      <w:proofErr w:type="spellStart"/>
      <w:r>
        <w:rPr>
          <w:rFonts w:ascii="Arial" w:hAnsi="Arial" w:cs="Arial"/>
        </w:rPr>
        <w:t>ssNoob</w:t>
      </w:r>
      <w:proofErr w:type="spellEnd"/>
      <w:r>
        <w:rPr>
          <w:rFonts w:ascii="Arial" w:hAnsi="Arial" w:cs="Arial"/>
        </w:rPr>
        <w:t xml:space="preserve"> normalized dataset (e.g. both the 450K and EPIC platforms normalized together) with and without batch effect adjustment using Combat.  For the first 10 PCs, the percent variance explained and the p-value for representing the association between the PC and platform is reported.  Associations with a p-value &lt; 0.05 are highlighted in yellow.   </w:t>
      </w:r>
    </w:p>
    <w:p w14:paraId="6D9F77B4" w14:textId="73324A7D" w:rsidR="00CC1AA7" w:rsidRDefault="00E166C1">
      <w:pPr>
        <w:rPr>
          <w:rFonts w:ascii="Arial" w:hAnsi="Arial" w:cs="Arial"/>
        </w:rPr>
      </w:pPr>
      <w:r>
        <w:rPr>
          <w:rFonts w:ascii="Arial" w:hAnsi="Arial" w:cs="Arial"/>
        </w:rPr>
        <w:t xml:space="preserve"> </w:t>
      </w:r>
      <w:r w:rsidR="00CC1AA7">
        <w:rPr>
          <w:rFonts w:ascii="Arial" w:hAnsi="Arial" w:cs="Arial"/>
        </w:rPr>
        <w:t xml:space="preserve"> </w:t>
      </w:r>
      <w:r w:rsidR="00777E94" w:rsidRPr="00777E94">
        <w:rPr>
          <w:noProof/>
        </w:rPr>
        <w:drawing>
          <wp:inline distT="0" distB="0" distL="0" distR="0" wp14:anchorId="7D4B227B" wp14:editId="4EFD31CD">
            <wp:extent cx="4714875" cy="2886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4875" cy="2886075"/>
                    </a:xfrm>
                    <a:prstGeom prst="rect">
                      <a:avLst/>
                    </a:prstGeom>
                    <a:noFill/>
                    <a:ln>
                      <a:noFill/>
                    </a:ln>
                  </pic:spPr>
                </pic:pic>
              </a:graphicData>
            </a:graphic>
          </wp:inline>
        </w:drawing>
      </w:r>
      <w:r w:rsidR="00CC1AA7">
        <w:rPr>
          <w:rFonts w:ascii="Arial" w:hAnsi="Arial" w:cs="Arial"/>
        </w:rPr>
        <w:t xml:space="preserve">   </w:t>
      </w:r>
    </w:p>
    <w:p w14:paraId="39092547" w14:textId="77777777" w:rsidR="00777E94" w:rsidRDefault="00777E94">
      <w:pPr>
        <w:rPr>
          <w:rFonts w:ascii="Arial" w:hAnsi="Arial" w:cs="Arial"/>
          <w:b/>
          <w:bCs/>
          <w:u w:val="single"/>
        </w:rPr>
      </w:pPr>
      <w:r>
        <w:rPr>
          <w:rFonts w:ascii="Arial" w:hAnsi="Arial" w:cs="Arial"/>
          <w:b/>
          <w:bCs/>
          <w:u w:val="single"/>
        </w:rPr>
        <w:br w:type="page"/>
      </w:r>
    </w:p>
    <w:p w14:paraId="14949BE4" w14:textId="0083BCCE" w:rsidR="00CB28E8" w:rsidRPr="00CB28E8" w:rsidRDefault="00CB28E8" w:rsidP="00CB28E8">
      <w:pPr>
        <w:rPr>
          <w:rFonts w:ascii="Arial" w:hAnsi="Arial" w:cs="Arial"/>
        </w:rPr>
      </w:pPr>
      <w:r w:rsidRPr="00692612">
        <w:rPr>
          <w:rFonts w:ascii="Arial" w:hAnsi="Arial" w:cs="Arial"/>
          <w:b/>
          <w:u w:val="single"/>
        </w:rPr>
        <w:lastRenderedPageBreak/>
        <w:t>Supplemental Table S2: Platform Bias by Normalization Procedure.</w:t>
      </w:r>
      <w:r w:rsidRPr="00692612">
        <w:rPr>
          <w:rFonts w:ascii="Arial" w:hAnsi="Arial" w:cs="Arial"/>
        </w:rPr>
        <w:t xml:space="preserve">  The mean bias (the mean difference between 450K and EPIC array) is reported for each technical replicate pair along with the 95% CI of that bias for either the </w:t>
      </w:r>
      <w:proofErr w:type="spellStart"/>
      <w:r w:rsidRPr="00692612">
        <w:rPr>
          <w:rFonts w:ascii="Arial" w:hAnsi="Arial" w:cs="Arial"/>
        </w:rPr>
        <w:t>SeSAMe</w:t>
      </w:r>
      <w:proofErr w:type="spellEnd"/>
      <w:r w:rsidRPr="00692612">
        <w:rPr>
          <w:rFonts w:ascii="Arial" w:hAnsi="Arial" w:cs="Arial"/>
        </w:rPr>
        <w:t xml:space="preserve"> or SWAN normalization pipeline.</w:t>
      </w:r>
      <w:r>
        <w:rPr>
          <w:rFonts w:ascii="Arial" w:hAnsi="Arial" w:cs="Arial"/>
        </w:rPr>
        <w:t xml:space="preserve">    </w:t>
      </w:r>
    </w:p>
    <w:tbl>
      <w:tblPr>
        <w:tblW w:w="8140" w:type="dxa"/>
        <w:tblInd w:w="-5" w:type="dxa"/>
        <w:tblLook w:val="04A0" w:firstRow="1" w:lastRow="0" w:firstColumn="1" w:lastColumn="0" w:noHBand="0" w:noVBand="1"/>
      </w:tblPr>
      <w:tblGrid>
        <w:gridCol w:w="1340"/>
        <w:gridCol w:w="1700"/>
        <w:gridCol w:w="1700"/>
        <w:gridCol w:w="1700"/>
        <w:gridCol w:w="1700"/>
      </w:tblGrid>
      <w:tr w:rsidR="00CB28E8" w:rsidRPr="00CB28E8" w14:paraId="19F7AC5B" w14:textId="77777777" w:rsidTr="00EA6BF9">
        <w:trPr>
          <w:trHeight w:val="90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CECE4" w14:textId="77777777" w:rsidR="00CB28E8" w:rsidRPr="00CB28E8" w:rsidRDefault="00CB28E8" w:rsidP="00EA6BF9">
            <w:pPr>
              <w:spacing w:after="0" w:line="240" w:lineRule="auto"/>
              <w:jc w:val="center"/>
              <w:rPr>
                <w:rFonts w:ascii="Calibri" w:eastAsia="Times New Roman" w:hAnsi="Calibri" w:cs="Calibri"/>
                <w:b/>
                <w:bCs/>
                <w:color w:val="000000"/>
              </w:rPr>
            </w:pPr>
            <w:r w:rsidRPr="00CB28E8">
              <w:rPr>
                <w:rFonts w:ascii="Calibri" w:eastAsia="Times New Roman" w:hAnsi="Calibri" w:cs="Calibri"/>
                <w:b/>
                <w:bCs/>
                <w:color w:val="000000"/>
              </w:rPr>
              <w:t>Technical Replicate Pair</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5C3494AF" w14:textId="77777777" w:rsidR="00CB28E8" w:rsidRDefault="00CB28E8" w:rsidP="00CB28E8">
            <w:pPr>
              <w:spacing w:after="0" w:line="240" w:lineRule="auto"/>
              <w:jc w:val="center"/>
              <w:rPr>
                <w:rFonts w:ascii="Calibri" w:eastAsia="Times New Roman" w:hAnsi="Calibri" w:cs="Calibri"/>
                <w:b/>
                <w:bCs/>
                <w:color w:val="000000"/>
              </w:rPr>
            </w:pPr>
            <w:proofErr w:type="spellStart"/>
            <w:r w:rsidRPr="00CB28E8">
              <w:rPr>
                <w:rFonts w:ascii="Calibri" w:eastAsia="Times New Roman" w:hAnsi="Calibri" w:cs="Calibri"/>
                <w:b/>
                <w:bCs/>
                <w:color w:val="000000"/>
              </w:rPr>
              <w:t>SeSAMe</w:t>
            </w:r>
            <w:proofErr w:type="spellEnd"/>
            <w:r w:rsidRPr="00CB28E8">
              <w:rPr>
                <w:rFonts w:ascii="Calibri" w:eastAsia="Times New Roman" w:hAnsi="Calibri" w:cs="Calibri"/>
                <w:b/>
                <w:bCs/>
                <w:color w:val="000000"/>
              </w:rPr>
              <w:t xml:space="preserve"> </w:t>
            </w:r>
          </w:p>
          <w:p w14:paraId="2528C012" w14:textId="54E12425" w:rsidR="00CB28E8" w:rsidRPr="00CB28E8" w:rsidRDefault="00CB28E8" w:rsidP="00CB28E8">
            <w:pPr>
              <w:spacing w:after="0" w:line="240" w:lineRule="auto"/>
              <w:jc w:val="center"/>
              <w:rPr>
                <w:rFonts w:ascii="Calibri" w:eastAsia="Times New Roman" w:hAnsi="Calibri" w:cs="Calibri"/>
                <w:b/>
                <w:bCs/>
                <w:color w:val="000000"/>
              </w:rPr>
            </w:pPr>
            <w:r w:rsidRPr="00CB28E8">
              <w:rPr>
                <w:rFonts w:ascii="Calibri" w:eastAsia="Times New Roman" w:hAnsi="Calibri" w:cs="Calibri"/>
                <w:b/>
                <w:bCs/>
                <w:color w:val="000000"/>
              </w:rPr>
              <w:t xml:space="preserve">Mean Bias </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5A62D43F" w14:textId="77777777" w:rsidR="00D03CC2" w:rsidRDefault="00D03CC2" w:rsidP="00EA6BF9">
            <w:pPr>
              <w:spacing w:after="0" w:line="240" w:lineRule="auto"/>
              <w:jc w:val="center"/>
              <w:rPr>
                <w:rFonts w:ascii="Calibri" w:eastAsia="Times New Roman" w:hAnsi="Calibri" w:cs="Calibri"/>
                <w:b/>
                <w:bCs/>
                <w:color w:val="000000"/>
              </w:rPr>
            </w:pPr>
            <w:proofErr w:type="spellStart"/>
            <w:r>
              <w:rPr>
                <w:rFonts w:ascii="Calibri" w:eastAsia="Times New Roman" w:hAnsi="Calibri" w:cs="Calibri"/>
                <w:b/>
                <w:bCs/>
                <w:color w:val="000000"/>
              </w:rPr>
              <w:t>SeSAMe</w:t>
            </w:r>
            <w:proofErr w:type="spellEnd"/>
          </w:p>
          <w:p w14:paraId="275D32D4" w14:textId="3CE5E3D9" w:rsidR="00CB28E8" w:rsidRPr="00CB28E8" w:rsidRDefault="00CB28E8" w:rsidP="00EA6BF9">
            <w:pPr>
              <w:spacing w:after="0" w:line="240" w:lineRule="auto"/>
              <w:jc w:val="center"/>
              <w:rPr>
                <w:rFonts w:ascii="Calibri" w:eastAsia="Times New Roman" w:hAnsi="Calibri" w:cs="Calibri"/>
                <w:b/>
                <w:bCs/>
                <w:color w:val="000000"/>
              </w:rPr>
            </w:pPr>
            <w:r w:rsidRPr="00CB28E8">
              <w:rPr>
                <w:rFonts w:ascii="Calibri" w:eastAsia="Times New Roman" w:hAnsi="Calibri" w:cs="Calibri"/>
                <w:b/>
                <w:bCs/>
                <w:color w:val="000000"/>
              </w:rPr>
              <w:t>95% CI</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143BCAD6" w14:textId="77777777" w:rsidR="00CB28E8" w:rsidRDefault="00CB28E8" w:rsidP="00CB28E8">
            <w:pPr>
              <w:spacing w:after="0" w:line="240" w:lineRule="auto"/>
              <w:jc w:val="center"/>
              <w:rPr>
                <w:rFonts w:ascii="Calibri" w:eastAsia="Times New Roman" w:hAnsi="Calibri" w:cs="Calibri"/>
                <w:b/>
                <w:bCs/>
                <w:color w:val="000000"/>
              </w:rPr>
            </w:pPr>
            <w:r w:rsidRPr="00CB28E8">
              <w:rPr>
                <w:rFonts w:ascii="Calibri" w:eastAsia="Times New Roman" w:hAnsi="Calibri" w:cs="Calibri"/>
                <w:b/>
                <w:bCs/>
                <w:color w:val="000000"/>
              </w:rPr>
              <w:t xml:space="preserve">SWAN </w:t>
            </w:r>
          </w:p>
          <w:p w14:paraId="3D73C303" w14:textId="0059E892" w:rsidR="00CB28E8" w:rsidRPr="00CB28E8" w:rsidRDefault="00CB28E8" w:rsidP="00CB28E8">
            <w:pPr>
              <w:spacing w:after="0" w:line="240" w:lineRule="auto"/>
              <w:jc w:val="center"/>
              <w:rPr>
                <w:rFonts w:ascii="Calibri" w:eastAsia="Times New Roman" w:hAnsi="Calibri" w:cs="Calibri"/>
                <w:b/>
                <w:bCs/>
                <w:color w:val="000000"/>
              </w:rPr>
            </w:pPr>
            <w:r w:rsidRPr="00CB28E8">
              <w:rPr>
                <w:rFonts w:ascii="Calibri" w:eastAsia="Times New Roman" w:hAnsi="Calibri" w:cs="Calibri"/>
                <w:b/>
                <w:bCs/>
                <w:color w:val="000000"/>
              </w:rPr>
              <w:t xml:space="preserve">Mean Bias </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5C8CF81B" w14:textId="77777777" w:rsidR="00D03CC2" w:rsidRDefault="00D03CC2" w:rsidP="00EA6BF9">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SWAN</w:t>
            </w:r>
          </w:p>
          <w:p w14:paraId="1D0D1552" w14:textId="3F23D41B" w:rsidR="00CB28E8" w:rsidRPr="00CB28E8" w:rsidRDefault="00CB28E8" w:rsidP="00EA6BF9">
            <w:pPr>
              <w:spacing w:after="0" w:line="240" w:lineRule="auto"/>
              <w:jc w:val="center"/>
              <w:rPr>
                <w:rFonts w:ascii="Calibri" w:eastAsia="Times New Roman" w:hAnsi="Calibri" w:cs="Calibri"/>
                <w:b/>
                <w:bCs/>
                <w:color w:val="000000"/>
              </w:rPr>
            </w:pPr>
            <w:r w:rsidRPr="00CB28E8">
              <w:rPr>
                <w:rFonts w:ascii="Calibri" w:eastAsia="Times New Roman" w:hAnsi="Calibri" w:cs="Calibri"/>
                <w:b/>
                <w:bCs/>
                <w:color w:val="000000"/>
              </w:rPr>
              <w:t>95% CI</w:t>
            </w:r>
          </w:p>
        </w:tc>
      </w:tr>
      <w:tr w:rsidR="00CB28E8" w:rsidRPr="00CB28E8" w14:paraId="3229D9ED"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4D9BD010"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TR1</w:t>
            </w:r>
          </w:p>
        </w:tc>
        <w:tc>
          <w:tcPr>
            <w:tcW w:w="1700" w:type="dxa"/>
            <w:tcBorders>
              <w:top w:val="nil"/>
              <w:left w:val="nil"/>
              <w:bottom w:val="single" w:sz="4" w:space="0" w:color="auto"/>
              <w:right w:val="single" w:sz="4" w:space="0" w:color="auto"/>
            </w:tcBorders>
            <w:shd w:val="clear" w:color="auto" w:fill="auto"/>
            <w:noWrap/>
            <w:vAlign w:val="center"/>
            <w:hideMark/>
          </w:tcPr>
          <w:p w14:paraId="6D89C7B5"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0.032</w:t>
            </w:r>
          </w:p>
        </w:tc>
        <w:tc>
          <w:tcPr>
            <w:tcW w:w="1700" w:type="dxa"/>
            <w:tcBorders>
              <w:top w:val="nil"/>
              <w:left w:val="nil"/>
              <w:bottom w:val="single" w:sz="4" w:space="0" w:color="auto"/>
              <w:right w:val="single" w:sz="4" w:space="0" w:color="auto"/>
            </w:tcBorders>
            <w:shd w:val="clear" w:color="auto" w:fill="auto"/>
            <w:noWrap/>
            <w:vAlign w:val="center"/>
            <w:hideMark/>
          </w:tcPr>
          <w:p w14:paraId="59BF590C"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(-0.053, 0.117)</w:t>
            </w:r>
          </w:p>
        </w:tc>
        <w:tc>
          <w:tcPr>
            <w:tcW w:w="1700" w:type="dxa"/>
            <w:tcBorders>
              <w:top w:val="nil"/>
              <w:left w:val="nil"/>
              <w:bottom w:val="single" w:sz="4" w:space="0" w:color="auto"/>
              <w:right w:val="single" w:sz="4" w:space="0" w:color="auto"/>
            </w:tcBorders>
            <w:shd w:val="clear" w:color="auto" w:fill="auto"/>
            <w:noWrap/>
            <w:vAlign w:val="center"/>
            <w:hideMark/>
          </w:tcPr>
          <w:p w14:paraId="1CC80996"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0.048</w:t>
            </w:r>
          </w:p>
        </w:tc>
        <w:tc>
          <w:tcPr>
            <w:tcW w:w="1700" w:type="dxa"/>
            <w:tcBorders>
              <w:top w:val="nil"/>
              <w:left w:val="nil"/>
              <w:bottom w:val="single" w:sz="4" w:space="0" w:color="auto"/>
              <w:right w:val="single" w:sz="4" w:space="0" w:color="auto"/>
            </w:tcBorders>
            <w:shd w:val="clear" w:color="auto" w:fill="auto"/>
            <w:noWrap/>
            <w:vAlign w:val="center"/>
            <w:hideMark/>
          </w:tcPr>
          <w:p w14:paraId="41248C5E"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(-0.061, 0.157)</w:t>
            </w:r>
          </w:p>
        </w:tc>
      </w:tr>
      <w:tr w:rsidR="00CB28E8" w:rsidRPr="00CB28E8" w14:paraId="0B2A20AF"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A9A2288"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TR2</w:t>
            </w:r>
          </w:p>
        </w:tc>
        <w:tc>
          <w:tcPr>
            <w:tcW w:w="1700" w:type="dxa"/>
            <w:tcBorders>
              <w:top w:val="nil"/>
              <w:left w:val="nil"/>
              <w:bottom w:val="single" w:sz="4" w:space="0" w:color="auto"/>
              <w:right w:val="single" w:sz="4" w:space="0" w:color="auto"/>
            </w:tcBorders>
            <w:shd w:val="clear" w:color="auto" w:fill="auto"/>
            <w:noWrap/>
            <w:vAlign w:val="center"/>
            <w:hideMark/>
          </w:tcPr>
          <w:p w14:paraId="562B6F2E"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0.029</w:t>
            </w:r>
          </w:p>
        </w:tc>
        <w:tc>
          <w:tcPr>
            <w:tcW w:w="1700" w:type="dxa"/>
            <w:tcBorders>
              <w:top w:val="nil"/>
              <w:left w:val="nil"/>
              <w:bottom w:val="single" w:sz="4" w:space="0" w:color="auto"/>
              <w:right w:val="single" w:sz="4" w:space="0" w:color="auto"/>
            </w:tcBorders>
            <w:shd w:val="clear" w:color="auto" w:fill="auto"/>
            <w:noWrap/>
            <w:vAlign w:val="center"/>
            <w:hideMark/>
          </w:tcPr>
          <w:p w14:paraId="5B552541"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(-0.050, 0.109)</w:t>
            </w:r>
          </w:p>
        </w:tc>
        <w:tc>
          <w:tcPr>
            <w:tcW w:w="1700" w:type="dxa"/>
            <w:tcBorders>
              <w:top w:val="nil"/>
              <w:left w:val="nil"/>
              <w:bottom w:val="single" w:sz="4" w:space="0" w:color="auto"/>
              <w:right w:val="single" w:sz="4" w:space="0" w:color="auto"/>
            </w:tcBorders>
            <w:shd w:val="clear" w:color="auto" w:fill="auto"/>
            <w:noWrap/>
            <w:vAlign w:val="center"/>
            <w:hideMark/>
          </w:tcPr>
          <w:p w14:paraId="6C831DE1"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0.046</w:t>
            </w:r>
          </w:p>
        </w:tc>
        <w:tc>
          <w:tcPr>
            <w:tcW w:w="1700" w:type="dxa"/>
            <w:tcBorders>
              <w:top w:val="nil"/>
              <w:left w:val="nil"/>
              <w:bottom w:val="single" w:sz="4" w:space="0" w:color="auto"/>
              <w:right w:val="single" w:sz="4" w:space="0" w:color="auto"/>
            </w:tcBorders>
            <w:shd w:val="clear" w:color="auto" w:fill="auto"/>
            <w:noWrap/>
            <w:vAlign w:val="center"/>
            <w:hideMark/>
          </w:tcPr>
          <w:p w14:paraId="7D1E36D2"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(-0.058, 0.150)</w:t>
            </w:r>
          </w:p>
        </w:tc>
      </w:tr>
      <w:tr w:rsidR="00CB28E8" w:rsidRPr="00CB28E8" w14:paraId="265E5C5B"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A349FEE"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TR3</w:t>
            </w:r>
          </w:p>
        </w:tc>
        <w:tc>
          <w:tcPr>
            <w:tcW w:w="1700" w:type="dxa"/>
            <w:tcBorders>
              <w:top w:val="nil"/>
              <w:left w:val="nil"/>
              <w:bottom w:val="single" w:sz="4" w:space="0" w:color="auto"/>
              <w:right w:val="single" w:sz="4" w:space="0" w:color="auto"/>
            </w:tcBorders>
            <w:shd w:val="clear" w:color="auto" w:fill="auto"/>
            <w:noWrap/>
            <w:vAlign w:val="center"/>
            <w:hideMark/>
          </w:tcPr>
          <w:p w14:paraId="7FE85CCD"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0.034</w:t>
            </w:r>
          </w:p>
        </w:tc>
        <w:tc>
          <w:tcPr>
            <w:tcW w:w="1700" w:type="dxa"/>
            <w:tcBorders>
              <w:top w:val="nil"/>
              <w:left w:val="nil"/>
              <w:bottom w:val="single" w:sz="4" w:space="0" w:color="auto"/>
              <w:right w:val="single" w:sz="4" w:space="0" w:color="auto"/>
            </w:tcBorders>
            <w:shd w:val="clear" w:color="auto" w:fill="auto"/>
            <w:noWrap/>
            <w:vAlign w:val="center"/>
            <w:hideMark/>
          </w:tcPr>
          <w:p w14:paraId="103D2188"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(-0.060, 0.128)</w:t>
            </w:r>
          </w:p>
        </w:tc>
        <w:tc>
          <w:tcPr>
            <w:tcW w:w="1700" w:type="dxa"/>
            <w:tcBorders>
              <w:top w:val="nil"/>
              <w:left w:val="nil"/>
              <w:bottom w:val="single" w:sz="4" w:space="0" w:color="auto"/>
              <w:right w:val="single" w:sz="4" w:space="0" w:color="auto"/>
            </w:tcBorders>
            <w:shd w:val="clear" w:color="auto" w:fill="auto"/>
            <w:noWrap/>
            <w:vAlign w:val="center"/>
            <w:hideMark/>
          </w:tcPr>
          <w:p w14:paraId="143C180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0.050</w:t>
            </w:r>
          </w:p>
        </w:tc>
        <w:tc>
          <w:tcPr>
            <w:tcW w:w="1700" w:type="dxa"/>
            <w:tcBorders>
              <w:top w:val="nil"/>
              <w:left w:val="nil"/>
              <w:bottom w:val="single" w:sz="4" w:space="0" w:color="auto"/>
              <w:right w:val="single" w:sz="4" w:space="0" w:color="auto"/>
            </w:tcBorders>
            <w:shd w:val="clear" w:color="auto" w:fill="auto"/>
            <w:noWrap/>
            <w:vAlign w:val="center"/>
            <w:hideMark/>
          </w:tcPr>
          <w:p w14:paraId="6072922B"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(-0.070, 0.169)</w:t>
            </w:r>
          </w:p>
        </w:tc>
      </w:tr>
      <w:tr w:rsidR="00CB28E8" w:rsidRPr="00CB28E8" w14:paraId="3A3F2EDA"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D09D5A5"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TR4</w:t>
            </w:r>
          </w:p>
        </w:tc>
        <w:tc>
          <w:tcPr>
            <w:tcW w:w="1700" w:type="dxa"/>
            <w:tcBorders>
              <w:top w:val="nil"/>
              <w:left w:val="nil"/>
              <w:bottom w:val="single" w:sz="4" w:space="0" w:color="auto"/>
              <w:right w:val="single" w:sz="4" w:space="0" w:color="auto"/>
            </w:tcBorders>
            <w:shd w:val="clear" w:color="auto" w:fill="auto"/>
            <w:noWrap/>
            <w:vAlign w:val="center"/>
            <w:hideMark/>
          </w:tcPr>
          <w:p w14:paraId="4D55D276"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0.024</w:t>
            </w:r>
          </w:p>
        </w:tc>
        <w:tc>
          <w:tcPr>
            <w:tcW w:w="1700" w:type="dxa"/>
            <w:tcBorders>
              <w:top w:val="nil"/>
              <w:left w:val="nil"/>
              <w:bottom w:val="single" w:sz="4" w:space="0" w:color="auto"/>
              <w:right w:val="single" w:sz="4" w:space="0" w:color="auto"/>
            </w:tcBorders>
            <w:shd w:val="clear" w:color="auto" w:fill="auto"/>
            <w:noWrap/>
            <w:vAlign w:val="center"/>
            <w:hideMark/>
          </w:tcPr>
          <w:p w14:paraId="7077E98F"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(-0.053, 0.102)</w:t>
            </w:r>
          </w:p>
        </w:tc>
        <w:tc>
          <w:tcPr>
            <w:tcW w:w="1700" w:type="dxa"/>
            <w:tcBorders>
              <w:top w:val="nil"/>
              <w:left w:val="nil"/>
              <w:bottom w:val="single" w:sz="4" w:space="0" w:color="auto"/>
              <w:right w:val="single" w:sz="4" w:space="0" w:color="auto"/>
            </w:tcBorders>
            <w:shd w:val="clear" w:color="auto" w:fill="auto"/>
            <w:noWrap/>
            <w:vAlign w:val="center"/>
            <w:hideMark/>
          </w:tcPr>
          <w:p w14:paraId="4347F3FB"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0.039</w:t>
            </w:r>
          </w:p>
        </w:tc>
        <w:tc>
          <w:tcPr>
            <w:tcW w:w="1700" w:type="dxa"/>
            <w:tcBorders>
              <w:top w:val="nil"/>
              <w:left w:val="nil"/>
              <w:bottom w:val="single" w:sz="4" w:space="0" w:color="auto"/>
              <w:right w:val="single" w:sz="4" w:space="0" w:color="auto"/>
            </w:tcBorders>
            <w:shd w:val="clear" w:color="auto" w:fill="auto"/>
            <w:noWrap/>
            <w:vAlign w:val="center"/>
            <w:hideMark/>
          </w:tcPr>
          <w:p w14:paraId="3A67C6B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(-0.063, 0.141)</w:t>
            </w:r>
          </w:p>
        </w:tc>
      </w:tr>
      <w:tr w:rsidR="00CB28E8" w:rsidRPr="00CB28E8" w14:paraId="127762DF"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4F528E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TR5</w:t>
            </w:r>
          </w:p>
        </w:tc>
        <w:tc>
          <w:tcPr>
            <w:tcW w:w="1700" w:type="dxa"/>
            <w:tcBorders>
              <w:top w:val="nil"/>
              <w:left w:val="nil"/>
              <w:bottom w:val="single" w:sz="4" w:space="0" w:color="auto"/>
              <w:right w:val="single" w:sz="4" w:space="0" w:color="auto"/>
            </w:tcBorders>
            <w:shd w:val="clear" w:color="auto" w:fill="auto"/>
            <w:noWrap/>
            <w:vAlign w:val="center"/>
            <w:hideMark/>
          </w:tcPr>
          <w:p w14:paraId="6C2EF93C"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0.029</w:t>
            </w:r>
          </w:p>
        </w:tc>
        <w:tc>
          <w:tcPr>
            <w:tcW w:w="1700" w:type="dxa"/>
            <w:tcBorders>
              <w:top w:val="nil"/>
              <w:left w:val="nil"/>
              <w:bottom w:val="single" w:sz="4" w:space="0" w:color="auto"/>
              <w:right w:val="single" w:sz="4" w:space="0" w:color="auto"/>
            </w:tcBorders>
            <w:shd w:val="clear" w:color="auto" w:fill="auto"/>
            <w:noWrap/>
            <w:vAlign w:val="center"/>
            <w:hideMark/>
          </w:tcPr>
          <w:p w14:paraId="611C7266"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(-0.073, 0.131)</w:t>
            </w:r>
          </w:p>
        </w:tc>
        <w:tc>
          <w:tcPr>
            <w:tcW w:w="1700" w:type="dxa"/>
            <w:tcBorders>
              <w:top w:val="nil"/>
              <w:left w:val="nil"/>
              <w:bottom w:val="single" w:sz="4" w:space="0" w:color="auto"/>
              <w:right w:val="single" w:sz="4" w:space="0" w:color="auto"/>
            </w:tcBorders>
            <w:shd w:val="clear" w:color="auto" w:fill="auto"/>
            <w:noWrap/>
            <w:vAlign w:val="center"/>
            <w:hideMark/>
          </w:tcPr>
          <w:p w14:paraId="1B5D99C9"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0.044</w:t>
            </w:r>
          </w:p>
        </w:tc>
        <w:tc>
          <w:tcPr>
            <w:tcW w:w="1700" w:type="dxa"/>
            <w:tcBorders>
              <w:top w:val="nil"/>
              <w:left w:val="nil"/>
              <w:bottom w:val="single" w:sz="4" w:space="0" w:color="auto"/>
              <w:right w:val="single" w:sz="4" w:space="0" w:color="auto"/>
            </w:tcBorders>
            <w:shd w:val="clear" w:color="auto" w:fill="auto"/>
            <w:noWrap/>
            <w:vAlign w:val="center"/>
            <w:hideMark/>
          </w:tcPr>
          <w:p w14:paraId="70E1689E"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(-0.076, 0.164)</w:t>
            </w:r>
          </w:p>
        </w:tc>
      </w:tr>
      <w:tr w:rsidR="00CB28E8" w:rsidRPr="00CB28E8" w14:paraId="702F4093"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918C70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TR6</w:t>
            </w:r>
          </w:p>
        </w:tc>
        <w:tc>
          <w:tcPr>
            <w:tcW w:w="1700" w:type="dxa"/>
            <w:tcBorders>
              <w:top w:val="nil"/>
              <w:left w:val="nil"/>
              <w:bottom w:val="single" w:sz="4" w:space="0" w:color="auto"/>
              <w:right w:val="single" w:sz="4" w:space="0" w:color="auto"/>
            </w:tcBorders>
            <w:shd w:val="clear" w:color="auto" w:fill="auto"/>
            <w:noWrap/>
            <w:vAlign w:val="center"/>
            <w:hideMark/>
          </w:tcPr>
          <w:p w14:paraId="16980BFF"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0.021</w:t>
            </w:r>
          </w:p>
        </w:tc>
        <w:tc>
          <w:tcPr>
            <w:tcW w:w="1700" w:type="dxa"/>
            <w:tcBorders>
              <w:top w:val="nil"/>
              <w:left w:val="nil"/>
              <w:bottom w:val="single" w:sz="4" w:space="0" w:color="auto"/>
              <w:right w:val="single" w:sz="4" w:space="0" w:color="auto"/>
            </w:tcBorders>
            <w:shd w:val="clear" w:color="auto" w:fill="auto"/>
            <w:noWrap/>
            <w:vAlign w:val="center"/>
            <w:hideMark/>
          </w:tcPr>
          <w:p w14:paraId="6210EECE"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(-0.061, 0.103)</w:t>
            </w:r>
          </w:p>
        </w:tc>
        <w:tc>
          <w:tcPr>
            <w:tcW w:w="1700" w:type="dxa"/>
            <w:tcBorders>
              <w:top w:val="nil"/>
              <w:left w:val="nil"/>
              <w:bottom w:val="single" w:sz="4" w:space="0" w:color="auto"/>
              <w:right w:val="single" w:sz="4" w:space="0" w:color="auto"/>
            </w:tcBorders>
            <w:shd w:val="clear" w:color="auto" w:fill="auto"/>
            <w:noWrap/>
            <w:vAlign w:val="center"/>
            <w:hideMark/>
          </w:tcPr>
          <w:p w14:paraId="3EA64561"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0.037</w:t>
            </w:r>
          </w:p>
        </w:tc>
        <w:tc>
          <w:tcPr>
            <w:tcW w:w="1700" w:type="dxa"/>
            <w:tcBorders>
              <w:top w:val="nil"/>
              <w:left w:val="nil"/>
              <w:bottom w:val="single" w:sz="4" w:space="0" w:color="auto"/>
              <w:right w:val="single" w:sz="4" w:space="0" w:color="auto"/>
            </w:tcBorders>
            <w:shd w:val="clear" w:color="auto" w:fill="auto"/>
            <w:noWrap/>
            <w:vAlign w:val="center"/>
            <w:hideMark/>
          </w:tcPr>
          <w:p w14:paraId="0BC06D56"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(-0.063, 0.137)</w:t>
            </w:r>
          </w:p>
        </w:tc>
      </w:tr>
      <w:tr w:rsidR="00CB28E8" w:rsidRPr="00CB28E8" w14:paraId="15A9EB57"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5FCD3A6A"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TR7</w:t>
            </w:r>
          </w:p>
        </w:tc>
        <w:tc>
          <w:tcPr>
            <w:tcW w:w="1700" w:type="dxa"/>
            <w:tcBorders>
              <w:top w:val="nil"/>
              <w:left w:val="nil"/>
              <w:bottom w:val="single" w:sz="4" w:space="0" w:color="auto"/>
              <w:right w:val="single" w:sz="4" w:space="0" w:color="auto"/>
            </w:tcBorders>
            <w:shd w:val="clear" w:color="auto" w:fill="auto"/>
            <w:noWrap/>
            <w:vAlign w:val="center"/>
            <w:hideMark/>
          </w:tcPr>
          <w:p w14:paraId="5F46EDD1"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0.021</w:t>
            </w:r>
          </w:p>
        </w:tc>
        <w:tc>
          <w:tcPr>
            <w:tcW w:w="1700" w:type="dxa"/>
            <w:tcBorders>
              <w:top w:val="nil"/>
              <w:left w:val="nil"/>
              <w:bottom w:val="single" w:sz="4" w:space="0" w:color="auto"/>
              <w:right w:val="single" w:sz="4" w:space="0" w:color="auto"/>
            </w:tcBorders>
            <w:shd w:val="clear" w:color="auto" w:fill="auto"/>
            <w:noWrap/>
            <w:vAlign w:val="center"/>
            <w:hideMark/>
          </w:tcPr>
          <w:p w14:paraId="3F1E47B0"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(-0.057, 0.099)</w:t>
            </w:r>
          </w:p>
        </w:tc>
        <w:tc>
          <w:tcPr>
            <w:tcW w:w="1700" w:type="dxa"/>
            <w:tcBorders>
              <w:top w:val="nil"/>
              <w:left w:val="nil"/>
              <w:bottom w:val="single" w:sz="4" w:space="0" w:color="auto"/>
              <w:right w:val="single" w:sz="4" w:space="0" w:color="auto"/>
            </w:tcBorders>
            <w:shd w:val="clear" w:color="auto" w:fill="auto"/>
            <w:noWrap/>
            <w:vAlign w:val="center"/>
            <w:hideMark/>
          </w:tcPr>
          <w:p w14:paraId="07B0FFD6"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0.016</w:t>
            </w:r>
          </w:p>
        </w:tc>
        <w:tc>
          <w:tcPr>
            <w:tcW w:w="1700" w:type="dxa"/>
            <w:tcBorders>
              <w:top w:val="nil"/>
              <w:left w:val="nil"/>
              <w:bottom w:val="single" w:sz="4" w:space="0" w:color="auto"/>
              <w:right w:val="single" w:sz="4" w:space="0" w:color="auto"/>
            </w:tcBorders>
            <w:shd w:val="clear" w:color="auto" w:fill="auto"/>
            <w:noWrap/>
            <w:vAlign w:val="center"/>
            <w:hideMark/>
          </w:tcPr>
          <w:p w14:paraId="2C536080"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(-0.075, 0.107)</w:t>
            </w:r>
          </w:p>
        </w:tc>
      </w:tr>
      <w:tr w:rsidR="00CB28E8" w:rsidRPr="00CB28E8" w14:paraId="1AA26EEC"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32B61E1B"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TR8</w:t>
            </w:r>
          </w:p>
        </w:tc>
        <w:tc>
          <w:tcPr>
            <w:tcW w:w="1700" w:type="dxa"/>
            <w:tcBorders>
              <w:top w:val="nil"/>
              <w:left w:val="nil"/>
              <w:bottom w:val="single" w:sz="4" w:space="0" w:color="auto"/>
              <w:right w:val="single" w:sz="4" w:space="0" w:color="auto"/>
            </w:tcBorders>
            <w:shd w:val="clear" w:color="auto" w:fill="auto"/>
            <w:noWrap/>
            <w:vAlign w:val="center"/>
            <w:hideMark/>
          </w:tcPr>
          <w:p w14:paraId="0FADBFD0"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0.019</w:t>
            </w:r>
          </w:p>
        </w:tc>
        <w:tc>
          <w:tcPr>
            <w:tcW w:w="1700" w:type="dxa"/>
            <w:tcBorders>
              <w:top w:val="nil"/>
              <w:left w:val="nil"/>
              <w:bottom w:val="single" w:sz="4" w:space="0" w:color="auto"/>
              <w:right w:val="single" w:sz="4" w:space="0" w:color="auto"/>
            </w:tcBorders>
            <w:shd w:val="clear" w:color="auto" w:fill="auto"/>
            <w:noWrap/>
            <w:vAlign w:val="center"/>
            <w:hideMark/>
          </w:tcPr>
          <w:p w14:paraId="17A4456A"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(-0.057, 0.095)</w:t>
            </w:r>
          </w:p>
        </w:tc>
        <w:tc>
          <w:tcPr>
            <w:tcW w:w="1700" w:type="dxa"/>
            <w:tcBorders>
              <w:top w:val="nil"/>
              <w:left w:val="nil"/>
              <w:bottom w:val="single" w:sz="4" w:space="0" w:color="auto"/>
              <w:right w:val="single" w:sz="4" w:space="0" w:color="auto"/>
            </w:tcBorders>
            <w:shd w:val="clear" w:color="auto" w:fill="auto"/>
            <w:noWrap/>
            <w:vAlign w:val="center"/>
            <w:hideMark/>
          </w:tcPr>
          <w:p w14:paraId="1407A57D"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0.035</w:t>
            </w:r>
          </w:p>
        </w:tc>
        <w:tc>
          <w:tcPr>
            <w:tcW w:w="1700" w:type="dxa"/>
            <w:tcBorders>
              <w:top w:val="nil"/>
              <w:left w:val="nil"/>
              <w:bottom w:val="single" w:sz="4" w:space="0" w:color="auto"/>
              <w:right w:val="single" w:sz="4" w:space="0" w:color="auto"/>
            </w:tcBorders>
            <w:shd w:val="clear" w:color="auto" w:fill="auto"/>
            <w:noWrap/>
            <w:vAlign w:val="center"/>
            <w:hideMark/>
          </w:tcPr>
          <w:p w14:paraId="046465CF"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(-0.061, 0.131)</w:t>
            </w:r>
          </w:p>
        </w:tc>
      </w:tr>
      <w:tr w:rsidR="00CB28E8" w:rsidRPr="00CB28E8" w14:paraId="261974F4"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4861A7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TR9</w:t>
            </w:r>
          </w:p>
        </w:tc>
        <w:tc>
          <w:tcPr>
            <w:tcW w:w="1700" w:type="dxa"/>
            <w:tcBorders>
              <w:top w:val="nil"/>
              <w:left w:val="nil"/>
              <w:bottom w:val="single" w:sz="4" w:space="0" w:color="auto"/>
              <w:right w:val="single" w:sz="4" w:space="0" w:color="auto"/>
            </w:tcBorders>
            <w:shd w:val="clear" w:color="auto" w:fill="auto"/>
            <w:noWrap/>
            <w:vAlign w:val="center"/>
            <w:hideMark/>
          </w:tcPr>
          <w:p w14:paraId="07B2330E"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0.016</w:t>
            </w:r>
          </w:p>
        </w:tc>
        <w:tc>
          <w:tcPr>
            <w:tcW w:w="1700" w:type="dxa"/>
            <w:tcBorders>
              <w:top w:val="nil"/>
              <w:left w:val="nil"/>
              <w:bottom w:val="single" w:sz="4" w:space="0" w:color="auto"/>
              <w:right w:val="single" w:sz="4" w:space="0" w:color="auto"/>
            </w:tcBorders>
            <w:shd w:val="clear" w:color="auto" w:fill="auto"/>
            <w:noWrap/>
            <w:vAlign w:val="center"/>
            <w:hideMark/>
          </w:tcPr>
          <w:p w14:paraId="5A5D622C"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(-0.055, 0.086)</w:t>
            </w:r>
          </w:p>
        </w:tc>
        <w:tc>
          <w:tcPr>
            <w:tcW w:w="1700" w:type="dxa"/>
            <w:tcBorders>
              <w:top w:val="nil"/>
              <w:left w:val="nil"/>
              <w:bottom w:val="single" w:sz="4" w:space="0" w:color="auto"/>
              <w:right w:val="single" w:sz="4" w:space="0" w:color="auto"/>
            </w:tcBorders>
            <w:shd w:val="clear" w:color="auto" w:fill="auto"/>
            <w:noWrap/>
            <w:vAlign w:val="center"/>
            <w:hideMark/>
          </w:tcPr>
          <w:p w14:paraId="4B8C13C4"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0.031</w:t>
            </w:r>
          </w:p>
        </w:tc>
        <w:tc>
          <w:tcPr>
            <w:tcW w:w="1700" w:type="dxa"/>
            <w:tcBorders>
              <w:top w:val="nil"/>
              <w:left w:val="nil"/>
              <w:bottom w:val="single" w:sz="4" w:space="0" w:color="auto"/>
              <w:right w:val="single" w:sz="4" w:space="0" w:color="auto"/>
            </w:tcBorders>
            <w:shd w:val="clear" w:color="auto" w:fill="auto"/>
            <w:noWrap/>
            <w:vAlign w:val="center"/>
            <w:hideMark/>
          </w:tcPr>
          <w:p w14:paraId="57DF219D"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(-0.057, 0.120)</w:t>
            </w:r>
          </w:p>
        </w:tc>
      </w:tr>
      <w:tr w:rsidR="00CB28E8" w:rsidRPr="00CB28E8" w14:paraId="5AEA62B1"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39A8843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TR10</w:t>
            </w:r>
          </w:p>
        </w:tc>
        <w:tc>
          <w:tcPr>
            <w:tcW w:w="1700" w:type="dxa"/>
            <w:tcBorders>
              <w:top w:val="nil"/>
              <w:left w:val="nil"/>
              <w:bottom w:val="single" w:sz="4" w:space="0" w:color="auto"/>
              <w:right w:val="single" w:sz="4" w:space="0" w:color="auto"/>
            </w:tcBorders>
            <w:shd w:val="clear" w:color="auto" w:fill="auto"/>
            <w:noWrap/>
            <w:vAlign w:val="center"/>
            <w:hideMark/>
          </w:tcPr>
          <w:p w14:paraId="10E50814"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0.012</w:t>
            </w:r>
          </w:p>
        </w:tc>
        <w:tc>
          <w:tcPr>
            <w:tcW w:w="1700" w:type="dxa"/>
            <w:tcBorders>
              <w:top w:val="nil"/>
              <w:left w:val="nil"/>
              <w:bottom w:val="single" w:sz="4" w:space="0" w:color="auto"/>
              <w:right w:val="single" w:sz="4" w:space="0" w:color="auto"/>
            </w:tcBorders>
            <w:shd w:val="clear" w:color="auto" w:fill="auto"/>
            <w:noWrap/>
            <w:vAlign w:val="center"/>
            <w:hideMark/>
          </w:tcPr>
          <w:p w14:paraId="3D738F6D"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(-0.052, 0.086)</w:t>
            </w:r>
          </w:p>
        </w:tc>
        <w:tc>
          <w:tcPr>
            <w:tcW w:w="1700" w:type="dxa"/>
            <w:tcBorders>
              <w:top w:val="nil"/>
              <w:left w:val="nil"/>
              <w:bottom w:val="single" w:sz="4" w:space="0" w:color="auto"/>
              <w:right w:val="single" w:sz="4" w:space="0" w:color="auto"/>
            </w:tcBorders>
            <w:shd w:val="clear" w:color="auto" w:fill="auto"/>
            <w:noWrap/>
            <w:vAlign w:val="center"/>
            <w:hideMark/>
          </w:tcPr>
          <w:p w14:paraId="1552303A"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0.027</w:t>
            </w:r>
          </w:p>
        </w:tc>
        <w:tc>
          <w:tcPr>
            <w:tcW w:w="1700" w:type="dxa"/>
            <w:tcBorders>
              <w:top w:val="nil"/>
              <w:left w:val="nil"/>
              <w:bottom w:val="single" w:sz="4" w:space="0" w:color="auto"/>
              <w:right w:val="single" w:sz="4" w:space="0" w:color="auto"/>
            </w:tcBorders>
            <w:shd w:val="clear" w:color="auto" w:fill="auto"/>
            <w:noWrap/>
            <w:vAlign w:val="center"/>
            <w:hideMark/>
          </w:tcPr>
          <w:p w14:paraId="0D10DC91"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(-0.068, 0.121)</w:t>
            </w:r>
          </w:p>
        </w:tc>
      </w:tr>
      <w:tr w:rsidR="00CB28E8" w:rsidRPr="00CB28E8" w14:paraId="32C267DE"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CD90D18"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TR11</w:t>
            </w:r>
          </w:p>
        </w:tc>
        <w:tc>
          <w:tcPr>
            <w:tcW w:w="1700" w:type="dxa"/>
            <w:tcBorders>
              <w:top w:val="nil"/>
              <w:left w:val="nil"/>
              <w:bottom w:val="single" w:sz="4" w:space="0" w:color="auto"/>
              <w:right w:val="single" w:sz="4" w:space="0" w:color="auto"/>
            </w:tcBorders>
            <w:shd w:val="clear" w:color="auto" w:fill="auto"/>
            <w:noWrap/>
            <w:vAlign w:val="center"/>
            <w:hideMark/>
          </w:tcPr>
          <w:p w14:paraId="5DD84807"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0.018</w:t>
            </w:r>
          </w:p>
        </w:tc>
        <w:tc>
          <w:tcPr>
            <w:tcW w:w="1700" w:type="dxa"/>
            <w:tcBorders>
              <w:top w:val="nil"/>
              <w:left w:val="nil"/>
              <w:bottom w:val="single" w:sz="4" w:space="0" w:color="auto"/>
              <w:right w:val="single" w:sz="4" w:space="0" w:color="auto"/>
            </w:tcBorders>
            <w:shd w:val="clear" w:color="auto" w:fill="auto"/>
            <w:noWrap/>
            <w:vAlign w:val="center"/>
            <w:hideMark/>
          </w:tcPr>
          <w:p w14:paraId="4D502D8D"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(-0.061, 0.096)</w:t>
            </w:r>
          </w:p>
        </w:tc>
        <w:tc>
          <w:tcPr>
            <w:tcW w:w="1700" w:type="dxa"/>
            <w:tcBorders>
              <w:top w:val="nil"/>
              <w:left w:val="nil"/>
              <w:bottom w:val="single" w:sz="4" w:space="0" w:color="auto"/>
              <w:right w:val="single" w:sz="4" w:space="0" w:color="auto"/>
            </w:tcBorders>
            <w:shd w:val="clear" w:color="auto" w:fill="auto"/>
            <w:noWrap/>
            <w:vAlign w:val="center"/>
            <w:hideMark/>
          </w:tcPr>
          <w:p w14:paraId="17F0617A"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0.034</w:t>
            </w:r>
          </w:p>
        </w:tc>
        <w:tc>
          <w:tcPr>
            <w:tcW w:w="1700" w:type="dxa"/>
            <w:tcBorders>
              <w:top w:val="nil"/>
              <w:left w:val="nil"/>
              <w:bottom w:val="single" w:sz="4" w:space="0" w:color="auto"/>
              <w:right w:val="single" w:sz="4" w:space="0" w:color="auto"/>
            </w:tcBorders>
            <w:shd w:val="clear" w:color="auto" w:fill="auto"/>
            <w:noWrap/>
            <w:vAlign w:val="center"/>
            <w:hideMark/>
          </w:tcPr>
          <w:p w14:paraId="7BD84455"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(-0.066, 0.133)</w:t>
            </w:r>
          </w:p>
        </w:tc>
      </w:tr>
      <w:tr w:rsidR="00CB28E8" w:rsidRPr="00CB28E8" w14:paraId="75A1D04C" w14:textId="77777777" w:rsidTr="00EA6BF9">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7177435"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TR12</w:t>
            </w:r>
          </w:p>
        </w:tc>
        <w:tc>
          <w:tcPr>
            <w:tcW w:w="1700" w:type="dxa"/>
            <w:tcBorders>
              <w:top w:val="nil"/>
              <w:left w:val="nil"/>
              <w:bottom w:val="single" w:sz="4" w:space="0" w:color="auto"/>
              <w:right w:val="single" w:sz="4" w:space="0" w:color="auto"/>
            </w:tcBorders>
            <w:shd w:val="clear" w:color="auto" w:fill="auto"/>
            <w:noWrap/>
            <w:vAlign w:val="center"/>
            <w:hideMark/>
          </w:tcPr>
          <w:p w14:paraId="09D1F6D0"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0.023</w:t>
            </w:r>
          </w:p>
        </w:tc>
        <w:tc>
          <w:tcPr>
            <w:tcW w:w="1700" w:type="dxa"/>
            <w:tcBorders>
              <w:top w:val="nil"/>
              <w:left w:val="nil"/>
              <w:bottom w:val="single" w:sz="4" w:space="0" w:color="auto"/>
              <w:right w:val="single" w:sz="4" w:space="0" w:color="auto"/>
            </w:tcBorders>
            <w:shd w:val="clear" w:color="auto" w:fill="auto"/>
            <w:noWrap/>
            <w:vAlign w:val="center"/>
            <w:hideMark/>
          </w:tcPr>
          <w:p w14:paraId="56F65012"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(-0.055, 0.101)</w:t>
            </w:r>
          </w:p>
        </w:tc>
        <w:tc>
          <w:tcPr>
            <w:tcW w:w="1700" w:type="dxa"/>
            <w:tcBorders>
              <w:top w:val="nil"/>
              <w:left w:val="nil"/>
              <w:bottom w:val="single" w:sz="4" w:space="0" w:color="auto"/>
              <w:right w:val="single" w:sz="4" w:space="0" w:color="auto"/>
            </w:tcBorders>
            <w:shd w:val="clear" w:color="auto" w:fill="auto"/>
            <w:noWrap/>
            <w:vAlign w:val="center"/>
            <w:hideMark/>
          </w:tcPr>
          <w:p w14:paraId="426A9975"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0.039</w:t>
            </w:r>
          </w:p>
        </w:tc>
        <w:tc>
          <w:tcPr>
            <w:tcW w:w="1700" w:type="dxa"/>
            <w:tcBorders>
              <w:top w:val="nil"/>
              <w:left w:val="nil"/>
              <w:bottom w:val="single" w:sz="4" w:space="0" w:color="auto"/>
              <w:right w:val="single" w:sz="4" w:space="0" w:color="auto"/>
            </w:tcBorders>
            <w:shd w:val="clear" w:color="auto" w:fill="auto"/>
            <w:noWrap/>
            <w:vAlign w:val="center"/>
            <w:hideMark/>
          </w:tcPr>
          <w:p w14:paraId="0E8DEBF5" w14:textId="77777777" w:rsidR="00CB28E8" w:rsidRPr="00CB28E8" w:rsidRDefault="00CB28E8" w:rsidP="00EA6BF9">
            <w:pPr>
              <w:spacing w:after="0" w:line="240" w:lineRule="auto"/>
              <w:jc w:val="center"/>
              <w:rPr>
                <w:rFonts w:ascii="Calibri" w:eastAsia="Times New Roman" w:hAnsi="Calibri" w:cs="Calibri"/>
                <w:color w:val="000000"/>
              </w:rPr>
            </w:pPr>
            <w:r w:rsidRPr="00CB28E8">
              <w:rPr>
                <w:rFonts w:ascii="Calibri" w:eastAsia="Times New Roman" w:hAnsi="Calibri" w:cs="Calibri"/>
                <w:color w:val="000000"/>
              </w:rPr>
              <w:t>(-0.058, 0.136)</w:t>
            </w:r>
          </w:p>
        </w:tc>
      </w:tr>
    </w:tbl>
    <w:p w14:paraId="2CC15EBF" w14:textId="77777777" w:rsidR="00CB28E8" w:rsidRDefault="00CB28E8">
      <w:pPr>
        <w:rPr>
          <w:rFonts w:ascii="Arial" w:hAnsi="Arial" w:cs="Arial"/>
          <w:b/>
          <w:bCs/>
          <w:u w:val="single"/>
        </w:rPr>
      </w:pPr>
      <w:r>
        <w:rPr>
          <w:rFonts w:ascii="Arial" w:hAnsi="Arial" w:cs="Arial"/>
          <w:b/>
          <w:bCs/>
          <w:u w:val="single"/>
        </w:rPr>
        <w:br w:type="page"/>
      </w:r>
    </w:p>
    <w:p w14:paraId="50293241" w14:textId="3FC61285" w:rsidR="00CB28E8" w:rsidRDefault="00CB28E8">
      <w:pPr>
        <w:rPr>
          <w:rFonts w:ascii="Arial" w:hAnsi="Arial" w:cs="Arial"/>
          <w:b/>
          <w:bCs/>
          <w:u w:val="single"/>
        </w:rPr>
      </w:pPr>
    </w:p>
    <w:p w14:paraId="1A594B9F" w14:textId="7A02955E" w:rsidR="00777E94" w:rsidRPr="00C22AEA" w:rsidRDefault="00777E94" w:rsidP="00777E94">
      <w:pPr>
        <w:rPr>
          <w:rFonts w:ascii="Arial" w:hAnsi="Arial" w:cs="Arial"/>
        </w:rPr>
      </w:pPr>
      <w:r>
        <w:rPr>
          <w:rFonts w:ascii="Arial" w:hAnsi="Arial" w:cs="Arial"/>
          <w:b/>
          <w:bCs/>
          <w:u w:val="single"/>
        </w:rPr>
        <w:t xml:space="preserve">Supplemental </w:t>
      </w:r>
      <w:r w:rsidRPr="00C22AEA">
        <w:rPr>
          <w:rFonts w:ascii="Arial" w:hAnsi="Arial" w:cs="Arial"/>
          <w:b/>
          <w:bCs/>
          <w:u w:val="single"/>
        </w:rPr>
        <w:t xml:space="preserve">Figure </w:t>
      </w:r>
      <w:r>
        <w:rPr>
          <w:rFonts w:ascii="Arial" w:hAnsi="Arial" w:cs="Arial"/>
          <w:b/>
          <w:bCs/>
          <w:u w:val="single"/>
        </w:rPr>
        <w:t>S1</w:t>
      </w:r>
      <w:r w:rsidRPr="00C22AEA">
        <w:rPr>
          <w:rFonts w:ascii="Arial" w:hAnsi="Arial" w:cs="Arial"/>
          <w:b/>
          <w:bCs/>
          <w:u w:val="single"/>
        </w:rPr>
        <w:t xml:space="preserve">: Technical Replicate Differences.  </w:t>
      </w:r>
      <w:r w:rsidRPr="00C22AEA">
        <w:rPr>
          <w:rFonts w:ascii="Arial" w:hAnsi="Arial" w:cs="Arial"/>
        </w:rPr>
        <w:t xml:space="preserve">Density plots of the difference in methylation (Beta value) between </w:t>
      </w:r>
      <w:r>
        <w:rPr>
          <w:rFonts w:ascii="Arial" w:hAnsi="Arial" w:cs="Arial"/>
        </w:rPr>
        <w:t>pairs of</w:t>
      </w:r>
      <w:r w:rsidRPr="00C22AEA">
        <w:rPr>
          <w:rFonts w:ascii="Arial" w:hAnsi="Arial" w:cs="Arial"/>
        </w:rPr>
        <w:t xml:space="preserve"> technical replicates </w:t>
      </w:r>
      <w:r>
        <w:rPr>
          <w:rFonts w:ascii="Arial" w:hAnsi="Arial" w:cs="Arial"/>
        </w:rPr>
        <w:t>for each platform (EPIC or 450</w:t>
      </w:r>
      <w:proofErr w:type="gramStart"/>
      <w:r>
        <w:rPr>
          <w:rFonts w:ascii="Arial" w:hAnsi="Arial" w:cs="Arial"/>
        </w:rPr>
        <w:t>K)  for</w:t>
      </w:r>
      <w:proofErr w:type="gramEnd"/>
      <w:r>
        <w:rPr>
          <w:rFonts w:ascii="Arial" w:hAnsi="Arial" w:cs="Arial"/>
        </w:rPr>
        <w:t xml:space="preserve"> the two methods (</w:t>
      </w:r>
      <w:proofErr w:type="spellStart"/>
      <w:r w:rsidRPr="00C22AEA">
        <w:rPr>
          <w:rFonts w:ascii="Arial" w:hAnsi="Arial" w:cs="Arial"/>
        </w:rPr>
        <w:t>SeSAMe</w:t>
      </w:r>
      <w:proofErr w:type="spellEnd"/>
      <w:r w:rsidRPr="00C22AEA">
        <w:rPr>
          <w:rFonts w:ascii="Arial" w:hAnsi="Arial" w:cs="Arial"/>
        </w:rPr>
        <w:t xml:space="preserve"> in blue and SWAN in red</w:t>
      </w:r>
      <w:r>
        <w:rPr>
          <w:rFonts w:ascii="Arial" w:hAnsi="Arial" w:cs="Arial"/>
        </w:rPr>
        <w:t xml:space="preserve">). Each plot displays one of the twelve pairs of technical </w:t>
      </w:r>
      <w:proofErr w:type="gramStart"/>
      <w:r>
        <w:rPr>
          <w:rFonts w:ascii="Arial" w:hAnsi="Arial" w:cs="Arial"/>
        </w:rPr>
        <w:t>replicates.</w:t>
      </w:r>
      <w:r w:rsidRPr="00C22AEA">
        <w:rPr>
          <w:rFonts w:ascii="Arial" w:hAnsi="Arial" w:cs="Arial"/>
        </w:rPr>
        <w:t>.</w:t>
      </w:r>
      <w:proofErr w:type="gramEnd"/>
      <w:r w:rsidRPr="00C22AEA">
        <w:rPr>
          <w:rFonts w:ascii="Arial" w:hAnsi="Arial" w:cs="Arial"/>
        </w:rPr>
        <w:t xml:space="preserve">    </w:t>
      </w:r>
    </w:p>
    <w:p w14:paraId="0157B181" w14:textId="12B88DDF" w:rsidR="00777E94" w:rsidRDefault="00777E94">
      <w:pPr>
        <w:rPr>
          <w:rFonts w:ascii="Arial" w:hAnsi="Arial" w:cs="Arial"/>
        </w:rPr>
      </w:pPr>
      <w:r w:rsidRPr="00C22AEA">
        <w:rPr>
          <w:rFonts w:ascii="Arial" w:hAnsi="Arial" w:cs="Arial"/>
          <w:noProof/>
        </w:rPr>
        <w:drawing>
          <wp:inline distT="0" distB="0" distL="0" distR="0" wp14:anchorId="711BE4DD" wp14:editId="57A54D90">
            <wp:extent cx="5641582" cy="4662238"/>
            <wp:effectExtent l="0" t="0" r="0" b="508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a:srcRect l="2" t="1" r="-2" b="-208"/>
                    <a:stretch/>
                  </pic:blipFill>
                  <pic:spPr>
                    <a:xfrm>
                      <a:off x="0" y="0"/>
                      <a:ext cx="5641582" cy="4662238"/>
                    </a:xfrm>
                    <a:prstGeom prst="rect">
                      <a:avLst/>
                    </a:prstGeom>
                  </pic:spPr>
                </pic:pic>
              </a:graphicData>
            </a:graphic>
          </wp:inline>
        </w:drawing>
      </w:r>
    </w:p>
    <w:p w14:paraId="451657A0" w14:textId="77777777" w:rsidR="00777E94" w:rsidRDefault="00777E94" w:rsidP="00777E94">
      <w:pPr>
        <w:rPr>
          <w:rFonts w:ascii="Arial" w:hAnsi="Arial" w:cs="Arial"/>
        </w:rPr>
      </w:pPr>
    </w:p>
    <w:p w14:paraId="052C6886" w14:textId="0BDEA752" w:rsidR="00777E94" w:rsidRPr="00777E94" w:rsidRDefault="00777E94" w:rsidP="00777E94">
      <w:pPr>
        <w:rPr>
          <w:rFonts w:ascii="Arial" w:hAnsi="Arial" w:cs="Arial"/>
          <w:b/>
          <w:u w:val="single"/>
        </w:rPr>
      </w:pPr>
      <w:r>
        <w:rPr>
          <w:rFonts w:ascii="Arial" w:hAnsi="Arial" w:cs="Arial"/>
          <w:b/>
          <w:u w:val="single"/>
        </w:rPr>
        <w:br w:type="page"/>
      </w:r>
      <w:r>
        <w:rPr>
          <w:rFonts w:ascii="Arial" w:hAnsi="Arial" w:cs="Arial"/>
          <w:b/>
          <w:u w:val="single"/>
        </w:rPr>
        <w:lastRenderedPageBreak/>
        <w:t>Supplemental Figure S2</w:t>
      </w:r>
      <w:r w:rsidRPr="00D1598E">
        <w:rPr>
          <w:rFonts w:ascii="Arial" w:hAnsi="Arial" w:cs="Arial"/>
          <w:b/>
          <w:u w:val="single"/>
        </w:rPr>
        <w:t>. Batch Effect Adjustment.</w:t>
      </w:r>
      <w:r>
        <w:rPr>
          <w:rFonts w:ascii="Arial" w:hAnsi="Arial" w:cs="Arial"/>
        </w:rPr>
        <w:t xml:space="preserve">  </w:t>
      </w:r>
      <w:r w:rsidR="00CB7DF5">
        <w:rPr>
          <w:rFonts w:ascii="Arial" w:hAnsi="Arial" w:cs="Arial"/>
        </w:rPr>
        <w:t xml:space="preserve">A-B. </w:t>
      </w:r>
      <w:r w:rsidRPr="00B7648F">
        <w:rPr>
          <w:rFonts w:ascii="Arial" w:hAnsi="Arial" w:cs="Arial"/>
        </w:rPr>
        <w:t>Heatmaps of the</w:t>
      </w:r>
      <w:r w:rsidR="00865307" w:rsidRPr="00B7648F">
        <w:rPr>
          <w:rFonts w:ascii="Arial" w:hAnsi="Arial" w:cs="Arial"/>
        </w:rPr>
        <w:t xml:space="preserve"> statistical significance</w:t>
      </w:r>
      <w:r w:rsidR="0097161D" w:rsidRPr="00B7648F">
        <w:rPr>
          <w:rFonts w:ascii="Arial" w:hAnsi="Arial" w:cs="Arial"/>
        </w:rPr>
        <w:t xml:space="preserve"> (-log10 p-values)</w:t>
      </w:r>
      <w:r w:rsidR="00865307" w:rsidRPr="00B7648F">
        <w:rPr>
          <w:rFonts w:ascii="Arial" w:hAnsi="Arial" w:cs="Arial"/>
        </w:rPr>
        <w:t xml:space="preserve"> of</w:t>
      </w:r>
      <w:r w:rsidRPr="00B7648F">
        <w:rPr>
          <w:rFonts w:ascii="Arial" w:hAnsi="Arial" w:cs="Arial"/>
        </w:rPr>
        <w:t xml:space="preserve"> association between principa</w:t>
      </w:r>
      <w:r w:rsidR="00865307" w:rsidRPr="00B7648F">
        <w:rPr>
          <w:rFonts w:ascii="Arial" w:hAnsi="Arial" w:cs="Arial"/>
        </w:rPr>
        <w:t>l co</w:t>
      </w:r>
      <w:r w:rsidR="00865307">
        <w:rPr>
          <w:rFonts w:ascii="Arial" w:hAnsi="Arial" w:cs="Arial"/>
        </w:rPr>
        <w:t xml:space="preserve">mponents and batch for </w:t>
      </w:r>
      <w:r>
        <w:rPr>
          <w:rFonts w:ascii="Arial" w:hAnsi="Arial" w:cs="Arial"/>
        </w:rPr>
        <w:t xml:space="preserve">the unadjusted raw normalized data, the </w:t>
      </w:r>
      <w:proofErr w:type="spellStart"/>
      <w:r>
        <w:rPr>
          <w:rFonts w:ascii="Arial" w:hAnsi="Arial" w:cs="Arial"/>
        </w:rPr>
        <w:t>RUVm</w:t>
      </w:r>
      <w:proofErr w:type="spellEnd"/>
      <w:r>
        <w:rPr>
          <w:rFonts w:ascii="Arial" w:hAnsi="Arial" w:cs="Arial"/>
        </w:rPr>
        <w:t xml:space="preserve"> adjusted data and </w:t>
      </w:r>
      <w:proofErr w:type="spellStart"/>
      <w:r>
        <w:rPr>
          <w:rFonts w:ascii="Arial" w:hAnsi="Arial" w:cs="Arial"/>
        </w:rPr>
        <w:t>ComBat</w:t>
      </w:r>
      <w:proofErr w:type="spellEnd"/>
      <w:r>
        <w:rPr>
          <w:rFonts w:ascii="Arial" w:hAnsi="Arial" w:cs="Arial"/>
        </w:rPr>
        <w:t xml:space="preserve"> adjusted data</w:t>
      </w:r>
      <w:r w:rsidR="00E15FBC">
        <w:rPr>
          <w:rFonts w:ascii="Arial" w:hAnsi="Arial" w:cs="Arial"/>
        </w:rPr>
        <w:t xml:space="preserve"> </w:t>
      </w:r>
      <w:r>
        <w:rPr>
          <w:rFonts w:ascii="Arial" w:hAnsi="Arial" w:cs="Arial"/>
        </w:rPr>
        <w:t>both the A. 450K</w:t>
      </w:r>
      <w:r w:rsidR="00CB7DF5">
        <w:rPr>
          <w:rFonts w:ascii="Arial" w:hAnsi="Arial" w:cs="Arial"/>
        </w:rPr>
        <w:t xml:space="preserve"> and B. EPIC platforms. C-D. </w:t>
      </w:r>
      <w:r w:rsidR="00865307">
        <w:rPr>
          <w:rFonts w:ascii="Arial" w:hAnsi="Arial" w:cs="Arial"/>
        </w:rPr>
        <w:t xml:space="preserve">Heatmaps of the proportion PC variance </w:t>
      </w:r>
      <w:r w:rsidR="009C32C2">
        <w:rPr>
          <w:rFonts w:ascii="Arial" w:hAnsi="Arial" w:cs="Arial"/>
        </w:rPr>
        <w:t xml:space="preserve">(R-squared from the association model) </w:t>
      </w:r>
      <w:r w:rsidR="00865307">
        <w:rPr>
          <w:rFonts w:ascii="Arial" w:hAnsi="Arial" w:cs="Arial"/>
        </w:rPr>
        <w:t xml:space="preserve">explained by batch for the unadjusted raw normalized data, the </w:t>
      </w:r>
      <w:proofErr w:type="spellStart"/>
      <w:r w:rsidR="00865307">
        <w:rPr>
          <w:rFonts w:ascii="Arial" w:hAnsi="Arial" w:cs="Arial"/>
        </w:rPr>
        <w:t>RUVm</w:t>
      </w:r>
      <w:proofErr w:type="spellEnd"/>
      <w:r w:rsidR="00865307">
        <w:rPr>
          <w:rFonts w:ascii="Arial" w:hAnsi="Arial" w:cs="Arial"/>
        </w:rPr>
        <w:t xml:space="preserve"> adjusted data and the </w:t>
      </w:r>
      <w:proofErr w:type="spellStart"/>
      <w:r w:rsidR="00865307">
        <w:rPr>
          <w:rFonts w:ascii="Arial" w:hAnsi="Arial" w:cs="Arial"/>
        </w:rPr>
        <w:t>ComBat</w:t>
      </w:r>
      <w:proofErr w:type="spellEnd"/>
      <w:r w:rsidR="00865307">
        <w:rPr>
          <w:rFonts w:ascii="Arial" w:hAnsi="Arial" w:cs="Arial"/>
        </w:rPr>
        <w:t xml:space="preserve"> adjusted data in both the C. 450K and D. EPIC platforms.  </w:t>
      </w:r>
      <w:r w:rsidR="00E15FBC">
        <w:rPr>
          <w:rFonts w:ascii="Arial" w:hAnsi="Arial" w:cs="Arial"/>
        </w:rPr>
        <w:t xml:space="preserve"> </w:t>
      </w:r>
      <w:r>
        <w:rPr>
          <w:rFonts w:ascii="Arial" w:hAnsi="Arial" w:cs="Arial"/>
        </w:rPr>
        <w:t xml:space="preserve"> </w:t>
      </w:r>
    </w:p>
    <w:p w14:paraId="13B29687" w14:textId="22D81F9B" w:rsidR="00777E94" w:rsidRDefault="00C41940" w:rsidP="00777E94">
      <w:pPr>
        <w:rPr>
          <w:rFonts w:ascii="Arial" w:hAnsi="Arial" w:cs="Arial"/>
        </w:rPr>
      </w:pPr>
      <w:r>
        <w:rPr>
          <w:rFonts w:ascii="Arial" w:hAnsi="Arial" w:cs="Arial"/>
          <w:noProof/>
        </w:rPr>
        <w:drawing>
          <wp:inline distT="0" distB="0" distL="0" distR="0" wp14:anchorId="58414709" wp14:editId="0BED5609">
            <wp:extent cx="4949534" cy="6914515"/>
            <wp:effectExtent l="0" t="0" r="381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FigS2_v2.png"/>
                    <pic:cNvPicPr/>
                  </pic:nvPicPr>
                  <pic:blipFill>
                    <a:blip r:embed="rId9">
                      <a:extLst>
                        <a:ext uri="{28A0092B-C50C-407E-A947-70E740481C1C}">
                          <a14:useLocalDpi xmlns:a14="http://schemas.microsoft.com/office/drawing/2010/main" val="0"/>
                        </a:ext>
                      </a:extLst>
                    </a:blip>
                    <a:stretch>
                      <a:fillRect/>
                    </a:stretch>
                  </pic:blipFill>
                  <pic:spPr>
                    <a:xfrm>
                      <a:off x="0" y="0"/>
                      <a:ext cx="4952076" cy="6918066"/>
                    </a:xfrm>
                    <a:prstGeom prst="rect">
                      <a:avLst/>
                    </a:prstGeom>
                  </pic:spPr>
                </pic:pic>
              </a:graphicData>
            </a:graphic>
          </wp:inline>
        </w:drawing>
      </w:r>
    </w:p>
    <w:p w14:paraId="41FFAA25" w14:textId="77777777" w:rsidR="00777E94" w:rsidRDefault="00777E94" w:rsidP="00777E94">
      <w:pPr>
        <w:rPr>
          <w:rFonts w:ascii="Arial" w:hAnsi="Arial" w:cs="Arial"/>
        </w:rPr>
      </w:pPr>
      <w:r>
        <w:rPr>
          <w:rFonts w:ascii="Arial" w:hAnsi="Arial" w:cs="Arial"/>
          <w:b/>
          <w:u w:val="single"/>
        </w:rPr>
        <w:lastRenderedPageBreak/>
        <w:t>Supplemental Figure S3</w:t>
      </w:r>
      <w:r w:rsidRPr="00AF29B2">
        <w:rPr>
          <w:rFonts w:ascii="Arial" w:hAnsi="Arial" w:cs="Arial"/>
          <w:b/>
          <w:u w:val="single"/>
        </w:rPr>
        <w:t>.</w:t>
      </w:r>
      <w:r>
        <w:rPr>
          <w:rFonts w:ascii="Arial" w:hAnsi="Arial" w:cs="Arial"/>
          <w:b/>
          <w:u w:val="single"/>
        </w:rPr>
        <w:t xml:space="preserve"> Mean Beta value for probes with no variability</w:t>
      </w:r>
      <w:r w:rsidRPr="00AF29B2">
        <w:rPr>
          <w:rFonts w:ascii="Arial" w:hAnsi="Arial" w:cs="Arial"/>
          <w:b/>
          <w:u w:val="single"/>
        </w:rPr>
        <w:t>.</w:t>
      </w:r>
      <w:r>
        <w:rPr>
          <w:rFonts w:ascii="Arial" w:hAnsi="Arial" w:cs="Arial"/>
        </w:rPr>
        <w:t xml:space="preserve">  Histograms showing the mean Beta value for those probes which failed the range filter (Beta range &lt; 0.05) are shown for the A. 450K and B. EPIC platforms.  Histograms for the mean Beta value for those probes which passed the range filter (Beta range &gt; 0.05) are shown for the C. 450 and D. EPIC platforms.   </w:t>
      </w:r>
    </w:p>
    <w:p w14:paraId="7BDF4946" w14:textId="0A6FDA87" w:rsidR="00777E94" w:rsidRDefault="00777E94">
      <w:pPr>
        <w:rPr>
          <w:rFonts w:ascii="Arial" w:hAnsi="Arial" w:cs="Arial"/>
        </w:rPr>
      </w:pPr>
      <w:r>
        <w:rPr>
          <w:rFonts w:ascii="Arial" w:hAnsi="Arial" w:cs="Arial"/>
          <w:noProof/>
        </w:rPr>
        <w:drawing>
          <wp:inline distT="0" distB="0" distL="0" distR="0" wp14:anchorId="08C809EF" wp14:editId="13B7BA39">
            <wp:extent cx="5943600" cy="3866505"/>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866505"/>
                    </a:xfrm>
                    <a:prstGeom prst="rect">
                      <a:avLst/>
                    </a:prstGeom>
                    <a:noFill/>
                  </pic:spPr>
                </pic:pic>
              </a:graphicData>
            </a:graphic>
          </wp:inline>
        </w:drawing>
      </w:r>
    </w:p>
    <w:p w14:paraId="001F1AE7" w14:textId="34516D08" w:rsidR="00777E94" w:rsidRDefault="00777E94">
      <w:pPr>
        <w:rPr>
          <w:rFonts w:ascii="Arial" w:hAnsi="Arial" w:cs="Arial"/>
        </w:rPr>
      </w:pPr>
      <w:r>
        <w:rPr>
          <w:rFonts w:ascii="Arial" w:hAnsi="Arial" w:cs="Arial"/>
        </w:rPr>
        <w:br w:type="page"/>
      </w:r>
    </w:p>
    <w:p w14:paraId="57A888E2" w14:textId="77777777" w:rsidR="00777E94" w:rsidRDefault="00777E94" w:rsidP="00777E94">
      <w:pPr>
        <w:rPr>
          <w:rFonts w:ascii="Arial" w:hAnsi="Arial" w:cs="Arial"/>
        </w:rPr>
      </w:pPr>
      <w:r>
        <w:rPr>
          <w:rFonts w:ascii="Arial" w:hAnsi="Arial" w:cs="Arial"/>
          <w:b/>
          <w:u w:val="single"/>
        </w:rPr>
        <w:lastRenderedPageBreak/>
        <w:t xml:space="preserve">Supplemental </w:t>
      </w:r>
      <w:r w:rsidRPr="00AF29B2">
        <w:rPr>
          <w:rFonts w:ascii="Arial" w:hAnsi="Arial" w:cs="Arial"/>
          <w:b/>
          <w:u w:val="single"/>
        </w:rPr>
        <w:t xml:space="preserve">Figure </w:t>
      </w:r>
      <w:r>
        <w:rPr>
          <w:rFonts w:ascii="Arial" w:hAnsi="Arial" w:cs="Arial"/>
          <w:b/>
          <w:u w:val="single"/>
        </w:rPr>
        <w:t>S4</w:t>
      </w:r>
      <w:r w:rsidRPr="00AF29B2">
        <w:rPr>
          <w:rFonts w:ascii="Arial" w:hAnsi="Arial" w:cs="Arial"/>
          <w:b/>
          <w:u w:val="single"/>
        </w:rPr>
        <w:t>.</w:t>
      </w:r>
      <w:r>
        <w:rPr>
          <w:rFonts w:ascii="Arial" w:hAnsi="Arial" w:cs="Arial"/>
          <w:b/>
          <w:u w:val="single"/>
        </w:rPr>
        <w:t xml:space="preserve"> Effect of extra filtering by probe variability on genomic distribution of probes</w:t>
      </w:r>
      <w:r w:rsidRPr="00AF29B2">
        <w:rPr>
          <w:rFonts w:ascii="Arial" w:hAnsi="Arial" w:cs="Arial"/>
          <w:b/>
          <w:u w:val="single"/>
        </w:rPr>
        <w:t>.</w:t>
      </w:r>
      <w:r>
        <w:rPr>
          <w:rFonts w:ascii="Arial" w:hAnsi="Arial" w:cs="Arial"/>
        </w:rPr>
        <w:t xml:space="preserve">  The proportion of probes on each chromosome is shown in the pre- and post- probe range filtering datasets in red and blue respectively (filtered probes with a Beta range &lt; 0.05) for both the A. 450K and B. EPIC platforms.     </w:t>
      </w:r>
    </w:p>
    <w:p w14:paraId="32D08A79" w14:textId="2FF288F4" w:rsidR="00777E94" w:rsidRDefault="006D3928">
      <w:pPr>
        <w:rPr>
          <w:rFonts w:ascii="Arial" w:hAnsi="Arial" w:cs="Arial"/>
        </w:rPr>
      </w:pPr>
      <w:r w:rsidRPr="009118D8">
        <w:rPr>
          <w:rFonts w:ascii="Arial" w:hAnsi="Arial" w:cs="Arial"/>
          <w:noProof/>
        </w:rPr>
        <mc:AlternateContent>
          <mc:Choice Requires="wpg">
            <w:drawing>
              <wp:anchor distT="0" distB="0" distL="114300" distR="114300" simplePos="0" relativeHeight="251661312" behindDoc="0" locked="0" layoutInCell="1" allowOverlap="1" wp14:anchorId="067CC359" wp14:editId="7B5EE47A">
                <wp:simplePos x="0" y="0"/>
                <wp:positionH relativeFrom="column">
                  <wp:posOffset>0</wp:posOffset>
                </wp:positionH>
                <wp:positionV relativeFrom="paragraph">
                  <wp:posOffset>0</wp:posOffset>
                </wp:positionV>
                <wp:extent cx="4464570" cy="6362350"/>
                <wp:effectExtent l="0" t="0" r="0" b="635"/>
                <wp:wrapNone/>
                <wp:docPr id="33" name="Group 4"/>
                <wp:cNvGraphicFramePr/>
                <a:graphic xmlns:a="http://schemas.openxmlformats.org/drawingml/2006/main">
                  <a:graphicData uri="http://schemas.microsoft.com/office/word/2010/wordprocessingGroup">
                    <wpg:wgp>
                      <wpg:cNvGrpSpPr/>
                      <wpg:grpSpPr>
                        <a:xfrm>
                          <a:off x="0" y="0"/>
                          <a:ext cx="4464570" cy="6362350"/>
                          <a:chOff x="0" y="0"/>
                          <a:chExt cx="4464570" cy="6362350"/>
                        </a:xfrm>
                      </wpg:grpSpPr>
                      <pic:pic xmlns:pic="http://schemas.openxmlformats.org/drawingml/2006/picture">
                        <pic:nvPicPr>
                          <pic:cNvPr id="34" name="Picture 34"/>
                          <pic:cNvPicPr>
                            <a:picLocks noChangeAspect="1"/>
                          </pic:cNvPicPr>
                        </pic:nvPicPr>
                        <pic:blipFill>
                          <a:blip r:embed="rId11"/>
                          <a:stretch>
                            <a:fillRect/>
                          </a:stretch>
                        </pic:blipFill>
                        <pic:spPr>
                          <a:xfrm>
                            <a:off x="121170" y="165950"/>
                            <a:ext cx="4343400" cy="3023637"/>
                          </a:xfrm>
                          <a:prstGeom prst="rect">
                            <a:avLst/>
                          </a:prstGeom>
                        </pic:spPr>
                      </pic:pic>
                      <pic:pic xmlns:pic="http://schemas.openxmlformats.org/drawingml/2006/picture">
                        <pic:nvPicPr>
                          <pic:cNvPr id="35" name="Picture 35"/>
                          <pic:cNvPicPr>
                            <a:picLocks noChangeAspect="1"/>
                          </pic:cNvPicPr>
                        </pic:nvPicPr>
                        <pic:blipFill>
                          <a:blip r:embed="rId12"/>
                          <a:stretch>
                            <a:fillRect/>
                          </a:stretch>
                        </pic:blipFill>
                        <pic:spPr>
                          <a:xfrm>
                            <a:off x="121170" y="3338713"/>
                            <a:ext cx="4343400" cy="3023637"/>
                          </a:xfrm>
                          <a:prstGeom prst="rect">
                            <a:avLst/>
                          </a:prstGeom>
                        </pic:spPr>
                      </pic:pic>
                      <wps:wsp>
                        <wps:cNvPr id="36" name="TextBox 3"/>
                        <wps:cNvSpPr txBox="1"/>
                        <wps:spPr>
                          <a:xfrm>
                            <a:off x="0" y="0"/>
                            <a:ext cx="302895" cy="3450590"/>
                          </a:xfrm>
                          <a:prstGeom prst="rect">
                            <a:avLst/>
                          </a:prstGeom>
                          <a:noFill/>
                        </wps:spPr>
                        <wps:txbx>
                          <w:txbxContent>
                            <w:p w14:paraId="66279306" w14:textId="77777777" w:rsidR="006D3928" w:rsidRDefault="006D3928" w:rsidP="006D3928">
                              <w:pPr>
                                <w:pStyle w:val="NormalWeb"/>
                                <w:spacing w:before="0" w:beforeAutospacing="0" w:after="0" w:afterAutospacing="0"/>
                              </w:pPr>
                              <w:r>
                                <w:rPr>
                                  <w:rFonts w:ascii="Arial" w:hAnsi="Arial" w:cs="Arial"/>
                                  <w:color w:val="000000" w:themeColor="text1"/>
                                  <w:kern w:val="24"/>
                                  <w:sz w:val="20"/>
                                  <w:szCs w:val="20"/>
                                </w:rPr>
                                <w:t>A.</w:t>
                              </w:r>
                            </w:p>
                            <w:p w14:paraId="17403748"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595806D"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36CA31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9B8E2B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64DDBBDA"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97C7755"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6FAC941"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7E078020"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00CB50B4"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2E3AD49"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37B7D39"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737FBF6B"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06DF6DF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489C357"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7417C60E"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F16050A"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ACC378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77A5F21"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CA033DB"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8F21B3F"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0B0C0CB1"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684F9CBE" w14:textId="77777777" w:rsidR="006D3928" w:rsidRDefault="006D3928" w:rsidP="006D3928">
                              <w:pPr>
                                <w:pStyle w:val="NormalWeb"/>
                                <w:spacing w:before="0" w:beforeAutospacing="0" w:after="0" w:afterAutospacing="0"/>
                              </w:pPr>
                              <w:r>
                                <w:rPr>
                                  <w:rFonts w:ascii="Arial" w:hAnsi="Arial" w:cs="Arial"/>
                                  <w:color w:val="000000" w:themeColor="text1"/>
                                  <w:kern w:val="24"/>
                                  <w:sz w:val="20"/>
                                  <w:szCs w:val="20"/>
                                </w:rPr>
                                <w:t>B.</w:t>
                              </w:r>
                            </w:p>
                          </w:txbxContent>
                        </wps:txbx>
                        <wps:bodyPr wrap="none" rtlCol="0">
                          <a:spAutoFit/>
                        </wps:bodyPr>
                      </wps:wsp>
                    </wpg:wgp>
                  </a:graphicData>
                </a:graphic>
              </wp:anchor>
            </w:drawing>
          </mc:Choice>
          <mc:Fallback>
            <w:pict>
              <v:group w14:anchorId="067CC359" id="Group 4" o:spid="_x0000_s1026" style="position:absolute;margin-left:0;margin-top:0;width:351.55pt;height:500.95pt;z-index:251661312" coordsize="44645,63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1211;top:1659;width:43434;height:3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">
                  <v:imagedata r:id="rId15" o:title=""/>
                  <v:path arrowok="t"/>
                </v:shape>
                <v:shape id="Picture 35" o:spid="_x0000_s1028" type="#_x0000_t75" style="position:absolute;left:1211;top:33387;width:43434;height:3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">
                  <v:imagedata r:id="rId16" o:title=""/>
                  <v:path arrowok="t"/>
                </v:shape>
                <v:shapetype id="_x0000_t202" coordsize="21600,21600" o:spt="202" path="m,l,21600r21600,l21600,xe">
                  <v:stroke joinstyle="miter"/>
                  <v:path gradientshapeok="t" o:connecttype="rect"/>
                </v:shapetype>
                <v:shape id="TextBox 3" o:spid="_x0000_s1029" type="#_x0000_t202" style="position:absolute;width:3028;height:34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" filled="f" stroked="f">
                  <v:textbox style="mso-fit-shape-to-text:t">
                    <w:txbxContent>
                      <w:p w14:paraId="66279306" w14:textId="77777777" w:rsidR="006D3928" w:rsidRDefault="006D3928" w:rsidP="006D3928">
                        <w:pPr>
                          <w:pStyle w:val="NormalWeb"/>
                          <w:spacing w:before="0" w:beforeAutospacing="0" w:after="0" w:afterAutospacing="0"/>
                        </w:pPr>
                        <w:r>
                          <w:rPr>
                            <w:rFonts w:ascii="Arial" w:hAnsi="Arial" w:cs="Arial"/>
                            <w:color w:val="000000" w:themeColor="text1"/>
                            <w:kern w:val="24"/>
                            <w:sz w:val="20"/>
                            <w:szCs w:val="20"/>
                          </w:rPr>
                          <w:t>A.</w:t>
                        </w:r>
                      </w:p>
                      <w:p w14:paraId="17403748"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595806D"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36CA31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9B8E2B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64DDBBDA"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97C7755"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6FAC941"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7E078020"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00CB50B4"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2E3AD49"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37B7D39"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737FBF6B"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06DF6DF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489C357"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7417C60E"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F16050A"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ACC3783"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277A5F21"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1CA033DB"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48F21B3F"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0B0C0CB1" w14:textId="77777777" w:rsidR="006D3928" w:rsidRDefault="006D3928" w:rsidP="006D3928">
                        <w:pPr>
                          <w:pStyle w:val="NormalWeb"/>
                          <w:spacing w:before="0" w:beforeAutospacing="0" w:after="0" w:afterAutospacing="0"/>
                          <w:rPr>
                            <w:rFonts w:ascii="Arial" w:hAnsi="Arial" w:cs="Arial"/>
                            <w:color w:val="000000" w:themeColor="text1"/>
                            <w:kern w:val="24"/>
                            <w:sz w:val="20"/>
                            <w:szCs w:val="20"/>
                          </w:rPr>
                        </w:pPr>
                      </w:p>
                      <w:p w14:paraId="684F9CBE" w14:textId="77777777" w:rsidR="006D3928" w:rsidRDefault="006D3928" w:rsidP="006D3928">
                        <w:pPr>
                          <w:pStyle w:val="NormalWeb"/>
                          <w:spacing w:before="0" w:beforeAutospacing="0" w:after="0" w:afterAutospacing="0"/>
                        </w:pPr>
                        <w:r>
                          <w:rPr>
                            <w:rFonts w:ascii="Arial" w:hAnsi="Arial" w:cs="Arial"/>
                            <w:color w:val="000000" w:themeColor="text1"/>
                            <w:kern w:val="24"/>
                            <w:sz w:val="20"/>
                            <w:szCs w:val="20"/>
                          </w:rPr>
                          <w:t>B.</w:t>
                        </w:r>
                      </w:p>
                    </w:txbxContent>
                  </v:textbox>
                </v:shape>
              </v:group>
            </w:pict>
          </mc:Fallback>
        </mc:AlternateContent>
      </w:r>
    </w:p>
    <w:p w14:paraId="7E65D591" w14:textId="23BF1FB4" w:rsidR="00777E94" w:rsidRDefault="00777E94">
      <w:pPr>
        <w:rPr>
          <w:rFonts w:ascii="Arial" w:hAnsi="Arial" w:cs="Arial"/>
        </w:rPr>
      </w:pPr>
    </w:p>
    <w:p w14:paraId="762FF1F6" w14:textId="286265B3" w:rsidR="00777E94" w:rsidRDefault="00777E94">
      <w:pPr>
        <w:rPr>
          <w:rFonts w:ascii="Arial" w:hAnsi="Arial" w:cs="Arial"/>
        </w:rPr>
      </w:pPr>
    </w:p>
    <w:p w14:paraId="61E45D44" w14:textId="10DAE05C" w:rsidR="00777E94" w:rsidRDefault="00777E94">
      <w:pPr>
        <w:rPr>
          <w:rFonts w:ascii="Arial" w:hAnsi="Arial" w:cs="Arial"/>
        </w:rPr>
      </w:pPr>
    </w:p>
    <w:p w14:paraId="37DDD70E" w14:textId="548FFF50" w:rsidR="00777E94" w:rsidRDefault="00777E94">
      <w:pPr>
        <w:rPr>
          <w:rFonts w:ascii="Arial" w:hAnsi="Arial" w:cs="Arial"/>
        </w:rPr>
      </w:pPr>
    </w:p>
    <w:p w14:paraId="334287FD" w14:textId="1A67CC47" w:rsidR="00777E94" w:rsidRDefault="00777E94">
      <w:pPr>
        <w:rPr>
          <w:rFonts w:ascii="Arial" w:hAnsi="Arial" w:cs="Arial"/>
        </w:rPr>
      </w:pPr>
    </w:p>
    <w:p w14:paraId="1B1491B1" w14:textId="025CB3B5" w:rsidR="00777E94" w:rsidRDefault="00777E94">
      <w:pPr>
        <w:rPr>
          <w:rFonts w:ascii="Arial" w:hAnsi="Arial" w:cs="Arial"/>
        </w:rPr>
      </w:pPr>
    </w:p>
    <w:p w14:paraId="3966D356" w14:textId="38C66702" w:rsidR="006D3928" w:rsidRDefault="006D3928">
      <w:pPr>
        <w:rPr>
          <w:rFonts w:ascii="Arial" w:hAnsi="Arial" w:cs="Arial"/>
        </w:rPr>
      </w:pPr>
    </w:p>
    <w:p w14:paraId="2E6A7D43" w14:textId="46543C65" w:rsidR="006D3928" w:rsidRDefault="006D3928">
      <w:pPr>
        <w:rPr>
          <w:rFonts w:ascii="Arial" w:hAnsi="Arial" w:cs="Arial"/>
        </w:rPr>
      </w:pPr>
    </w:p>
    <w:p w14:paraId="289DCC5B" w14:textId="48B5747B" w:rsidR="006D3928" w:rsidRDefault="006D3928">
      <w:pPr>
        <w:rPr>
          <w:rFonts w:ascii="Arial" w:hAnsi="Arial" w:cs="Arial"/>
        </w:rPr>
      </w:pPr>
    </w:p>
    <w:p w14:paraId="74428013" w14:textId="36386099" w:rsidR="006D3928" w:rsidRDefault="006D3928">
      <w:pPr>
        <w:rPr>
          <w:rFonts w:ascii="Arial" w:hAnsi="Arial" w:cs="Arial"/>
        </w:rPr>
      </w:pPr>
    </w:p>
    <w:p w14:paraId="2BDEA5A0" w14:textId="1784AF03" w:rsidR="006D3928" w:rsidRDefault="006D3928">
      <w:pPr>
        <w:rPr>
          <w:rFonts w:ascii="Arial" w:hAnsi="Arial" w:cs="Arial"/>
        </w:rPr>
      </w:pPr>
    </w:p>
    <w:p w14:paraId="583ACF4B" w14:textId="632F5BD7" w:rsidR="006D3928" w:rsidRDefault="006D3928">
      <w:pPr>
        <w:rPr>
          <w:rFonts w:ascii="Arial" w:hAnsi="Arial" w:cs="Arial"/>
        </w:rPr>
      </w:pPr>
    </w:p>
    <w:p w14:paraId="2AE34104" w14:textId="6B41FE3B" w:rsidR="006D3928" w:rsidRDefault="006D3928">
      <w:pPr>
        <w:rPr>
          <w:rFonts w:ascii="Arial" w:hAnsi="Arial" w:cs="Arial"/>
        </w:rPr>
      </w:pPr>
    </w:p>
    <w:p w14:paraId="5DC31E15" w14:textId="21660730" w:rsidR="006D3928" w:rsidRDefault="006D3928">
      <w:pPr>
        <w:rPr>
          <w:rFonts w:ascii="Arial" w:hAnsi="Arial" w:cs="Arial"/>
        </w:rPr>
      </w:pPr>
    </w:p>
    <w:p w14:paraId="622E8411" w14:textId="2D8D72E4" w:rsidR="006D3928" w:rsidRDefault="006D3928">
      <w:pPr>
        <w:rPr>
          <w:rFonts w:ascii="Arial" w:hAnsi="Arial" w:cs="Arial"/>
        </w:rPr>
      </w:pPr>
    </w:p>
    <w:p w14:paraId="267D7231" w14:textId="359281B7" w:rsidR="006D3928" w:rsidRDefault="006D3928">
      <w:pPr>
        <w:rPr>
          <w:rFonts w:ascii="Arial" w:hAnsi="Arial" w:cs="Arial"/>
        </w:rPr>
      </w:pPr>
    </w:p>
    <w:p w14:paraId="508720FF" w14:textId="6B09B678" w:rsidR="006D3928" w:rsidRDefault="006D3928">
      <w:pPr>
        <w:rPr>
          <w:rFonts w:ascii="Arial" w:hAnsi="Arial" w:cs="Arial"/>
        </w:rPr>
      </w:pPr>
    </w:p>
    <w:p w14:paraId="6EA9FFA5" w14:textId="0AC14612" w:rsidR="006D3928" w:rsidRDefault="006D3928">
      <w:pPr>
        <w:rPr>
          <w:rFonts w:ascii="Arial" w:hAnsi="Arial" w:cs="Arial"/>
        </w:rPr>
      </w:pPr>
    </w:p>
    <w:p w14:paraId="33A9CE06" w14:textId="14517979" w:rsidR="006D3928" w:rsidRDefault="006D3928">
      <w:pPr>
        <w:rPr>
          <w:rFonts w:ascii="Arial" w:hAnsi="Arial" w:cs="Arial"/>
        </w:rPr>
      </w:pPr>
      <w:bookmarkStart w:id="0" w:name="_GoBack"/>
      <w:bookmarkEnd w:id="0"/>
    </w:p>
    <w:p w14:paraId="14ADE0C4" w14:textId="6D946F74" w:rsidR="006D3928" w:rsidRDefault="006D3928">
      <w:pPr>
        <w:rPr>
          <w:rFonts w:ascii="Arial" w:hAnsi="Arial" w:cs="Arial"/>
        </w:rPr>
      </w:pPr>
    </w:p>
    <w:p w14:paraId="7284B471" w14:textId="680B4444" w:rsidR="006D3928" w:rsidRDefault="006D3928">
      <w:pPr>
        <w:rPr>
          <w:rFonts w:ascii="Arial" w:hAnsi="Arial" w:cs="Arial"/>
        </w:rPr>
      </w:pPr>
    </w:p>
    <w:p w14:paraId="1346D03A" w14:textId="1EAF0DA6" w:rsidR="006D3928" w:rsidRDefault="006D3928">
      <w:pPr>
        <w:rPr>
          <w:rFonts w:ascii="Arial" w:hAnsi="Arial" w:cs="Arial"/>
        </w:rPr>
      </w:pPr>
    </w:p>
    <w:p w14:paraId="3CAB6535" w14:textId="16567C2C" w:rsidR="006D3928" w:rsidRDefault="006D3928">
      <w:pPr>
        <w:rPr>
          <w:rFonts w:ascii="Arial" w:hAnsi="Arial" w:cs="Arial"/>
        </w:rPr>
      </w:pPr>
    </w:p>
    <w:p w14:paraId="0EE65644" w14:textId="35881D9C" w:rsidR="006D3928" w:rsidRDefault="006D3928">
      <w:pPr>
        <w:rPr>
          <w:rFonts w:ascii="Arial" w:hAnsi="Arial" w:cs="Arial"/>
        </w:rPr>
      </w:pPr>
      <w:r>
        <w:rPr>
          <w:rFonts w:ascii="Arial" w:hAnsi="Arial" w:cs="Arial"/>
        </w:rPr>
        <w:br w:type="page"/>
      </w:r>
    </w:p>
    <w:p w14:paraId="7E7E1DA8" w14:textId="56374912" w:rsidR="006D3928" w:rsidRDefault="006D3928" w:rsidP="006D3928">
      <w:pPr>
        <w:rPr>
          <w:rFonts w:ascii="Arial" w:hAnsi="Arial" w:cs="Arial"/>
        </w:rPr>
      </w:pPr>
      <w:r>
        <w:rPr>
          <w:rFonts w:ascii="Arial" w:hAnsi="Arial" w:cs="Arial"/>
          <w:b/>
          <w:u w:val="single"/>
        </w:rPr>
        <w:lastRenderedPageBreak/>
        <w:t xml:space="preserve">Supplemental </w:t>
      </w:r>
      <w:r w:rsidRPr="00AF29B2">
        <w:rPr>
          <w:rFonts w:ascii="Arial" w:hAnsi="Arial" w:cs="Arial"/>
          <w:b/>
          <w:u w:val="single"/>
        </w:rPr>
        <w:t xml:space="preserve">Figure </w:t>
      </w:r>
      <w:r>
        <w:rPr>
          <w:rFonts w:ascii="Arial" w:hAnsi="Arial" w:cs="Arial"/>
          <w:b/>
          <w:u w:val="single"/>
        </w:rPr>
        <w:t>S5. Technical Replicate Correlation and Beta Range</w:t>
      </w:r>
      <w:r w:rsidRPr="00AF29B2">
        <w:rPr>
          <w:rFonts w:ascii="Arial" w:hAnsi="Arial" w:cs="Arial"/>
          <w:b/>
          <w:u w:val="single"/>
        </w:rPr>
        <w:t>.</w:t>
      </w:r>
      <w:r>
        <w:rPr>
          <w:rFonts w:ascii="Arial" w:hAnsi="Arial" w:cs="Arial"/>
        </w:rPr>
        <w:t xml:space="preserve">  Probe correlation coefficients from the technical replicates within the 450K (Eq-2) is plotted against the methylation Beta range.   </w:t>
      </w:r>
    </w:p>
    <w:p w14:paraId="21FB290F" w14:textId="0E0F339A" w:rsidR="006D3928" w:rsidRDefault="006D3928" w:rsidP="006D3928">
      <w:pPr>
        <w:rPr>
          <w:rFonts w:ascii="Arial" w:hAnsi="Arial" w:cs="Arial"/>
        </w:rPr>
      </w:pPr>
      <w:r>
        <w:rPr>
          <w:rFonts w:ascii="Arial" w:hAnsi="Arial" w:cs="Arial"/>
          <w:noProof/>
        </w:rPr>
        <w:drawing>
          <wp:inline distT="0" distB="0" distL="0" distR="0" wp14:anchorId="5B13847B" wp14:editId="3C78BB87">
            <wp:extent cx="5943600" cy="4244975"/>
            <wp:effectExtent l="0" t="0" r="0" b="3175"/>
            <wp:docPr id="2" name="Picture 2" descr="C:\Users\vanderll\AppData\Local\Microsoft\Windows\INetCache\Content.MSO\CE6522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ll\AppData\Local\Microsoft\Windows\INetCache\Content.MSO\CE6522A7.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44975"/>
                    </a:xfrm>
                    <a:prstGeom prst="rect">
                      <a:avLst/>
                    </a:prstGeom>
                    <a:noFill/>
                    <a:ln>
                      <a:noFill/>
                    </a:ln>
                  </pic:spPr>
                </pic:pic>
              </a:graphicData>
            </a:graphic>
          </wp:inline>
        </w:drawing>
      </w:r>
    </w:p>
    <w:p w14:paraId="783B49B3" w14:textId="77777777" w:rsidR="006D3928" w:rsidRDefault="006D3928">
      <w:pPr>
        <w:rPr>
          <w:rFonts w:ascii="Arial" w:hAnsi="Arial" w:cs="Arial"/>
        </w:rPr>
      </w:pPr>
      <w:r>
        <w:rPr>
          <w:rFonts w:ascii="Arial" w:hAnsi="Arial" w:cs="Arial"/>
        </w:rPr>
        <w:br w:type="page"/>
      </w:r>
    </w:p>
    <w:p w14:paraId="157E3285" w14:textId="77777777" w:rsidR="006D3928" w:rsidRDefault="006D3928" w:rsidP="006D3928">
      <w:pPr>
        <w:rPr>
          <w:rFonts w:ascii="Arial" w:hAnsi="Arial" w:cs="Arial"/>
        </w:rPr>
      </w:pPr>
      <w:r>
        <w:rPr>
          <w:rFonts w:ascii="Arial" w:hAnsi="Arial" w:cs="Arial"/>
          <w:b/>
          <w:u w:val="single"/>
        </w:rPr>
        <w:lastRenderedPageBreak/>
        <w:t xml:space="preserve">Supplemental </w:t>
      </w:r>
      <w:r w:rsidRPr="00AF29B2">
        <w:rPr>
          <w:rFonts w:ascii="Arial" w:hAnsi="Arial" w:cs="Arial"/>
          <w:b/>
          <w:u w:val="single"/>
        </w:rPr>
        <w:t xml:space="preserve">Figure </w:t>
      </w:r>
      <w:r>
        <w:rPr>
          <w:rFonts w:ascii="Arial" w:hAnsi="Arial" w:cs="Arial"/>
          <w:b/>
          <w:u w:val="single"/>
        </w:rPr>
        <w:t>S6. Genomic inflation factor across different datasets</w:t>
      </w:r>
      <w:r w:rsidRPr="00AF29B2">
        <w:rPr>
          <w:rFonts w:ascii="Arial" w:hAnsi="Arial" w:cs="Arial"/>
          <w:b/>
          <w:u w:val="single"/>
        </w:rPr>
        <w:t>.</w:t>
      </w:r>
      <w:r>
        <w:rPr>
          <w:rFonts w:ascii="Arial" w:hAnsi="Arial" w:cs="Arial"/>
        </w:rPr>
        <w:t xml:space="preserve">  The </w:t>
      </w:r>
      <w:proofErr w:type="spellStart"/>
      <w:r>
        <w:rPr>
          <w:rFonts w:ascii="Arial" w:hAnsi="Arial" w:cs="Arial"/>
        </w:rPr>
        <w:t>qq</w:t>
      </w:r>
      <w:proofErr w:type="spellEnd"/>
      <w:r>
        <w:rPr>
          <w:rFonts w:ascii="Arial" w:hAnsi="Arial" w:cs="Arial"/>
        </w:rPr>
        <w:t xml:space="preserve">-plots for the different datasets are shown for A. SWAN normalized 450K (lambda = 3.02), B. SWAN normalized EPIC (lambda = 0.83)., C. </w:t>
      </w:r>
      <w:proofErr w:type="spellStart"/>
      <w:r>
        <w:rPr>
          <w:rFonts w:ascii="Arial" w:hAnsi="Arial" w:cs="Arial"/>
        </w:rPr>
        <w:t>SeSAMe</w:t>
      </w:r>
      <w:proofErr w:type="spellEnd"/>
      <w:r>
        <w:rPr>
          <w:rFonts w:ascii="Arial" w:hAnsi="Arial" w:cs="Arial"/>
        </w:rPr>
        <w:t xml:space="preserve"> 450K (lambda = 0.93) and D. </w:t>
      </w:r>
      <w:proofErr w:type="spellStart"/>
      <w:r>
        <w:rPr>
          <w:rFonts w:ascii="Arial" w:hAnsi="Arial" w:cs="Arial"/>
        </w:rPr>
        <w:t>SeSAMe</w:t>
      </w:r>
      <w:proofErr w:type="spellEnd"/>
      <w:r>
        <w:rPr>
          <w:rFonts w:ascii="Arial" w:hAnsi="Arial" w:cs="Arial"/>
        </w:rPr>
        <w:t xml:space="preserve"> EPIC (lambda = 0.98).  The blue dots are the observed p-values, while the black line shows the expected distribution these p-values should follow.      </w:t>
      </w:r>
    </w:p>
    <w:p w14:paraId="33C7AB9B" w14:textId="633690FF" w:rsidR="006D3928" w:rsidRDefault="006D3928" w:rsidP="006D3928">
      <w:pPr>
        <w:rPr>
          <w:rFonts w:ascii="Arial" w:hAnsi="Arial" w:cs="Arial"/>
        </w:rPr>
      </w:pPr>
      <w:r>
        <w:rPr>
          <w:rFonts w:ascii="Arial" w:hAnsi="Arial" w:cs="Arial"/>
          <w:noProof/>
        </w:rPr>
        <w:drawing>
          <wp:inline distT="0" distB="0" distL="0" distR="0" wp14:anchorId="745EF43A" wp14:editId="79CC4E14">
            <wp:extent cx="5182235" cy="44323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2235" cy="4432300"/>
                    </a:xfrm>
                    <a:prstGeom prst="rect">
                      <a:avLst/>
                    </a:prstGeom>
                    <a:noFill/>
                  </pic:spPr>
                </pic:pic>
              </a:graphicData>
            </a:graphic>
          </wp:inline>
        </w:drawing>
      </w:r>
    </w:p>
    <w:p w14:paraId="3F6564AC" w14:textId="5B5844F6" w:rsidR="006D3928" w:rsidRDefault="006D3928">
      <w:pPr>
        <w:rPr>
          <w:rFonts w:ascii="Arial" w:hAnsi="Arial" w:cs="Arial"/>
        </w:rPr>
      </w:pPr>
      <w:r>
        <w:rPr>
          <w:rFonts w:ascii="Arial" w:hAnsi="Arial" w:cs="Arial"/>
        </w:rPr>
        <w:br w:type="page"/>
      </w:r>
    </w:p>
    <w:p w14:paraId="7F089CCE" w14:textId="77777777" w:rsidR="006D3928" w:rsidRDefault="006D3928" w:rsidP="006D3928">
      <w:pPr>
        <w:rPr>
          <w:rFonts w:ascii="Arial" w:hAnsi="Arial" w:cs="Arial"/>
        </w:rPr>
      </w:pPr>
      <w:r>
        <w:rPr>
          <w:rFonts w:ascii="Arial" w:hAnsi="Arial" w:cs="Arial"/>
          <w:b/>
          <w:u w:val="single"/>
        </w:rPr>
        <w:lastRenderedPageBreak/>
        <w:t xml:space="preserve">Supplemental </w:t>
      </w:r>
      <w:r w:rsidRPr="00AF29B2">
        <w:rPr>
          <w:rFonts w:ascii="Arial" w:hAnsi="Arial" w:cs="Arial"/>
          <w:b/>
          <w:u w:val="single"/>
        </w:rPr>
        <w:t xml:space="preserve">Figure </w:t>
      </w:r>
      <w:r>
        <w:rPr>
          <w:rFonts w:ascii="Arial" w:hAnsi="Arial" w:cs="Arial"/>
          <w:b/>
          <w:u w:val="single"/>
        </w:rPr>
        <w:t>S7. Final meta-analysis pipeline</w:t>
      </w:r>
      <w:r w:rsidRPr="00AF29B2">
        <w:rPr>
          <w:rFonts w:ascii="Arial" w:hAnsi="Arial" w:cs="Arial"/>
          <w:b/>
          <w:u w:val="single"/>
        </w:rPr>
        <w:t>.</w:t>
      </w:r>
      <w:r>
        <w:rPr>
          <w:rFonts w:ascii="Arial" w:hAnsi="Arial" w:cs="Arial"/>
        </w:rPr>
        <w:t xml:space="preserve">  The final recommendations for a meta-analysis using the two Illumina methylation platforms.  The blue box represents the raw data, the orange boxes represent each processing step, the gray boxes report how many probes are filtered out in each step and the green boxes are the final methylation candidates.     </w:t>
      </w:r>
    </w:p>
    <w:p w14:paraId="645A80B5" w14:textId="5A94BC7E" w:rsidR="006D3928" w:rsidRDefault="006D3928" w:rsidP="006D3928">
      <w:pPr>
        <w:rPr>
          <w:rFonts w:ascii="Arial" w:hAnsi="Arial" w:cs="Arial"/>
        </w:rPr>
      </w:pPr>
      <w:r>
        <w:rPr>
          <w:rFonts w:ascii="Arial" w:hAnsi="Arial" w:cs="Arial"/>
          <w:noProof/>
        </w:rPr>
        <w:drawing>
          <wp:inline distT="0" distB="0" distL="0" distR="0" wp14:anchorId="17100478" wp14:editId="4B375B86">
            <wp:extent cx="5943600" cy="526113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261136"/>
                    </a:xfrm>
                    <a:prstGeom prst="rect">
                      <a:avLst/>
                    </a:prstGeom>
                    <a:noFill/>
                  </pic:spPr>
                </pic:pic>
              </a:graphicData>
            </a:graphic>
          </wp:inline>
        </w:drawing>
      </w:r>
    </w:p>
    <w:p w14:paraId="41E4B846" w14:textId="77777777" w:rsidR="006D3928" w:rsidRPr="00E20B0D" w:rsidRDefault="006D3928">
      <w:pPr>
        <w:rPr>
          <w:rFonts w:ascii="Arial" w:hAnsi="Arial" w:cs="Arial"/>
        </w:rPr>
      </w:pPr>
    </w:p>
    <w:sectPr w:rsidR="006D3928" w:rsidRPr="00E20B0D">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328E7" w16cex:dateUtc="2020-09-09T16: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EAEFB" w14:textId="77777777" w:rsidR="00253487" w:rsidRDefault="00253487" w:rsidP="00777E94">
      <w:pPr>
        <w:spacing w:after="0" w:line="240" w:lineRule="auto"/>
      </w:pPr>
      <w:r>
        <w:separator/>
      </w:r>
    </w:p>
  </w:endnote>
  <w:endnote w:type="continuationSeparator" w:id="0">
    <w:p w14:paraId="1E616778" w14:textId="77777777" w:rsidR="00253487" w:rsidRDefault="00253487" w:rsidP="0077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9F80B" w14:textId="77777777" w:rsidR="00253487" w:rsidRDefault="00253487" w:rsidP="00777E94">
      <w:pPr>
        <w:spacing w:after="0" w:line="240" w:lineRule="auto"/>
      </w:pPr>
      <w:r>
        <w:separator/>
      </w:r>
    </w:p>
  </w:footnote>
  <w:footnote w:type="continuationSeparator" w:id="0">
    <w:p w14:paraId="21596239" w14:textId="77777777" w:rsidR="00253487" w:rsidRDefault="00253487" w:rsidP="00777E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150"/>
    <w:rsid w:val="00033E8D"/>
    <w:rsid w:val="0003708E"/>
    <w:rsid w:val="00101398"/>
    <w:rsid w:val="001504B1"/>
    <w:rsid w:val="001C10FF"/>
    <w:rsid w:val="001E72A3"/>
    <w:rsid w:val="00253487"/>
    <w:rsid w:val="003F1BD1"/>
    <w:rsid w:val="00407279"/>
    <w:rsid w:val="004278FD"/>
    <w:rsid w:val="0052294F"/>
    <w:rsid w:val="00524166"/>
    <w:rsid w:val="0059588A"/>
    <w:rsid w:val="00620A7A"/>
    <w:rsid w:val="00621EA5"/>
    <w:rsid w:val="00692612"/>
    <w:rsid w:val="00693B77"/>
    <w:rsid w:val="006D3928"/>
    <w:rsid w:val="006D62A6"/>
    <w:rsid w:val="00777E94"/>
    <w:rsid w:val="00865307"/>
    <w:rsid w:val="00915B37"/>
    <w:rsid w:val="0097161D"/>
    <w:rsid w:val="009B524F"/>
    <w:rsid w:val="009C094B"/>
    <w:rsid w:val="009C32C2"/>
    <w:rsid w:val="00A237B7"/>
    <w:rsid w:val="00AE41A7"/>
    <w:rsid w:val="00AF4320"/>
    <w:rsid w:val="00B13E79"/>
    <w:rsid w:val="00B25164"/>
    <w:rsid w:val="00B61150"/>
    <w:rsid w:val="00B7648F"/>
    <w:rsid w:val="00B93A87"/>
    <w:rsid w:val="00C41940"/>
    <w:rsid w:val="00CB28E8"/>
    <w:rsid w:val="00CB7DF5"/>
    <w:rsid w:val="00CC1AA7"/>
    <w:rsid w:val="00D03CC2"/>
    <w:rsid w:val="00E15FBC"/>
    <w:rsid w:val="00E166C1"/>
    <w:rsid w:val="00E20B0D"/>
    <w:rsid w:val="00E54377"/>
    <w:rsid w:val="00F75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BC43"/>
  <w15:chartTrackingRefBased/>
  <w15:docId w15:val="{8305EFFB-C520-4B27-BD86-252FE59C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1150"/>
    <w:rPr>
      <w:sz w:val="16"/>
      <w:szCs w:val="16"/>
    </w:rPr>
  </w:style>
  <w:style w:type="paragraph" w:styleId="CommentText">
    <w:name w:val="annotation text"/>
    <w:basedOn w:val="Normal"/>
    <w:link w:val="CommentTextChar"/>
    <w:uiPriority w:val="99"/>
    <w:semiHidden/>
    <w:unhideWhenUsed/>
    <w:rsid w:val="00B61150"/>
    <w:pPr>
      <w:spacing w:line="240" w:lineRule="auto"/>
    </w:pPr>
    <w:rPr>
      <w:sz w:val="20"/>
      <w:szCs w:val="20"/>
    </w:rPr>
  </w:style>
  <w:style w:type="character" w:customStyle="1" w:styleId="CommentTextChar">
    <w:name w:val="Comment Text Char"/>
    <w:basedOn w:val="DefaultParagraphFont"/>
    <w:link w:val="CommentText"/>
    <w:uiPriority w:val="99"/>
    <w:semiHidden/>
    <w:rsid w:val="00B61150"/>
    <w:rPr>
      <w:sz w:val="20"/>
      <w:szCs w:val="20"/>
    </w:rPr>
  </w:style>
  <w:style w:type="paragraph" w:styleId="CommentSubject">
    <w:name w:val="annotation subject"/>
    <w:basedOn w:val="CommentText"/>
    <w:next w:val="CommentText"/>
    <w:link w:val="CommentSubjectChar"/>
    <w:uiPriority w:val="99"/>
    <w:semiHidden/>
    <w:unhideWhenUsed/>
    <w:rsid w:val="00B61150"/>
    <w:rPr>
      <w:b/>
      <w:bCs/>
    </w:rPr>
  </w:style>
  <w:style w:type="character" w:customStyle="1" w:styleId="CommentSubjectChar">
    <w:name w:val="Comment Subject Char"/>
    <w:basedOn w:val="CommentTextChar"/>
    <w:link w:val="CommentSubject"/>
    <w:uiPriority w:val="99"/>
    <w:semiHidden/>
    <w:rsid w:val="00B61150"/>
    <w:rPr>
      <w:b/>
      <w:bCs/>
      <w:sz w:val="20"/>
      <w:szCs w:val="20"/>
    </w:rPr>
  </w:style>
  <w:style w:type="paragraph" w:styleId="BalloonText">
    <w:name w:val="Balloon Text"/>
    <w:basedOn w:val="Normal"/>
    <w:link w:val="BalloonTextChar"/>
    <w:uiPriority w:val="99"/>
    <w:semiHidden/>
    <w:unhideWhenUsed/>
    <w:rsid w:val="00B61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150"/>
    <w:rPr>
      <w:rFonts w:ascii="Segoe UI" w:hAnsi="Segoe UI" w:cs="Segoe UI"/>
      <w:sz w:val="18"/>
      <w:szCs w:val="18"/>
    </w:rPr>
  </w:style>
  <w:style w:type="paragraph" w:styleId="Header">
    <w:name w:val="header"/>
    <w:basedOn w:val="Normal"/>
    <w:link w:val="HeaderChar"/>
    <w:uiPriority w:val="99"/>
    <w:unhideWhenUsed/>
    <w:rsid w:val="00777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E94"/>
  </w:style>
  <w:style w:type="paragraph" w:styleId="Footer">
    <w:name w:val="footer"/>
    <w:basedOn w:val="Normal"/>
    <w:link w:val="FooterChar"/>
    <w:uiPriority w:val="99"/>
    <w:unhideWhenUsed/>
    <w:rsid w:val="00777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E94"/>
  </w:style>
  <w:style w:type="paragraph" w:styleId="NormalWeb">
    <w:name w:val="Normal (Web)"/>
    <w:basedOn w:val="Normal"/>
    <w:uiPriority w:val="99"/>
    <w:semiHidden/>
    <w:unhideWhenUsed/>
    <w:rsid w:val="00777E94"/>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18723">
      <w:bodyDiv w:val="1"/>
      <w:marLeft w:val="0"/>
      <w:marRight w:val="0"/>
      <w:marTop w:val="0"/>
      <w:marBottom w:val="0"/>
      <w:divBdr>
        <w:top w:val="none" w:sz="0" w:space="0" w:color="auto"/>
        <w:left w:val="none" w:sz="0" w:space="0" w:color="auto"/>
        <w:bottom w:val="none" w:sz="0" w:space="0" w:color="auto"/>
        <w:right w:val="none" w:sz="0" w:space="0" w:color="auto"/>
      </w:divBdr>
    </w:div>
    <w:div w:id="518010368">
      <w:bodyDiv w:val="1"/>
      <w:marLeft w:val="0"/>
      <w:marRight w:val="0"/>
      <w:marTop w:val="0"/>
      <w:marBottom w:val="0"/>
      <w:divBdr>
        <w:top w:val="none" w:sz="0" w:space="0" w:color="auto"/>
        <w:left w:val="none" w:sz="0" w:space="0" w:color="auto"/>
        <w:bottom w:val="none" w:sz="0" w:space="0" w:color="auto"/>
        <w:right w:val="none" w:sz="0" w:space="0" w:color="auto"/>
      </w:divBdr>
    </w:div>
    <w:div w:id="1393112401">
      <w:bodyDiv w:val="1"/>
      <w:marLeft w:val="0"/>
      <w:marRight w:val="0"/>
      <w:marTop w:val="0"/>
      <w:marBottom w:val="0"/>
      <w:divBdr>
        <w:top w:val="none" w:sz="0" w:space="0" w:color="auto"/>
        <w:left w:val="none" w:sz="0" w:space="0" w:color="auto"/>
        <w:bottom w:val="none" w:sz="0" w:space="0" w:color="auto"/>
        <w:right w:val="none" w:sz="0" w:space="0" w:color="auto"/>
      </w:divBdr>
    </w:div>
    <w:div w:id="1737824137">
      <w:bodyDiv w:val="1"/>
      <w:marLeft w:val="0"/>
      <w:marRight w:val="0"/>
      <w:marTop w:val="0"/>
      <w:marBottom w:val="0"/>
      <w:divBdr>
        <w:top w:val="none" w:sz="0" w:space="0" w:color="auto"/>
        <w:left w:val="none" w:sz="0" w:space="0" w:color="auto"/>
        <w:bottom w:val="none" w:sz="0" w:space="0" w:color="auto"/>
        <w:right w:val="none" w:sz="0" w:space="0" w:color="auto"/>
      </w:divBdr>
    </w:div>
    <w:div w:id="1742632439">
      <w:bodyDiv w:val="1"/>
      <w:marLeft w:val="0"/>
      <w:marRight w:val="0"/>
      <w:marTop w:val="0"/>
      <w:marBottom w:val="0"/>
      <w:divBdr>
        <w:top w:val="none" w:sz="0" w:space="0" w:color="auto"/>
        <w:left w:val="none" w:sz="0" w:space="0" w:color="auto"/>
        <w:bottom w:val="none" w:sz="0" w:space="0" w:color="auto"/>
        <w:right w:val="none" w:sz="0" w:space="0" w:color="auto"/>
      </w:divBdr>
    </w:div>
    <w:div w:id="204355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2ECA1-456C-40E1-A522-0773DEBF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3711</Words>
  <Characters>21158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Vanderlinden, Lauren</dc:creator>
  <cp:keywords/>
  <dc:description/>
  <cp:lastModifiedBy>Vanderlinden, Lauren</cp:lastModifiedBy>
  <cp:revision>3</cp:revision>
  <dcterms:created xsi:type="dcterms:W3CDTF">2021-08-12T14:50:00Z</dcterms:created>
  <dcterms:modified xsi:type="dcterms:W3CDTF">2021-08-12T14:50:00Z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id="MwOfKdmh"/&gt;&lt;style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