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1943E" w14:textId="77777777" w:rsidR="001A1DF2" w:rsidRPr="00D877E5" w:rsidRDefault="001A1DF2" w:rsidP="001A1DF2">
      <w:pPr>
        <w:jc w:val="cente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Supplement</w:t>
      </w:r>
    </w:p>
    <w:p w14:paraId="7DF0D960" w14:textId="77777777" w:rsidR="001A1DF2" w:rsidRPr="00D877E5" w:rsidRDefault="001A1DF2"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Both genome-wide association studies (GWASs) used the UK Biobank (UKB), and had adjusted for the UKB genotyping chip. Following general advice, we additionally created a secondary GWAS of paternal smoking from the same GWASs, but without adjusting for genotyping chip. The chip adjusted GWAS had a genomic control inflation factor (</w:t>
      </w:r>
      <w:proofErr w:type="spellStart"/>
      <w:r w:rsidRPr="00D877E5">
        <w:rPr>
          <w:rFonts w:ascii="Times New Roman" w:hAnsi="Times New Roman" w:cs="Times New Roman"/>
          <w:color w:val="000000" w:themeColor="text1"/>
          <w:sz w:val="32"/>
          <w:szCs w:val="32"/>
        </w:rPr>
        <w:t>λ</w:t>
      </w:r>
      <w:r w:rsidRPr="00D877E5">
        <w:rPr>
          <w:rFonts w:ascii="Times New Roman" w:hAnsi="Times New Roman" w:cs="Times New Roman"/>
          <w:color w:val="000000" w:themeColor="text1"/>
          <w:sz w:val="32"/>
          <w:szCs w:val="32"/>
          <w:vertAlign w:val="subscript"/>
        </w:rPr>
        <w:t>GC</w:t>
      </w:r>
      <w:proofErr w:type="spellEnd"/>
      <w:r w:rsidRPr="00D877E5">
        <w:rPr>
          <w:rFonts w:ascii="Times New Roman" w:hAnsi="Times New Roman" w:cs="Times New Roman"/>
          <w:color w:val="000000" w:themeColor="text1"/>
          <w:sz w:val="32"/>
          <w:szCs w:val="32"/>
        </w:rPr>
        <w:t>) of 1.091 (standard error, SE = 0.027), while the non-chip adjusted GWAS had an inflation factor of 1.066 (SE = 0.024). Supplementary</w:t>
      </w:r>
      <w:r w:rsidRPr="00D877E5">
        <w:rPr>
          <w:rFonts w:ascii="Times New Roman" w:hAnsi="Times New Roman" w:cs="Times New Roman"/>
          <w:b/>
          <w:bCs/>
          <w:color w:val="000000" w:themeColor="text1"/>
          <w:sz w:val="32"/>
          <w:szCs w:val="32"/>
        </w:rPr>
        <w:t xml:space="preserve"> </w:t>
      </w:r>
      <w:r w:rsidRPr="00D877E5">
        <w:rPr>
          <w:rFonts w:ascii="Times New Roman" w:hAnsi="Times New Roman" w:cs="Times New Roman"/>
          <w:color w:val="000000" w:themeColor="text1"/>
          <w:sz w:val="32"/>
          <w:szCs w:val="32"/>
        </w:rPr>
        <w:t xml:space="preserve">Figure S1 presents the Manhattan and QQ plots for the two GWASs. The latter implies slightly greater inflation in the non-chip adjusted GWAS. </w:t>
      </w:r>
    </w:p>
    <w:p w14:paraId="1BD02353" w14:textId="34E56F2F" w:rsidR="001A1DF2" w:rsidRPr="00D877E5" w:rsidRDefault="001A1DF2"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In the applied validation, our paternal GWAS had relatively strong instruments (mean F = 24 from 26 and 31 single-nucleotide polymorphisms for the chip adjusted GWAS and no chip adjustment GWAS respectively). As expected, we found positive associations between each standard deviation (SD) of genetically proxied paternal smoking and the log odds of paternal lung cancer (risk difference per SD increase in smoking = 0.754 (SE = 0.362, p = 0.034) for the chip adjusted analysis and 0.348 (0.204, p = 0.088) for the no chip adjustment analysis) and emphysema/bronchitis (risk difference per SD increase in genetically paternal smoking = 1.014 (se = 0.285, p &lt; 0.001) for the chip adjusted analysis and 0.062 (se = 0.020, p &lt; 0.002) for the no chip adjustment analysi</w:t>
      </w:r>
      <w:bookmarkStart w:id="0" w:name="_GoBack"/>
      <w:bookmarkEnd w:id="0"/>
      <w:r w:rsidRPr="00D877E5">
        <w:rPr>
          <w:rFonts w:ascii="Times New Roman" w:hAnsi="Times New Roman" w:cs="Times New Roman"/>
          <w:color w:val="000000" w:themeColor="text1"/>
          <w:sz w:val="32"/>
          <w:szCs w:val="32"/>
        </w:rPr>
        <w:t xml:space="preserve">s). Since the non-chip adjusted estimates are greatly deflated, this represent the effect of confounding by genotype chip inflating the variant-exposure association more than the variant-outcome association </w:t>
      </w:r>
      <w:r w:rsidRPr="00D877E5">
        <w:rPr>
          <w:rFonts w:ascii="Times New Roman" w:hAnsi="Times New Roman" w:cs="Times New Roman"/>
          <w:color w:val="000000" w:themeColor="text1"/>
          <w:sz w:val="32"/>
          <w:szCs w:val="32"/>
        </w:rPr>
        <w:fldChar w:fldCharType="begin"/>
      </w:r>
      <w:r w:rsidR="00E9221B" w:rsidRPr="00D877E5">
        <w:rPr>
          <w:rFonts w:ascii="Times New Roman" w:hAnsi="Times New Roman" w:cs="Times New Roman"/>
          <w:color w:val="000000" w:themeColor="text1"/>
          <w:sz w:val="32"/>
          <w:szCs w:val="32"/>
        </w:rPr>
        <w:instrText xml:space="preserve"> ADDIN ZOTERO_ITEM CSL_CITATION {"citationID":"Q0e3FRJR","properties":{"formattedCitation":"(1,2)","plainCitation":"(1,2)","noteIndex":0},"citationItems":[{"id":21542,"uris":["http://zotero.org/users/1533700/items/PVM23JFR"],"itemData":{"id":21542,"type":"article","DOI":"DOI: 10.5523/bris.3074krb6t2frj29yh2b03x3wxj","language":"en","title":"UK Biobank Genetic Data: MRC-IEU Quality Control, version 2","title-short":"UK Biobank Genetic Data","URL":"https://research-information.bris.ac.uk/en/datasets/uk-biobank-genetic-data-mrc-ieu-quality-control-version-2","author":[{"family":"Mitchell","given":"Ruth"},{"family":"Hemani","given":"Gibran"},{"family":"Dudding","given":"Tom"},{"family":"Corbin","given":"Laura"},{"family":"Harrison","given":"Sean"},{"family":"Paternoster","given":"Lavinia"}],"accessed":{"date-parts":[["2022",6,22]]}}},{"id":21824,"uris":["http://zotero.org/users/1533700/items/K72M64I5"],"itemData":{"id":21824,"type":"article","abstract":"Objective: To explore the use of multivariable instrumental variables to resolve the \"dammed if you do, dammed if you don't\" adjustment problem created for Mendelian randomisation (MR) analysis using the smoking or lung function related phenotypes in the UK Biobank (UKB). Result: \"dammed if you do, dammed if you don't\" adjustment problems occur when both adjusting and not-adjusting for a variable will induce bias in an analysis. One instance of this occurs because the genotyping chip of UKB participants differed based on lung function/smoking status. In simulations, we show that multivariable instrumental variables analyses can attenuate potential collider bias introduced by adjusting for a proposed covariate, such as the UKB genotyping chip. We then explore the effect of adjusting for genotyping chip in a multivariable MR model exploring the effect of smoking on seven medical outcomes (lung cancer, emphysema, hypertension, stroke, heart diseases, depression, and disabilities). We additionally compare our results to a traditional univariate MR analysis using genome-wide analyses summary statistics which had and had not adjusted for genotyping chip. This analysis implies that the difference in genotyping chip has introduced only a small amount of bias.","DOI":"10.1101/2022.10.25.22281084","language":"en","license":"© 2022, Posted by Cold Spring Harbor Laboratory. This pre-print is available under a Creative Commons License (Attribution 4.0 International), CC BY 4.0, as described at http://creativecommons.org/licenses/by/4.0/","note":"page: 2022.10.25.22281084","publisher":"medRxiv","source":"medRxiv","title":"The UK BiLEVE and Mendelian randomisation: Using multivariable instrumental variables to address \"damned if you, dammed if you don't\" adjustment problems.","title-short":"The UK BiLEVE and Mendelian randomisation","URL":"https://www.medrxiv.org/content/10.1101/2022.10.25.22281084v1","author":[{"family":"Woolf","given":"Benjamin"},{"family":"Gill","given":"Dipender"},{"family":"Sallis","given":"Hannah"},{"family":"Munafo","given":"Marcus"}],"accessed":{"date-parts":[["2022",10,28]]},"issued":{"date-parts":[["2022",10,27]]}}}],"schema":"https://github.com/citation-style-language/schema/raw/master/csl-citation.json"} </w:instrText>
      </w:r>
      <w:r w:rsidRPr="00D877E5">
        <w:rPr>
          <w:rFonts w:ascii="Times New Roman" w:hAnsi="Times New Roman" w:cs="Times New Roman"/>
          <w:color w:val="000000" w:themeColor="text1"/>
          <w:sz w:val="32"/>
          <w:szCs w:val="32"/>
        </w:rPr>
        <w:fldChar w:fldCharType="separate"/>
      </w:r>
      <w:r w:rsidR="00E9221B" w:rsidRPr="00D877E5">
        <w:rPr>
          <w:rFonts w:ascii="Times New Roman" w:hAnsi="Times New Roman" w:cs="Times New Roman"/>
          <w:color w:val="000000" w:themeColor="text1"/>
          <w:sz w:val="32"/>
          <w:szCs w:val="32"/>
        </w:rPr>
        <w:t>(1,2)</w:t>
      </w:r>
      <w:r w:rsidRPr="00D877E5">
        <w:rPr>
          <w:rFonts w:ascii="Times New Roman" w:hAnsi="Times New Roman" w:cs="Times New Roman"/>
          <w:color w:val="000000" w:themeColor="text1"/>
          <w:sz w:val="32"/>
          <w:szCs w:val="32"/>
        </w:rPr>
        <w:fldChar w:fldCharType="end"/>
      </w:r>
      <w:r w:rsidRPr="00D877E5">
        <w:rPr>
          <w:rFonts w:ascii="Times New Roman" w:hAnsi="Times New Roman" w:cs="Times New Roman"/>
          <w:color w:val="000000" w:themeColor="text1"/>
          <w:sz w:val="32"/>
          <w:szCs w:val="32"/>
        </w:rPr>
        <w:t>.</w:t>
      </w:r>
    </w:p>
    <w:p w14:paraId="1AE7ECEA" w14:textId="77777777" w:rsidR="001A1DF2" w:rsidRPr="00D877E5" w:rsidRDefault="001A1DF2"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 xml:space="preserve">This applied validation implies that caution is required when applying the non-chip adjusted GWAS summary statistics which we created here. It is suggested that UKB GWAS adjust for genotyping chip in case there is a confounding effect due to the differential sampling of people for the UK Believe study based on their lung function. Our interpretation of the inflation of the MR estimates in the no-chip analysis is that our paternal GWAS is confounded by genotyping chip when this is not adjusted for. </w:t>
      </w:r>
    </w:p>
    <w:p w14:paraId="3D9D3DED" w14:textId="77777777" w:rsidR="00E9221B" w:rsidRPr="00D877E5" w:rsidRDefault="00E9221B" w:rsidP="001A1DF2">
      <w:pPr>
        <w:rPr>
          <w:rFonts w:ascii="Times New Roman" w:hAnsi="Times New Roman" w:cs="Times New Roman"/>
          <w:color w:val="000000" w:themeColor="text1"/>
          <w:sz w:val="32"/>
          <w:szCs w:val="32"/>
        </w:rPr>
      </w:pPr>
    </w:p>
    <w:p w14:paraId="2F0739C6" w14:textId="1359CBCB" w:rsidR="00E9221B" w:rsidRPr="00D877E5" w:rsidRDefault="00E9221B"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Refences</w:t>
      </w:r>
    </w:p>
    <w:p w14:paraId="5D83BC6A" w14:textId="77777777" w:rsidR="00E9221B" w:rsidRPr="00D877E5" w:rsidRDefault="00E9221B" w:rsidP="00E9221B">
      <w:pPr>
        <w:pStyle w:val="Bibliography"/>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fldChar w:fldCharType="begin"/>
      </w:r>
      <w:r w:rsidRPr="00D877E5">
        <w:rPr>
          <w:rFonts w:ascii="Times New Roman" w:hAnsi="Times New Roman" w:cs="Times New Roman"/>
          <w:color w:val="000000" w:themeColor="text1"/>
          <w:sz w:val="32"/>
          <w:szCs w:val="32"/>
        </w:rPr>
        <w:instrText xml:space="preserve"> ADDIN ZOTERO_BIBL {"uncited":[],"omitted":[],"custom":[]} CSL_BIBLIOGRAPHY </w:instrText>
      </w:r>
      <w:r w:rsidRPr="00D877E5">
        <w:rPr>
          <w:rFonts w:ascii="Times New Roman" w:hAnsi="Times New Roman" w:cs="Times New Roman"/>
          <w:color w:val="000000" w:themeColor="text1"/>
          <w:sz w:val="32"/>
          <w:szCs w:val="32"/>
        </w:rPr>
        <w:fldChar w:fldCharType="separate"/>
      </w:r>
      <w:r w:rsidRPr="00D877E5">
        <w:rPr>
          <w:rFonts w:ascii="Times New Roman" w:hAnsi="Times New Roman" w:cs="Times New Roman"/>
          <w:color w:val="000000" w:themeColor="text1"/>
          <w:sz w:val="32"/>
          <w:szCs w:val="32"/>
        </w:rPr>
        <w:t>1.</w:t>
      </w:r>
      <w:r w:rsidRPr="00D877E5">
        <w:rPr>
          <w:rFonts w:ascii="Times New Roman" w:hAnsi="Times New Roman" w:cs="Times New Roman"/>
          <w:color w:val="000000" w:themeColor="text1"/>
          <w:sz w:val="32"/>
          <w:szCs w:val="32"/>
        </w:rPr>
        <w:tab/>
        <w:t>Mitchell R, Hemani G, Dudding T, Corbin L, Harrison S, Paternoster L. UK Biobank Genetic Data: MRC-IEU Quality Control, version 2 [Internet]. [</w:t>
      </w:r>
      <w:proofErr w:type="gramStart"/>
      <w:r w:rsidRPr="00D877E5">
        <w:rPr>
          <w:rFonts w:ascii="Times New Roman" w:hAnsi="Times New Roman" w:cs="Times New Roman"/>
          <w:color w:val="000000" w:themeColor="text1"/>
          <w:sz w:val="32"/>
          <w:szCs w:val="32"/>
        </w:rPr>
        <w:t>cited</w:t>
      </w:r>
      <w:proofErr w:type="gramEnd"/>
      <w:r w:rsidRPr="00D877E5">
        <w:rPr>
          <w:rFonts w:ascii="Times New Roman" w:hAnsi="Times New Roman" w:cs="Times New Roman"/>
          <w:color w:val="000000" w:themeColor="text1"/>
          <w:sz w:val="32"/>
          <w:szCs w:val="32"/>
        </w:rPr>
        <w:t xml:space="preserve"> 2022 Jun 22]. Available from: https://research-information.bris.ac.uk/en/datasets/uk-biobank-genetic-data-mrc-ieu-quality-control-version-2</w:t>
      </w:r>
    </w:p>
    <w:p w14:paraId="21E007D3" w14:textId="77777777" w:rsidR="00E9221B" w:rsidRPr="00D877E5" w:rsidRDefault="00E9221B" w:rsidP="00E9221B">
      <w:pPr>
        <w:pStyle w:val="Bibliography"/>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2.</w:t>
      </w:r>
      <w:r w:rsidRPr="00D877E5">
        <w:rPr>
          <w:rFonts w:ascii="Times New Roman" w:hAnsi="Times New Roman" w:cs="Times New Roman"/>
          <w:color w:val="000000" w:themeColor="text1"/>
          <w:sz w:val="32"/>
          <w:szCs w:val="32"/>
        </w:rPr>
        <w:tab/>
        <w:t xml:space="preserve">Woolf B, Gill D, Sallis H, Munafo M. The UK BiLEVE and Mendelian randomisation: Using multivariable instrumental variables to address “damned if you, dammed if you don’t” adjustment problems. [Internet]. </w:t>
      </w:r>
      <w:proofErr w:type="gramStart"/>
      <w:r w:rsidRPr="00D877E5">
        <w:rPr>
          <w:rFonts w:ascii="Times New Roman" w:hAnsi="Times New Roman" w:cs="Times New Roman"/>
          <w:color w:val="000000" w:themeColor="text1"/>
          <w:sz w:val="32"/>
          <w:szCs w:val="32"/>
        </w:rPr>
        <w:t>medRxiv</w:t>
      </w:r>
      <w:proofErr w:type="gramEnd"/>
      <w:r w:rsidRPr="00D877E5">
        <w:rPr>
          <w:rFonts w:ascii="Times New Roman" w:hAnsi="Times New Roman" w:cs="Times New Roman"/>
          <w:color w:val="000000" w:themeColor="text1"/>
          <w:sz w:val="32"/>
          <w:szCs w:val="32"/>
        </w:rPr>
        <w:t>; 2022 [cited 2022 Oct 28]. p. 2022.10.25.22281084. Available from: https://www.medrxiv.org/content/10.1101/2022.10.25.22281084v1</w:t>
      </w:r>
    </w:p>
    <w:p w14:paraId="514BC74B" w14:textId="7C57BBEA" w:rsidR="00E9221B" w:rsidRPr="00D877E5" w:rsidRDefault="00E9221B"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fldChar w:fldCharType="end"/>
      </w:r>
    </w:p>
    <w:p w14:paraId="2025F85B" w14:textId="77777777" w:rsidR="00E9221B" w:rsidRPr="00D877E5" w:rsidRDefault="00E9221B" w:rsidP="001A1DF2">
      <w:pPr>
        <w:rPr>
          <w:rFonts w:ascii="Times New Roman" w:hAnsi="Times New Roman" w:cs="Times New Roman"/>
          <w:color w:val="000000" w:themeColor="text1"/>
          <w:sz w:val="32"/>
          <w:szCs w:val="32"/>
        </w:rPr>
      </w:pPr>
    </w:p>
    <w:p w14:paraId="4E78849B" w14:textId="77777777" w:rsidR="001A1DF2" w:rsidRPr="00D877E5" w:rsidRDefault="001A1DF2" w:rsidP="001A1DF2">
      <w:pPr>
        <w:rPr>
          <w:rFonts w:ascii="Times New Roman" w:hAnsi="Times New Roman" w:cs="Times New Roman"/>
          <w:color w:val="000000" w:themeColor="text1"/>
          <w:sz w:val="32"/>
          <w:szCs w:val="32"/>
        </w:rPr>
      </w:pPr>
    </w:p>
    <w:p w14:paraId="0083FF9C" w14:textId="77777777" w:rsidR="001A1DF2" w:rsidRPr="00D877E5" w:rsidRDefault="001A1DF2" w:rsidP="001A1DF2">
      <w:pPr>
        <w:rPr>
          <w:rFonts w:ascii="Times New Roman" w:hAnsi="Times New Roman" w:cs="Times New Roman"/>
          <w:color w:val="000000" w:themeColor="text1"/>
          <w:sz w:val="32"/>
          <w:szCs w:val="32"/>
        </w:rPr>
      </w:pPr>
    </w:p>
    <w:p w14:paraId="62F1BA38" w14:textId="77777777" w:rsidR="001A1DF2" w:rsidRPr="00D877E5" w:rsidRDefault="001A1DF2" w:rsidP="001A1DF2">
      <w:pPr>
        <w:rPr>
          <w:rFonts w:ascii="Times New Roman" w:hAnsi="Times New Roman" w:cs="Times New Roman"/>
          <w:b/>
          <w:bCs/>
          <w:color w:val="000000" w:themeColor="text1"/>
          <w:sz w:val="32"/>
          <w:szCs w:val="32"/>
        </w:rPr>
      </w:pPr>
    </w:p>
    <w:p w14:paraId="6E81D92C" w14:textId="77777777" w:rsidR="001A1DF2" w:rsidRPr="00D877E5" w:rsidRDefault="001A1DF2" w:rsidP="001A1DF2">
      <w:pPr>
        <w:rPr>
          <w:rFonts w:ascii="Times New Roman" w:hAnsi="Times New Roman" w:cs="Times New Roman"/>
          <w:b/>
          <w:bCs/>
          <w:color w:val="000000" w:themeColor="text1"/>
          <w:sz w:val="32"/>
          <w:szCs w:val="32"/>
        </w:rPr>
        <w:sectPr w:rsidR="001A1DF2" w:rsidRPr="00D877E5" w:rsidSect="00D877E5">
          <w:pgSz w:w="11906" w:h="16838" w:code="9"/>
          <w:pgMar w:top="1440" w:right="1440" w:bottom="1440" w:left="1440" w:header="709" w:footer="709" w:gutter="0"/>
          <w:cols w:space="708"/>
          <w:docGrid w:linePitch="360"/>
        </w:sectPr>
      </w:pPr>
    </w:p>
    <w:p w14:paraId="067568B2" w14:textId="1806D5A5" w:rsidR="001A1DF2" w:rsidRPr="00D877E5" w:rsidRDefault="001A1DF2" w:rsidP="001A1DF2">
      <w:pP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Figure S1: Manhattan and QQ plots for the two paternal smoking GWAS.</w:t>
      </w:r>
    </w:p>
    <w:tbl>
      <w:tblPr>
        <w:tblStyle w:val="TableGrid"/>
        <w:tblW w:w="10140" w:type="dxa"/>
        <w:tblInd w:w="-998" w:type="dxa"/>
        <w:tblLook w:val="04A0" w:firstRow="1" w:lastRow="0" w:firstColumn="1" w:lastColumn="0" w:noHBand="0" w:noVBand="1"/>
      </w:tblPr>
      <w:tblGrid>
        <w:gridCol w:w="498"/>
        <w:gridCol w:w="5136"/>
        <w:gridCol w:w="5256"/>
      </w:tblGrid>
      <w:tr w:rsidR="00D877E5" w:rsidRPr="00D877E5" w14:paraId="58BA98F2" w14:textId="77777777" w:rsidTr="0028124F">
        <w:trPr>
          <w:trHeight w:val="260"/>
        </w:trPr>
        <w:tc>
          <w:tcPr>
            <w:tcW w:w="312" w:type="dxa"/>
          </w:tcPr>
          <w:p w14:paraId="613E23F1" w14:textId="77777777" w:rsidR="001A1DF2" w:rsidRPr="00D877E5" w:rsidRDefault="001A1DF2" w:rsidP="0028124F">
            <w:pPr>
              <w:rPr>
                <w:rFonts w:ascii="Times New Roman" w:hAnsi="Times New Roman" w:cs="Times New Roman"/>
                <w:color w:val="000000" w:themeColor="text1"/>
                <w:sz w:val="32"/>
                <w:szCs w:val="32"/>
              </w:rPr>
            </w:pPr>
          </w:p>
        </w:tc>
        <w:tc>
          <w:tcPr>
            <w:tcW w:w="2534" w:type="dxa"/>
          </w:tcPr>
          <w:p w14:paraId="27F5C5FE" w14:textId="77777777" w:rsidR="001A1DF2" w:rsidRPr="00D877E5" w:rsidRDefault="001A1DF2" w:rsidP="0028124F">
            <w:pPr>
              <w:jc w:val="cente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Chip adjusted</w:t>
            </w:r>
          </w:p>
        </w:tc>
        <w:tc>
          <w:tcPr>
            <w:tcW w:w="7294" w:type="dxa"/>
          </w:tcPr>
          <w:p w14:paraId="1AB97B44" w14:textId="77777777" w:rsidR="001A1DF2" w:rsidRPr="00D877E5" w:rsidRDefault="001A1DF2" w:rsidP="0028124F">
            <w:pPr>
              <w:jc w:val="cente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Non-chip adjusted</w:t>
            </w:r>
          </w:p>
        </w:tc>
      </w:tr>
      <w:tr w:rsidR="00D877E5" w:rsidRPr="00D877E5" w14:paraId="11C493B6" w14:textId="77777777" w:rsidTr="0028124F">
        <w:trPr>
          <w:cantSplit/>
          <w:trHeight w:val="1136"/>
        </w:trPr>
        <w:tc>
          <w:tcPr>
            <w:tcW w:w="312" w:type="dxa"/>
            <w:textDirection w:val="btLr"/>
          </w:tcPr>
          <w:p w14:paraId="098A736E" w14:textId="77777777" w:rsidR="001A1DF2" w:rsidRPr="00D877E5" w:rsidRDefault="001A1DF2" w:rsidP="0028124F">
            <w:pPr>
              <w:ind w:left="113" w:right="113"/>
              <w:jc w:val="cente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Manhattan plot</w:t>
            </w:r>
          </w:p>
        </w:tc>
        <w:tc>
          <w:tcPr>
            <w:tcW w:w="2534" w:type="dxa"/>
          </w:tcPr>
          <w:p w14:paraId="1F7AEB93" w14:textId="77777777" w:rsidR="001A1DF2" w:rsidRPr="00D877E5" w:rsidRDefault="001A1DF2" w:rsidP="0028124F">
            <w:pPr>
              <w:rPr>
                <w:rFonts w:ascii="Times New Roman" w:hAnsi="Times New Roman" w:cs="Times New Roman"/>
                <w:color w:val="000000" w:themeColor="text1"/>
                <w:sz w:val="32"/>
                <w:szCs w:val="32"/>
              </w:rPr>
            </w:pPr>
            <w:r w:rsidRPr="00D877E5">
              <w:rPr>
                <w:rFonts w:ascii="Times New Roman" w:hAnsi="Times New Roman" w:cs="Times New Roman"/>
                <w:noProof/>
                <w:color w:val="000000" w:themeColor="text1"/>
                <w:sz w:val="32"/>
                <w:szCs w:val="32"/>
                <w:lang w:val="en-IN" w:eastAsia="en-IN"/>
              </w:rPr>
              <w:drawing>
                <wp:inline distT="0" distB="0" distL="0" distR="0" wp14:anchorId="32147C6C" wp14:editId="56F60D5B">
                  <wp:extent cx="3124200" cy="2841300"/>
                  <wp:effectExtent l="0" t="0" r="0" b="0"/>
                  <wp:docPr id="4" name="Picture 4" descr="A picture containing text, screenshot, diagram,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creenshot, diagram, sketch&#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t="9055"/>
                          <a:stretch/>
                        </pic:blipFill>
                        <pic:spPr bwMode="auto">
                          <a:xfrm>
                            <a:off x="0" y="0"/>
                            <a:ext cx="3126111" cy="2843038"/>
                          </a:xfrm>
                          <a:prstGeom prst="rect">
                            <a:avLst/>
                          </a:prstGeom>
                          <a:noFill/>
                          <a:ln>
                            <a:noFill/>
                          </a:ln>
                          <a:extLst>
                            <a:ext uri="{53640926-AAD7-44D8-BBD7-CCE9431645EC}">
                              <a14:shadowObscured xmlns:a14="http://schemas.microsoft.com/office/drawing/2010/main"/>
                            </a:ext>
                          </a:extLst>
                        </pic:spPr>
                      </pic:pic>
                    </a:graphicData>
                  </a:graphic>
                </wp:inline>
              </w:drawing>
            </w:r>
          </w:p>
          <w:p w14:paraId="49AC2B1C" w14:textId="77777777" w:rsidR="001A1DF2" w:rsidRPr="00D877E5" w:rsidRDefault="001A1DF2" w:rsidP="0028124F">
            <w:pPr>
              <w:rPr>
                <w:rFonts w:ascii="Times New Roman" w:hAnsi="Times New Roman" w:cs="Times New Roman"/>
                <w:color w:val="000000" w:themeColor="text1"/>
                <w:sz w:val="32"/>
                <w:szCs w:val="32"/>
              </w:rPr>
            </w:pPr>
          </w:p>
        </w:tc>
        <w:tc>
          <w:tcPr>
            <w:tcW w:w="7294" w:type="dxa"/>
          </w:tcPr>
          <w:p w14:paraId="6CFEC0AA" w14:textId="77777777" w:rsidR="001A1DF2" w:rsidRPr="00D877E5" w:rsidRDefault="001A1DF2" w:rsidP="0028124F">
            <w:pPr>
              <w:rPr>
                <w:rFonts w:ascii="Times New Roman" w:hAnsi="Times New Roman" w:cs="Times New Roman"/>
                <w:color w:val="000000" w:themeColor="text1"/>
                <w:sz w:val="32"/>
                <w:szCs w:val="32"/>
              </w:rPr>
            </w:pPr>
            <w:r w:rsidRPr="00D877E5">
              <w:rPr>
                <w:rFonts w:ascii="Times New Roman" w:hAnsi="Times New Roman" w:cs="Times New Roman"/>
                <w:noProof/>
                <w:color w:val="000000" w:themeColor="text1"/>
                <w:sz w:val="32"/>
                <w:szCs w:val="32"/>
                <w:lang w:val="en-IN" w:eastAsia="en-IN"/>
              </w:rPr>
              <w:drawing>
                <wp:inline distT="0" distB="0" distL="0" distR="0" wp14:anchorId="386B38E5" wp14:editId="0472850F">
                  <wp:extent cx="3200400" cy="2806700"/>
                  <wp:effectExtent l="0" t="0" r="0" b="0"/>
                  <wp:docPr id="2" name="Picture 2" descr="A picture containing sketch, text,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ketch, text, typography&#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t="12302"/>
                          <a:stretch/>
                        </pic:blipFill>
                        <pic:spPr bwMode="auto">
                          <a:xfrm>
                            <a:off x="0" y="0"/>
                            <a:ext cx="3200400" cy="2806700"/>
                          </a:xfrm>
                          <a:prstGeom prst="rect">
                            <a:avLst/>
                          </a:prstGeom>
                          <a:noFill/>
                          <a:ln>
                            <a:noFill/>
                          </a:ln>
                          <a:extLst>
                            <a:ext uri="{53640926-AAD7-44D8-BBD7-CCE9431645EC}">
                              <a14:shadowObscured xmlns:a14="http://schemas.microsoft.com/office/drawing/2010/main"/>
                            </a:ext>
                          </a:extLst>
                        </pic:spPr>
                      </pic:pic>
                    </a:graphicData>
                  </a:graphic>
                </wp:inline>
              </w:drawing>
            </w:r>
          </w:p>
          <w:p w14:paraId="04321E64" w14:textId="77777777" w:rsidR="001A1DF2" w:rsidRPr="00D877E5" w:rsidRDefault="001A1DF2" w:rsidP="0028124F">
            <w:pPr>
              <w:rPr>
                <w:rFonts w:ascii="Times New Roman" w:hAnsi="Times New Roman" w:cs="Times New Roman"/>
                <w:color w:val="000000" w:themeColor="text1"/>
                <w:sz w:val="32"/>
                <w:szCs w:val="32"/>
              </w:rPr>
            </w:pPr>
          </w:p>
        </w:tc>
      </w:tr>
      <w:tr w:rsidR="001A1DF2" w:rsidRPr="00D877E5" w14:paraId="63329B55" w14:textId="77777777" w:rsidTr="0028124F">
        <w:trPr>
          <w:cantSplit/>
          <w:trHeight w:val="1136"/>
        </w:trPr>
        <w:tc>
          <w:tcPr>
            <w:tcW w:w="312" w:type="dxa"/>
            <w:textDirection w:val="btLr"/>
          </w:tcPr>
          <w:p w14:paraId="3D635521" w14:textId="77777777" w:rsidR="001A1DF2" w:rsidRPr="00D877E5" w:rsidRDefault="001A1DF2" w:rsidP="0028124F">
            <w:pPr>
              <w:ind w:left="113" w:right="113"/>
              <w:jc w:val="center"/>
              <w:rPr>
                <w:rFonts w:ascii="Times New Roman" w:hAnsi="Times New Roman" w:cs="Times New Roman"/>
                <w:b/>
                <w:bCs/>
                <w:color w:val="000000" w:themeColor="text1"/>
                <w:sz w:val="32"/>
                <w:szCs w:val="32"/>
              </w:rPr>
            </w:pPr>
            <w:r w:rsidRPr="00D877E5">
              <w:rPr>
                <w:rFonts w:ascii="Times New Roman" w:hAnsi="Times New Roman" w:cs="Times New Roman"/>
                <w:b/>
                <w:bCs/>
                <w:color w:val="000000" w:themeColor="text1"/>
                <w:sz w:val="32"/>
                <w:szCs w:val="32"/>
              </w:rPr>
              <w:t>QQ plot</w:t>
            </w:r>
          </w:p>
        </w:tc>
        <w:tc>
          <w:tcPr>
            <w:tcW w:w="2534" w:type="dxa"/>
          </w:tcPr>
          <w:p w14:paraId="26C5ACAE" w14:textId="77777777" w:rsidR="001A1DF2" w:rsidRPr="00D877E5" w:rsidRDefault="001A1DF2" w:rsidP="0028124F">
            <w:pPr>
              <w:jc w:val="center"/>
              <w:rPr>
                <w:rFonts w:ascii="Times New Roman" w:hAnsi="Times New Roman" w:cs="Times New Roman"/>
                <w:color w:val="000000" w:themeColor="text1"/>
                <w:sz w:val="32"/>
                <w:szCs w:val="32"/>
              </w:rPr>
            </w:pPr>
            <w:r w:rsidRPr="00D877E5">
              <w:rPr>
                <w:rFonts w:ascii="Times New Roman" w:hAnsi="Times New Roman" w:cs="Times New Roman"/>
                <w:noProof/>
                <w:color w:val="000000" w:themeColor="text1"/>
                <w:sz w:val="32"/>
                <w:szCs w:val="32"/>
                <w:lang w:val="en-IN" w:eastAsia="en-IN"/>
              </w:rPr>
              <w:drawing>
                <wp:inline distT="0" distB="0" distL="0" distR="0" wp14:anchorId="38673816" wp14:editId="6ADF8133">
                  <wp:extent cx="3081991" cy="2819400"/>
                  <wp:effectExtent l="0" t="0" r="4445" b="0"/>
                  <wp:docPr id="5" name="Picture 5" descr="A picture containing diagram, line, plot,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 line, plot, slope&#10;&#10;Description automatically generated"/>
                          <pic:cNvPicPr>
                            <a:picLocks noChangeAspect="1" noChangeArrowheads="1"/>
                          </pic:cNvPicPr>
                        </pic:nvPicPr>
                        <pic:blipFill rotWithShape="1">
                          <a:blip r:embed="rId6">
                            <a:extLst>
                              <a:ext uri="{28A0092B-C50C-407E-A947-70E740481C1C}">
                                <a14:useLocalDpi xmlns:a14="http://schemas.microsoft.com/office/drawing/2010/main" val="0"/>
                              </a:ext>
                            </a:extLst>
                          </a:blip>
                          <a:srcRect t="8520"/>
                          <a:stretch/>
                        </pic:blipFill>
                        <pic:spPr bwMode="auto">
                          <a:xfrm>
                            <a:off x="0" y="0"/>
                            <a:ext cx="3088301" cy="28251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94" w:type="dxa"/>
          </w:tcPr>
          <w:p w14:paraId="087E52F3" w14:textId="77777777" w:rsidR="001A1DF2" w:rsidRPr="00D877E5" w:rsidRDefault="001A1DF2" w:rsidP="0028124F">
            <w:pPr>
              <w:rPr>
                <w:rFonts w:ascii="Times New Roman" w:hAnsi="Times New Roman" w:cs="Times New Roman"/>
                <w:color w:val="000000" w:themeColor="text1"/>
                <w:sz w:val="32"/>
                <w:szCs w:val="32"/>
              </w:rPr>
            </w:pPr>
            <w:r w:rsidRPr="00D877E5">
              <w:rPr>
                <w:rFonts w:ascii="Times New Roman" w:hAnsi="Times New Roman" w:cs="Times New Roman"/>
                <w:noProof/>
                <w:color w:val="000000" w:themeColor="text1"/>
                <w:sz w:val="32"/>
                <w:szCs w:val="32"/>
                <w:lang w:val="en-IN" w:eastAsia="en-IN"/>
              </w:rPr>
              <w:drawing>
                <wp:inline distT="0" distB="0" distL="0" distR="0" wp14:anchorId="1B6C803C" wp14:editId="2C803745">
                  <wp:extent cx="3185525" cy="2882900"/>
                  <wp:effectExtent l="0" t="0" r="0" b="0"/>
                  <wp:docPr id="3" name="Picture 3" descr="A picture containing diagram, line, plot,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 line, plot, slope&#10;&#10;Description automatically generated"/>
                          <pic:cNvPicPr>
                            <a:picLocks noChangeAspect="1" noChangeArrowheads="1"/>
                          </pic:cNvPicPr>
                        </pic:nvPicPr>
                        <pic:blipFill rotWithShape="1">
                          <a:blip r:embed="rId7">
                            <a:extLst>
                              <a:ext uri="{28A0092B-C50C-407E-A947-70E740481C1C}">
                                <a14:useLocalDpi xmlns:a14="http://schemas.microsoft.com/office/drawing/2010/main" val="0"/>
                              </a:ext>
                            </a:extLst>
                          </a:blip>
                          <a:srcRect t="9500"/>
                          <a:stretch/>
                        </pic:blipFill>
                        <pic:spPr bwMode="auto">
                          <a:xfrm>
                            <a:off x="0" y="0"/>
                            <a:ext cx="3190805" cy="2887678"/>
                          </a:xfrm>
                          <a:prstGeom prst="rect">
                            <a:avLst/>
                          </a:prstGeom>
                          <a:noFill/>
                          <a:ln>
                            <a:noFill/>
                          </a:ln>
                          <a:extLst>
                            <a:ext uri="{53640926-AAD7-44D8-BBD7-CCE9431645EC}">
                              <a14:shadowObscured xmlns:a14="http://schemas.microsoft.com/office/drawing/2010/main"/>
                            </a:ext>
                          </a:extLst>
                        </pic:spPr>
                      </pic:pic>
                    </a:graphicData>
                  </a:graphic>
                </wp:inline>
              </w:drawing>
            </w:r>
          </w:p>
          <w:p w14:paraId="7140EF8B" w14:textId="77777777" w:rsidR="001A1DF2" w:rsidRPr="00D877E5" w:rsidRDefault="001A1DF2" w:rsidP="0028124F">
            <w:pPr>
              <w:rPr>
                <w:rFonts w:ascii="Times New Roman" w:hAnsi="Times New Roman" w:cs="Times New Roman"/>
                <w:color w:val="000000" w:themeColor="text1"/>
                <w:sz w:val="32"/>
                <w:szCs w:val="32"/>
              </w:rPr>
            </w:pPr>
          </w:p>
        </w:tc>
      </w:tr>
    </w:tbl>
    <w:p w14:paraId="277E0531" w14:textId="77777777" w:rsidR="001A1DF2" w:rsidRPr="00D877E5" w:rsidRDefault="001A1DF2" w:rsidP="001A1DF2">
      <w:pPr>
        <w:rPr>
          <w:rFonts w:ascii="Times New Roman" w:hAnsi="Times New Roman" w:cs="Times New Roman"/>
          <w:color w:val="000000" w:themeColor="text1"/>
          <w:sz w:val="32"/>
          <w:szCs w:val="32"/>
        </w:rPr>
      </w:pPr>
    </w:p>
    <w:p w14:paraId="2899DF33" w14:textId="77777777" w:rsidR="001A1DF2" w:rsidRPr="00D877E5" w:rsidRDefault="001A1DF2" w:rsidP="001A1DF2">
      <w:pPr>
        <w:rPr>
          <w:rFonts w:ascii="Times New Roman" w:hAnsi="Times New Roman" w:cs="Times New Roman"/>
          <w:color w:val="000000" w:themeColor="text1"/>
          <w:sz w:val="32"/>
          <w:szCs w:val="32"/>
        </w:rPr>
      </w:pPr>
      <w:r w:rsidRPr="00D877E5">
        <w:rPr>
          <w:rFonts w:ascii="Times New Roman" w:hAnsi="Times New Roman" w:cs="Times New Roman"/>
          <w:color w:val="000000" w:themeColor="text1"/>
          <w:sz w:val="32"/>
          <w:szCs w:val="32"/>
        </w:rPr>
        <w:t xml:space="preserve"> </w:t>
      </w:r>
    </w:p>
    <w:p w14:paraId="76CBDF6B" w14:textId="77777777" w:rsidR="009C53AF" w:rsidRPr="00D877E5" w:rsidRDefault="009C53AF">
      <w:pPr>
        <w:rPr>
          <w:rFonts w:ascii="Times New Roman" w:hAnsi="Times New Roman" w:cs="Times New Roman"/>
          <w:color w:val="000000" w:themeColor="text1"/>
          <w:sz w:val="32"/>
          <w:szCs w:val="32"/>
        </w:rPr>
      </w:pPr>
    </w:p>
    <w:sectPr w:rsidR="009C53AF" w:rsidRPr="00D877E5" w:rsidSect="00D877E5">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DF2"/>
    <w:rsid w:val="001A1DF2"/>
    <w:rsid w:val="009C53AF"/>
    <w:rsid w:val="00D877E5"/>
    <w:rsid w:val="00E92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84F7"/>
  <w15:chartTrackingRefBased/>
  <w15:docId w15:val="{EDBC6707-51EC-4FD0-99BD-41B836DF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DF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1D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9221B"/>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Woolf</dc:creator>
  <cp:keywords/>
  <dc:description/>
  <cp:lastModifiedBy>Nithya sudalai</cp:lastModifiedBy>
  <cp:revision>3</cp:revision>
  <dcterms:created xsi:type="dcterms:W3CDTF">2023-05-26T14:37:00Z</dcterms:created>
  <dcterms:modified xsi:type="dcterms:W3CDTF">2023-07-24T10:28:00Z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id="Sxm0sf71"/&gt;&lt;style id="http://www.zotero.org/styles/vancouver" locale="en-US" hasBibliography="1" bibliographyStyleHasBeenSet="1"/&gt;&lt;prefs&gt;&lt;pref name="fieldType" value="Field"/&gt;&lt;/prefs&gt;&lt;/data&gt;</vt:lpwstr>
  </property>
</Properties>
</file>