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6FF96" w14:textId="718A690A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t>Supplemental Figures Lege</w:t>
      </w:r>
      <w:bookmarkStart w:id="0" w:name="_GoBack"/>
      <w:bookmarkEnd w:id="0"/>
      <w:r w:rsidRPr="00753846">
        <w:rPr>
          <w:rFonts w:ascii="Times New Roman" w:hAnsi="Times New Roman" w:cs="Times New Roman"/>
          <w:b/>
          <w:bCs/>
        </w:rPr>
        <w:t>nds</w:t>
      </w:r>
    </w:p>
    <w:p w14:paraId="43820BA5" w14:textId="77777777" w:rsidR="005D0DDD" w:rsidRPr="00753846" w:rsidRDefault="005D0DDD">
      <w:pPr>
        <w:rPr>
          <w:rFonts w:ascii="Times New Roman" w:hAnsi="Times New Roman" w:cs="Times New Roman"/>
          <w:b/>
          <w:bCs/>
        </w:rPr>
      </w:pPr>
    </w:p>
    <w:p w14:paraId="4516263B" w14:textId="3C90EE83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t>Figure S1</w:t>
      </w:r>
    </w:p>
    <w:p w14:paraId="19D54FA3" w14:textId="77777777" w:rsidR="005D0DDD" w:rsidRPr="00753846" w:rsidRDefault="005D0DDD">
      <w:pPr>
        <w:rPr>
          <w:rFonts w:ascii="Times New Roman" w:hAnsi="Times New Roman" w:cs="Times New Roman"/>
          <w:b/>
          <w:bCs/>
        </w:rPr>
      </w:pPr>
    </w:p>
    <w:p w14:paraId="6D9AF159" w14:textId="3F9A9C10" w:rsidR="00090E64" w:rsidRPr="00753846" w:rsidRDefault="00090E64">
      <w:pPr>
        <w:rPr>
          <w:rFonts w:ascii="Times New Roman" w:hAnsi="Times New Roman" w:cs="Times New Roman"/>
        </w:rPr>
      </w:pPr>
      <w:r w:rsidRPr="00753846">
        <w:rPr>
          <w:rFonts w:ascii="Times New Roman" w:hAnsi="Times New Roman" w:cs="Times New Roman"/>
        </w:rPr>
        <w:t xml:space="preserve">Multidimensional scaling plot (MDS) of raw count data for </w:t>
      </w:r>
      <w:r w:rsidR="00877AF1" w:rsidRPr="00753846">
        <w:rPr>
          <w:rFonts w:ascii="Times New Roman" w:hAnsi="Times New Roman" w:cs="Times New Roman"/>
        </w:rPr>
        <w:t>all samples. Text color represents whether samples were in the HgCl</w:t>
      </w:r>
      <w:r w:rsidR="00877AF1" w:rsidRPr="00753846">
        <w:rPr>
          <w:rFonts w:ascii="Times New Roman" w:hAnsi="Times New Roman" w:cs="Times New Roman"/>
          <w:vertAlign w:val="subscript"/>
        </w:rPr>
        <w:t>2</w:t>
      </w:r>
      <w:r w:rsidR="00877AF1" w:rsidRPr="00753846">
        <w:rPr>
          <w:rFonts w:ascii="Times New Roman" w:hAnsi="Times New Roman" w:cs="Times New Roman"/>
        </w:rPr>
        <w:t xml:space="preserve"> (red) or control (blue) treatment group.</w:t>
      </w:r>
    </w:p>
    <w:p w14:paraId="66F7EC90" w14:textId="77777777" w:rsidR="00090E64" w:rsidRPr="00753846" w:rsidRDefault="00090E64">
      <w:pPr>
        <w:rPr>
          <w:rFonts w:ascii="Times New Roman" w:hAnsi="Times New Roman" w:cs="Times New Roman"/>
          <w:b/>
          <w:bCs/>
        </w:rPr>
      </w:pPr>
    </w:p>
    <w:p w14:paraId="4D268653" w14:textId="05E0A862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t>Figure S2</w:t>
      </w:r>
    </w:p>
    <w:p w14:paraId="56FE05FA" w14:textId="77777777" w:rsidR="005D0DDD" w:rsidRPr="00753846" w:rsidRDefault="005D0DDD">
      <w:pPr>
        <w:rPr>
          <w:rFonts w:ascii="Times New Roman" w:hAnsi="Times New Roman" w:cs="Times New Roman"/>
          <w:b/>
          <w:bCs/>
        </w:rPr>
      </w:pPr>
    </w:p>
    <w:p w14:paraId="41F75AAE" w14:textId="30FDBF2A" w:rsidR="008E7508" w:rsidRPr="00753846" w:rsidRDefault="008E7508">
      <w:pPr>
        <w:rPr>
          <w:rFonts w:ascii="Times New Roman" w:hAnsi="Times New Roman" w:cs="Times New Roman"/>
        </w:rPr>
      </w:pPr>
      <w:r w:rsidRPr="00753846">
        <w:rPr>
          <w:rFonts w:ascii="Times New Roman" w:hAnsi="Times New Roman" w:cs="Times New Roman"/>
        </w:rPr>
        <w:t xml:space="preserve">Heatmap of gene expression in whole female </w:t>
      </w:r>
      <w:r w:rsidRPr="00753846">
        <w:rPr>
          <w:rFonts w:ascii="Times New Roman" w:hAnsi="Times New Roman" w:cs="Times New Roman"/>
          <w:i/>
          <w:iCs/>
        </w:rPr>
        <w:t>D. melanogaster</w:t>
      </w:r>
      <w:r w:rsidRPr="00753846">
        <w:rPr>
          <w:rFonts w:ascii="Times New Roman" w:hAnsi="Times New Roman" w:cs="Times New Roman"/>
        </w:rPr>
        <w:t xml:space="preserve"> exposed to HgCl</w:t>
      </w:r>
      <w:r w:rsidRPr="00753846">
        <w:rPr>
          <w:rFonts w:ascii="Times New Roman" w:hAnsi="Times New Roman" w:cs="Times New Roman"/>
          <w:vertAlign w:val="subscript"/>
        </w:rPr>
        <w:t>2</w:t>
      </w:r>
      <w:r w:rsidRPr="00753846">
        <w:rPr>
          <w:rFonts w:ascii="Times New Roman" w:hAnsi="Times New Roman" w:cs="Times New Roman"/>
        </w:rPr>
        <w:t xml:space="preserve"> or control treatments. The color gradient represents variation in log</w:t>
      </w:r>
      <w:r w:rsidRPr="00753846">
        <w:rPr>
          <w:rFonts w:ascii="Times New Roman" w:hAnsi="Times New Roman" w:cs="Times New Roman"/>
          <w:vertAlign w:val="subscript"/>
        </w:rPr>
        <w:t>2</w:t>
      </w:r>
      <w:r w:rsidRPr="00753846">
        <w:rPr>
          <w:rFonts w:ascii="Times New Roman" w:hAnsi="Times New Roman" w:cs="Times New Roman"/>
        </w:rPr>
        <w:t>-transformed read counts for each of 150 genes that showed significant differential gene expression between treatments</w:t>
      </w:r>
      <w:r w:rsidR="00772E5F" w:rsidRPr="00753846">
        <w:rPr>
          <w:rFonts w:ascii="Times New Roman" w:hAnsi="Times New Roman" w:cs="Times New Roman"/>
        </w:rPr>
        <w:t xml:space="preserve"> (</w:t>
      </w:r>
      <w:r w:rsidR="00772E5F" w:rsidRPr="00753846">
        <w:rPr>
          <w:rFonts w:ascii="Times New Roman" w:hAnsi="Times New Roman" w:cs="Times New Roman"/>
          <w:i/>
          <w:iCs/>
        </w:rPr>
        <w:t>P</w:t>
      </w:r>
      <w:r w:rsidR="00772E5F" w:rsidRPr="00753846">
        <w:rPr>
          <w:rFonts w:ascii="Times New Roman" w:hAnsi="Times New Roman" w:cs="Times New Roman"/>
          <w:i/>
          <w:iCs/>
          <w:vertAlign w:val="subscript"/>
        </w:rPr>
        <w:t>FDR</w:t>
      </w:r>
      <w:r w:rsidR="00772E5F" w:rsidRPr="00753846">
        <w:rPr>
          <w:rFonts w:ascii="Times New Roman" w:hAnsi="Times New Roman" w:cs="Times New Roman"/>
        </w:rPr>
        <w:t xml:space="preserve"> &lt; 0.01, |log</w:t>
      </w:r>
      <w:r w:rsidR="00772E5F" w:rsidRPr="00753846">
        <w:rPr>
          <w:rFonts w:ascii="Times New Roman" w:hAnsi="Times New Roman" w:cs="Times New Roman"/>
          <w:vertAlign w:val="subscript"/>
        </w:rPr>
        <w:t>2</w:t>
      </w:r>
      <w:r w:rsidR="00772E5F" w:rsidRPr="00753846">
        <w:rPr>
          <w:rFonts w:ascii="Times New Roman" w:hAnsi="Times New Roman" w:cs="Times New Roman"/>
        </w:rPr>
        <w:t xml:space="preserve"> fold-change| &gt; 2)</w:t>
      </w:r>
      <w:r w:rsidRPr="00753846">
        <w:rPr>
          <w:rFonts w:ascii="Times New Roman" w:hAnsi="Times New Roman" w:cs="Times New Roman"/>
        </w:rPr>
        <w:t>. The column marginal color annotation reflects whether samples were in the HgCl</w:t>
      </w:r>
      <w:r w:rsidRPr="00753846">
        <w:rPr>
          <w:rFonts w:ascii="Times New Roman" w:hAnsi="Times New Roman" w:cs="Times New Roman"/>
          <w:vertAlign w:val="subscript"/>
        </w:rPr>
        <w:t>2</w:t>
      </w:r>
      <w:r w:rsidRPr="00753846">
        <w:rPr>
          <w:rFonts w:ascii="Times New Roman" w:hAnsi="Times New Roman" w:cs="Times New Roman"/>
        </w:rPr>
        <w:t xml:space="preserve"> (gray) or control (blue) treatment group.</w:t>
      </w:r>
    </w:p>
    <w:p w14:paraId="72C38B79" w14:textId="77777777" w:rsidR="008E7508" w:rsidRPr="00753846" w:rsidRDefault="008E7508">
      <w:pPr>
        <w:rPr>
          <w:rFonts w:ascii="Times New Roman" w:hAnsi="Times New Roman" w:cs="Times New Roman"/>
          <w:b/>
          <w:bCs/>
        </w:rPr>
      </w:pPr>
    </w:p>
    <w:p w14:paraId="0A8F129B" w14:textId="0A251AEA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t>Figure S3</w:t>
      </w:r>
    </w:p>
    <w:p w14:paraId="5E153C67" w14:textId="77777777" w:rsidR="002571B3" w:rsidRPr="00753846" w:rsidRDefault="002571B3">
      <w:pPr>
        <w:rPr>
          <w:rFonts w:ascii="Times New Roman" w:hAnsi="Times New Roman" w:cs="Times New Roman"/>
          <w:b/>
          <w:bCs/>
        </w:rPr>
      </w:pPr>
    </w:p>
    <w:p w14:paraId="3DF64FC0" w14:textId="77777777" w:rsidR="00621A7C" w:rsidRPr="00753846" w:rsidRDefault="002571B3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</w:rPr>
        <w:t xml:space="preserve">Plot of the top 15 enriched Biological Process categories </w:t>
      </w:r>
      <w:r w:rsidR="00621A7C" w:rsidRPr="00753846">
        <w:rPr>
          <w:rFonts w:ascii="Times New Roman" w:hAnsi="Times New Roman" w:cs="Times New Roman"/>
        </w:rPr>
        <w:t>for 119 genes that exhibited higher expression in HgCl</w:t>
      </w:r>
      <w:r w:rsidR="00621A7C" w:rsidRPr="00753846">
        <w:rPr>
          <w:rFonts w:ascii="Times New Roman" w:hAnsi="Times New Roman" w:cs="Times New Roman"/>
          <w:vertAlign w:val="subscript"/>
        </w:rPr>
        <w:t>2</w:t>
      </w:r>
      <w:r w:rsidR="00621A7C" w:rsidRPr="00753846">
        <w:rPr>
          <w:rFonts w:ascii="Times New Roman" w:hAnsi="Times New Roman" w:cs="Times New Roman"/>
        </w:rPr>
        <w:t xml:space="preserve">-treated </w:t>
      </w:r>
      <w:r w:rsidR="00621A7C" w:rsidRPr="00753846">
        <w:rPr>
          <w:rFonts w:ascii="Times New Roman" w:hAnsi="Times New Roman" w:cs="Times New Roman"/>
          <w:i/>
          <w:iCs/>
        </w:rPr>
        <w:t xml:space="preserve">D. melanogaster </w:t>
      </w:r>
      <w:r w:rsidR="00621A7C" w:rsidRPr="00753846">
        <w:rPr>
          <w:rFonts w:ascii="Times New Roman" w:hAnsi="Times New Roman" w:cs="Times New Roman"/>
        </w:rPr>
        <w:t>(log</w:t>
      </w:r>
      <w:r w:rsidR="00621A7C" w:rsidRPr="00753846">
        <w:rPr>
          <w:rFonts w:ascii="Times New Roman" w:hAnsi="Times New Roman" w:cs="Times New Roman"/>
          <w:vertAlign w:val="subscript"/>
        </w:rPr>
        <w:t>2</w:t>
      </w:r>
      <w:r w:rsidR="00621A7C" w:rsidRPr="00753846">
        <w:rPr>
          <w:rFonts w:ascii="Times New Roman" w:hAnsi="Times New Roman" w:cs="Times New Roman"/>
        </w:rPr>
        <w:t xml:space="preserve"> fold-change &gt; 2, </w:t>
      </w:r>
      <w:r w:rsidR="00621A7C" w:rsidRPr="00753846">
        <w:rPr>
          <w:rFonts w:ascii="Times New Roman" w:hAnsi="Times New Roman" w:cs="Times New Roman"/>
          <w:i/>
          <w:iCs/>
        </w:rPr>
        <w:t>P</w:t>
      </w:r>
      <w:r w:rsidR="00621A7C" w:rsidRPr="00753846">
        <w:rPr>
          <w:rFonts w:ascii="Times New Roman" w:hAnsi="Times New Roman" w:cs="Times New Roman"/>
          <w:i/>
          <w:iCs/>
          <w:vertAlign w:val="subscript"/>
        </w:rPr>
        <w:t>FDR</w:t>
      </w:r>
      <w:r w:rsidR="00621A7C" w:rsidRPr="00753846">
        <w:rPr>
          <w:rFonts w:ascii="Times New Roman" w:hAnsi="Times New Roman" w:cs="Times New Roman"/>
        </w:rPr>
        <w:t xml:space="preserve"> &lt; 0.01)</w:t>
      </w:r>
      <w:r w:rsidRPr="00753846">
        <w:rPr>
          <w:rFonts w:ascii="Times New Roman" w:hAnsi="Times New Roman" w:cs="Times New Roman"/>
        </w:rPr>
        <w:t xml:space="preserve">. Color reflects variation in significance of enrichment measured as a </w:t>
      </w:r>
      <w:proofErr w:type="spellStart"/>
      <w:r w:rsidRPr="0075384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Benjamini</w:t>
      </w:r>
      <w:proofErr w:type="spellEnd"/>
      <w:r w:rsidRPr="0075384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–Hochberg FDR-adjusted </w:t>
      </w:r>
      <w:r w:rsidRPr="0075384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P-</w:t>
      </w:r>
      <w:r w:rsidRPr="0075384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value</w:t>
      </w:r>
      <w:r w:rsidRPr="00753846">
        <w:rPr>
          <w:rFonts w:ascii="Times New Roman" w:hAnsi="Times New Roman" w:cs="Times New Roman"/>
          <w:b/>
          <w:bCs/>
        </w:rPr>
        <w:t>.</w:t>
      </w:r>
    </w:p>
    <w:p w14:paraId="134EC22A" w14:textId="77777777" w:rsidR="00621A7C" w:rsidRPr="00753846" w:rsidRDefault="00621A7C">
      <w:pPr>
        <w:rPr>
          <w:rFonts w:ascii="Times New Roman" w:hAnsi="Times New Roman" w:cs="Times New Roman"/>
          <w:b/>
          <w:bCs/>
        </w:rPr>
      </w:pPr>
    </w:p>
    <w:p w14:paraId="4F7B8240" w14:textId="11005C0C" w:rsidR="00621A7C" w:rsidRPr="00753846" w:rsidRDefault="00621A7C" w:rsidP="00621A7C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t>Figure S4</w:t>
      </w:r>
    </w:p>
    <w:p w14:paraId="5040A58B" w14:textId="77777777" w:rsidR="00621A7C" w:rsidRPr="00753846" w:rsidRDefault="00621A7C" w:rsidP="00621A7C">
      <w:pPr>
        <w:rPr>
          <w:rFonts w:ascii="Times New Roman" w:hAnsi="Times New Roman" w:cs="Times New Roman"/>
          <w:b/>
          <w:bCs/>
        </w:rPr>
      </w:pPr>
    </w:p>
    <w:p w14:paraId="0969A6F2" w14:textId="3E01EA9A" w:rsidR="005D0DDD" w:rsidRPr="00753846" w:rsidRDefault="00621A7C" w:rsidP="00621A7C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</w:rPr>
        <w:t>Plot of the top 15 enriched Biological Process categories for 31 genes that exhibited lower expression in HgCl</w:t>
      </w:r>
      <w:r w:rsidRPr="00753846">
        <w:rPr>
          <w:rFonts w:ascii="Times New Roman" w:hAnsi="Times New Roman" w:cs="Times New Roman"/>
          <w:vertAlign w:val="subscript"/>
        </w:rPr>
        <w:t>2</w:t>
      </w:r>
      <w:r w:rsidRPr="00753846">
        <w:rPr>
          <w:rFonts w:ascii="Times New Roman" w:hAnsi="Times New Roman" w:cs="Times New Roman"/>
        </w:rPr>
        <w:t xml:space="preserve">-treated </w:t>
      </w:r>
      <w:r w:rsidRPr="00753846">
        <w:rPr>
          <w:rFonts w:ascii="Times New Roman" w:hAnsi="Times New Roman" w:cs="Times New Roman"/>
          <w:i/>
          <w:iCs/>
        </w:rPr>
        <w:t xml:space="preserve">D. melanogaster </w:t>
      </w:r>
      <w:r w:rsidRPr="00753846">
        <w:rPr>
          <w:rFonts w:ascii="Times New Roman" w:hAnsi="Times New Roman" w:cs="Times New Roman"/>
        </w:rPr>
        <w:t>(log</w:t>
      </w:r>
      <w:r w:rsidRPr="00753846">
        <w:rPr>
          <w:rFonts w:ascii="Times New Roman" w:hAnsi="Times New Roman" w:cs="Times New Roman"/>
          <w:vertAlign w:val="subscript"/>
        </w:rPr>
        <w:t>2</w:t>
      </w:r>
      <w:r w:rsidRPr="00753846">
        <w:rPr>
          <w:rFonts w:ascii="Times New Roman" w:hAnsi="Times New Roman" w:cs="Times New Roman"/>
        </w:rPr>
        <w:t xml:space="preserve"> fold-change &lt; -2, </w:t>
      </w:r>
      <w:r w:rsidRPr="00753846">
        <w:rPr>
          <w:rFonts w:ascii="Times New Roman" w:hAnsi="Times New Roman" w:cs="Times New Roman"/>
          <w:i/>
          <w:iCs/>
        </w:rPr>
        <w:t>P</w:t>
      </w:r>
      <w:r w:rsidRPr="00753846">
        <w:rPr>
          <w:rFonts w:ascii="Times New Roman" w:hAnsi="Times New Roman" w:cs="Times New Roman"/>
          <w:i/>
          <w:iCs/>
          <w:vertAlign w:val="subscript"/>
        </w:rPr>
        <w:t>FDR</w:t>
      </w:r>
      <w:r w:rsidRPr="00753846">
        <w:rPr>
          <w:rFonts w:ascii="Times New Roman" w:hAnsi="Times New Roman" w:cs="Times New Roman"/>
        </w:rPr>
        <w:t xml:space="preserve"> &lt; 0.01). Color reflects variation in significance of enrichment measured as a </w:t>
      </w:r>
      <w:proofErr w:type="spellStart"/>
      <w:r w:rsidRPr="0075384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Benjamini</w:t>
      </w:r>
      <w:proofErr w:type="spellEnd"/>
      <w:r w:rsidRPr="0075384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–Hochberg FDR-adjusted </w:t>
      </w:r>
      <w:r w:rsidRPr="0075384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P-</w:t>
      </w:r>
      <w:r w:rsidRPr="0075384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value</w:t>
      </w:r>
      <w:r w:rsidRPr="00753846">
        <w:rPr>
          <w:rFonts w:ascii="Times New Roman" w:hAnsi="Times New Roman" w:cs="Times New Roman"/>
          <w:b/>
          <w:bCs/>
        </w:rPr>
        <w:t>.</w:t>
      </w:r>
      <w:r w:rsidR="005D0DDD" w:rsidRPr="00753846">
        <w:rPr>
          <w:rFonts w:ascii="Times New Roman" w:hAnsi="Times New Roman" w:cs="Times New Roman"/>
          <w:b/>
          <w:bCs/>
        </w:rPr>
        <w:br w:type="page"/>
      </w:r>
    </w:p>
    <w:p w14:paraId="00EAFE28" w14:textId="3F349944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lastRenderedPageBreak/>
        <w:t>Figure S1</w:t>
      </w:r>
    </w:p>
    <w:p w14:paraId="77CDA53B" w14:textId="59AD05FD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5DCBAB4D" wp14:editId="56D615AD">
            <wp:extent cx="5943600" cy="5943600"/>
            <wp:effectExtent l="0" t="0" r="0" b="0"/>
            <wp:docPr id="9209503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950350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5598" w14:textId="3CB67D7D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br w:type="page"/>
      </w:r>
    </w:p>
    <w:p w14:paraId="3FF8F303" w14:textId="6D9526C7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lastRenderedPageBreak/>
        <w:t>Figure S2</w:t>
      </w:r>
    </w:p>
    <w:p w14:paraId="15E16136" w14:textId="77777777" w:rsidR="005D0DDD" w:rsidRPr="00753846" w:rsidRDefault="005D0DDD">
      <w:pPr>
        <w:rPr>
          <w:rFonts w:ascii="Times New Roman" w:hAnsi="Times New Roman" w:cs="Times New Roman"/>
          <w:b/>
          <w:bCs/>
        </w:rPr>
      </w:pPr>
    </w:p>
    <w:p w14:paraId="51A1EC52" w14:textId="1D8C66E9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2E54AE98" wp14:editId="29C71DFC">
            <wp:extent cx="5943600" cy="6604000"/>
            <wp:effectExtent l="0" t="0" r="0" b="0"/>
            <wp:docPr id="14959197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19775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3846">
        <w:rPr>
          <w:rFonts w:ascii="Times New Roman" w:hAnsi="Times New Roman" w:cs="Times New Roman"/>
          <w:b/>
          <w:bCs/>
        </w:rPr>
        <w:br w:type="page"/>
      </w:r>
    </w:p>
    <w:p w14:paraId="6635D0E4" w14:textId="771377A5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lastRenderedPageBreak/>
        <w:t>Figure S3</w:t>
      </w:r>
    </w:p>
    <w:p w14:paraId="341C8581" w14:textId="77777777" w:rsidR="005D0DDD" w:rsidRPr="00753846" w:rsidRDefault="005D0DDD">
      <w:pPr>
        <w:rPr>
          <w:rFonts w:ascii="Times New Roman" w:hAnsi="Times New Roman" w:cs="Times New Roman"/>
          <w:b/>
          <w:bCs/>
        </w:rPr>
      </w:pPr>
    </w:p>
    <w:p w14:paraId="4DB97D36" w14:textId="4BBB2D90" w:rsidR="005D0DDD" w:rsidRPr="00753846" w:rsidRDefault="005D0DDD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66CFC98C" wp14:editId="1FEEDDFE">
            <wp:extent cx="5943600" cy="7429500"/>
            <wp:effectExtent l="0" t="0" r="0" b="0"/>
            <wp:docPr id="11327763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776310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E6B82" w14:textId="536F5CAD" w:rsidR="00C8120A" w:rsidRPr="00753846" w:rsidRDefault="00C8120A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br w:type="page"/>
      </w:r>
    </w:p>
    <w:p w14:paraId="72433BD3" w14:textId="5756069D" w:rsidR="00C8120A" w:rsidRPr="00753846" w:rsidRDefault="00C8120A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</w:rPr>
        <w:lastRenderedPageBreak/>
        <w:t>Figure S4</w:t>
      </w:r>
    </w:p>
    <w:p w14:paraId="6CC0777E" w14:textId="77777777" w:rsidR="00C8120A" w:rsidRPr="00753846" w:rsidRDefault="00C8120A">
      <w:pPr>
        <w:rPr>
          <w:rFonts w:ascii="Times New Roman" w:hAnsi="Times New Roman" w:cs="Times New Roman"/>
          <w:b/>
          <w:bCs/>
        </w:rPr>
      </w:pPr>
    </w:p>
    <w:p w14:paraId="736AC87B" w14:textId="68D5BCE7" w:rsidR="00C8120A" w:rsidRPr="00813A0B" w:rsidRDefault="00621A7C">
      <w:pPr>
        <w:rPr>
          <w:rFonts w:ascii="Times New Roman" w:hAnsi="Times New Roman" w:cs="Times New Roman"/>
          <w:b/>
          <w:bCs/>
        </w:rPr>
      </w:pPr>
      <w:r w:rsidRPr="00753846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6ABCDFA1" wp14:editId="51D2D2D4">
            <wp:extent cx="5943600" cy="7429500"/>
            <wp:effectExtent l="0" t="0" r="0" b="0"/>
            <wp:docPr id="1959743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43398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120A" w:rsidRPr="00813A0B" w:rsidSect="00753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DD"/>
    <w:rsid w:val="00090E64"/>
    <w:rsid w:val="002571B3"/>
    <w:rsid w:val="005D0AD9"/>
    <w:rsid w:val="005D0DDD"/>
    <w:rsid w:val="00621A7C"/>
    <w:rsid w:val="00753846"/>
    <w:rsid w:val="00772E5F"/>
    <w:rsid w:val="007D5641"/>
    <w:rsid w:val="00813A0B"/>
    <w:rsid w:val="00877AF1"/>
    <w:rsid w:val="008E7508"/>
    <w:rsid w:val="009E3E64"/>
    <w:rsid w:val="00A67B6C"/>
    <w:rsid w:val="00C8120A"/>
    <w:rsid w:val="00D27230"/>
    <w:rsid w:val="00D4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D3CBC"/>
  <w15:chartTrackingRefBased/>
  <w15:docId w15:val="{91451DF2-7170-C544-88AE-1925C08B3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Sanderson, Brian</dc:creator>
  <cp:keywords/>
  <dc:description/>
  <cp:lastModifiedBy>Sangeetha Nanda Gopal</cp:lastModifiedBy>
  <cp:revision>3</cp:revision>
  <dcterms:created xsi:type="dcterms:W3CDTF">2023-10-30T21:28:00Z</dcterms:created>
  <dcterms:modified xsi:type="dcterms:W3CDTF">2024-09-18T04:28:00Z</dcterms:modified>
</cp:coreProperties>
</file>