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F5E13" w14:textId="77777777" w:rsidR="00E43AAD" w:rsidRPr="0091505A" w:rsidRDefault="00E43AAD" w:rsidP="00E43AAD">
      <w:pPr>
        <w:spacing w:line="480" w:lineRule="auto"/>
        <w:jc w:val="both"/>
        <w:rPr>
          <w:rFonts w:ascii="Times New Roman" w:hAnsi="Times New Roman" w:cs="Times New Roman"/>
          <w:b/>
          <w:bCs/>
          <w:color w:val="000000" w:themeColor="text1"/>
          <w:sz w:val="28"/>
          <w:szCs w:val="28"/>
          <w:lang w:val="en-GB"/>
        </w:rPr>
      </w:pPr>
      <w:r w:rsidRPr="0091505A">
        <w:rPr>
          <w:rFonts w:ascii="Times New Roman" w:hAnsi="Times New Roman" w:cs="Times New Roman"/>
          <w:b/>
          <w:bCs/>
          <w:color w:val="000000" w:themeColor="text1"/>
          <w:sz w:val="28"/>
          <w:szCs w:val="28"/>
          <w:lang w:val="en-GB"/>
        </w:rPr>
        <w:t>Investigation of Potential KRASG12D Inhibitors: A Comparative Study between MRTX1133 and Natural Compounds via Computational Structural Biology Approaches</w:t>
      </w:r>
      <w:r w:rsidRPr="0091505A" w:rsidDel="00A756D4">
        <w:rPr>
          <w:rFonts w:ascii="Times New Roman" w:hAnsi="Times New Roman" w:cs="Times New Roman"/>
          <w:b/>
          <w:bCs/>
          <w:color w:val="000000" w:themeColor="text1"/>
          <w:sz w:val="28"/>
          <w:szCs w:val="28"/>
          <w:lang w:val="en-GB"/>
        </w:rPr>
        <w:t xml:space="preserve"> </w:t>
      </w:r>
    </w:p>
    <w:p w14:paraId="66A8ED32" w14:textId="77777777" w:rsidR="00E43AAD" w:rsidRPr="002151EA" w:rsidRDefault="00E43AAD" w:rsidP="00E43AAD">
      <w:pPr>
        <w:spacing w:line="480" w:lineRule="auto"/>
        <w:jc w:val="both"/>
        <w:rPr>
          <w:rFonts w:ascii="Times New Roman" w:hAnsi="Times New Roman" w:cs="Times New Roman"/>
          <w:b/>
          <w:bCs/>
          <w:color w:val="000000" w:themeColor="text1"/>
          <w:lang w:val="en-GB"/>
        </w:rPr>
      </w:pPr>
    </w:p>
    <w:p w14:paraId="79A07F63" w14:textId="77777777" w:rsidR="00E43AAD" w:rsidRPr="002151EA" w:rsidRDefault="00E43AAD" w:rsidP="00E43AAD">
      <w:pPr>
        <w:spacing w:line="480" w:lineRule="auto"/>
        <w:jc w:val="both"/>
        <w:rPr>
          <w:rFonts w:ascii="Times New Roman" w:hAnsi="Times New Roman" w:cs="Times New Roman"/>
          <w:b/>
          <w:bCs/>
          <w:color w:val="000000" w:themeColor="text1"/>
          <w:lang w:val="en-GB"/>
        </w:rPr>
      </w:pPr>
      <w:r w:rsidRPr="002151EA">
        <w:rPr>
          <w:rFonts w:ascii="Times New Roman" w:hAnsi="Times New Roman" w:cs="Times New Roman"/>
          <w:b/>
          <w:bCs/>
          <w:color w:val="000000" w:themeColor="text1"/>
          <w:lang w:val="en-GB"/>
        </w:rPr>
        <w:t>Safiye Merve Bostancioglu</w:t>
      </w:r>
      <w:r w:rsidRPr="002151EA">
        <w:rPr>
          <w:rFonts w:ascii="Times New Roman" w:hAnsi="Times New Roman" w:cs="Times New Roman"/>
          <w:b/>
          <w:bCs/>
          <w:color w:val="000000" w:themeColor="text1"/>
          <w:vertAlign w:val="superscript"/>
          <w:lang w:val="en-GB"/>
        </w:rPr>
        <w:t>2, *</w:t>
      </w:r>
      <w:r w:rsidRPr="002151EA">
        <w:rPr>
          <w:rFonts w:ascii="Times New Roman" w:hAnsi="Times New Roman" w:cs="Times New Roman"/>
          <w:b/>
          <w:bCs/>
          <w:color w:val="000000" w:themeColor="text1"/>
          <w:lang w:val="en-GB"/>
        </w:rPr>
        <w:t>, Ahmet Acar</w:t>
      </w:r>
      <w:r w:rsidRPr="002151EA">
        <w:rPr>
          <w:rFonts w:ascii="Times New Roman" w:hAnsi="Times New Roman" w:cs="Times New Roman"/>
          <w:b/>
          <w:bCs/>
          <w:color w:val="000000" w:themeColor="text1"/>
          <w:vertAlign w:val="superscript"/>
          <w:lang w:val="en-GB"/>
        </w:rPr>
        <w:t>1, *</w:t>
      </w:r>
    </w:p>
    <w:p w14:paraId="1D43EC35" w14:textId="77777777" w:rsidR="00E43AAD" w:rsidRPr="002151EA" w:rsidRDefault="00E43AAD" w:rsidP="00E43AAD">
      <w:pPr>
        <w:spacing w:line="480" w:lineRule="auto"/>
        <w:jc w:val="both"/>
        <w:rPr>
          <w:rFonts w:ascii="Times New Roman" w:hAnsi="Times New Roman" w:cs="Times New Roman"/>
          <w:b/>
          <w:bCs/>
          <w:color w:val="000000" w:themeColor="text1"/>
          <w:lang w:val="en-GB"/>
        </w:rPr>
      </w:pPr>
    </w:p>
    <w:p w14:paraId="51C96ED1" w14:textId="77777777" w:rsidR="00E43AAD" w:rsidRPr="002151EA" w:rsidRDefault="00E43AAD" w:rsidP="00E43AAD">
      <w:pPr>
        <w:spacing w:line="480" w:lineRule="auto"/>
        <w:jc w:val="both"/>
        <w:rPr>
          <w:rFonts w:ascii="Times New Roman" w:hAnsi="Times New Roman" w:cs="Times New Roman"/>
          <w:color w:val="000000" w:themeColor="text1"/>
          <w:lang w:val="en-GB"/>
        </w:rPr>
      </w:pPr>
      <w:r w:rsidRPr="002151EA">
        <w:rPr>
          <w:rFonts w:ascii="Times New Roman" w:hAnsi="Times New Roman" w:cs="Times New Roman"/>
          <w:b/>
          <w:bCs/>
          <w:color w:val="000000" w:themeColor="text1"/>
          <w:vertAlign w:val="superscript"/>
          <w:lang w:val="en-GB"/>
        </w:rPr>
        <w:t>1</w:t>
      </w:r>
      <w:r w:rsidRPr="002151EA">
        <w:rPr>
          <w:rFonts w:ascii="Times New Roman" w:hAnsi="Times New Roman" w:cs="Times New Roman"/>
          <w:color w:val="000000" w:themeColor="text1"/>
          <w:lang w:val="en-GB"/>
        </w:rPr>
        <w:t xml:space="preserve"> Department of Biological Sciences, Middle East Technical University, </w:t>
      </w:r>
    </w:p>
    <w:p w14:paraId="37AD1F4B" w14:textId="77777777" w:rsidR="00E43AAD" w:rsidRPr="002151EA" w:rsidRDefault="00E43AAD" w:rsidP="00E43AAD">
      <w:pPr>
        <w:spacing w:line="480" w:lineRule="auto"/>
        <w:jc w:val="both"/>
        <w:rPr>
          <w:rFonts w:ascii="Times New Roman" w:hAnsi="Times New Roman" w:cs="Times New Roman"/>
          <w:color w:val="000000" w:themeColor="text1"/>
          <w:lang w:val="en-GB"/>
        </w:rPr>
      </w:pPr>
      <w:r w:rsidRPr="002151EA">
        <w:rPr>
          <w:rFonts w:ascii="Times New Roman" w:hAnsi="Times New Roman" w:cs="Times New Roman"/>
          <w:color w:val="000000" w:themeColor="text1"/>
          <w:lang w:val="en-GB"/>
        </w:rPr>
        <w:t>Universiteler Mah. Dumlupınar Bulvarı 1, 06800 Çankaya, Ankara, Turkey</w:t>
      </w:r>
    </w:p>
    <w:p w14:paraId="07965226" w14:textId="77777777" w:rsidR="00E43AAD" w:rsidRPr="002151EA" w:rsidRDefault="00E43AAD" w:rsidP="00E43AAD">
      <w:pPr>
        <w:spacing w:line="480" w:lineRule="auto"/>
        <w:jc w:val="both"/>
        <w:rPr>
          <w:rFonts w:ascii="Times New Roman" w:hAnsi="Times New Roman" w:cs="Times New Roman"/>
          <w:color w:val="000000" w:themeColor="text1"/>
          <w:vertAlign w:val="superscript"/>
          <w:lang w:val="en-GB"/>
        </w:rPr>
      </w:pPr>
      <w:r w:rsidRPr="002151EA">
        <w:rPr>
          <w:rFonts w:ascii="Times New Roman" w:hAnsi="Times New Roman" w:cs="Times New Roman"/>
          <w:color w:val="000000" w:themeColor="text1"/>
          <w:vertAlign w:val="superscript"/>
          <w:lang w:val="en-GB"/>
        </w:rPr>
        <w:t xml:space="preserve">2 </w:t>
      </w:r>
      <w:r w:rsidRPr="002151EA">
        <w:rPr>
          <w:rFonts w:ascii="Times New Roman" w:hAnsi="Times New Roman" w:cs="Times New Roman"/>
          <w:color w:val="000000" w:themeColor="text1"/>
          <w:lang w:val="en-GB"/>
        </w:rPr>
        <w:t>Department of Biology, Faculty of Arts and Sciences, Marmara University, Goztepe Campus, Goztepe, 34722 Istanbul, Turkey</w:t>
      </w:r>
    </w:p>
    <w:p w14:paraId="2CDA1D60" w14:textId="77777777" w:rsidR="00E43AAD" w:rsidRPr="002151EA" w:rsidRDefault="00E43AAD" w:rsidP="00E43AAD">
      <w:pPr>
        <w:spacing w:line="480" w:lineRule="auto"/>
        <w:jc w:val="both"/>
        <w:rPr>
          <w:rFonts w:ascii="Times New Roman" w:hAnsi="Times New Roman" w:cs="Times New Roman"/>
          <w:color w:val="000000" w:themeColor="text1"/>
          <w:lang w:val="en-GB"/>
        </w:rPr>
      </w:pPr>
      <w:r w:rsidRPr="002151EA">
        <w:rPr>
          <w:rFonts w:ascii="Times New Roman" w:hAnsi="Times New Roman" w:cs="Times New Roman"/>
          <w:color w:val="000000" w:themeColor="text1"/>
          <w:lang w:val="en-GB"/>
        </w:rPr>
        <w:t xml:space="preserve">* To whom </w:t>
      </w:r>
      <w:r w:rsidRPr="0091505A">
        <w:rPr>
          <w:rFonts w:ascii="Times New Roman" w:hAnsi="Times New Roman" w:cs="Times New Roman"/>
          <w:color w:val="000000" w:themeColor="text1"/>
          <w:lang w:val="en-GB"/>
        </w:rPr>
        <w:t xml:space="preserve">correspondence should be addressed: </w:t>
      </w:r>
      <w:hyperlink r:id="rId4" w:history="1">
        <w:r w:rsidRPr="0091505A">
          <w:rPr>
            <w:rStyle w:val="Hyperlink"/>
            <w:rFonts w:ascii="Times New Roman" w:hAnsi="Times New Roman" w:cs="Times New Roman"/>
            <w:color w:val="000000" w:themeColor="text1"/>
            <w:lang w:val="en-GB"/>
          </w:rPr>
          <w:t>acara@metu.edu.tr</w:t>
        </w:r>
      </w:hyperlink>
      <w:r w:rsidRPr="0091505A">
        <w:rPr>
          <w:rStyle w:val="Hyperlink"/>
          <w:rFonts w:ascii="Times New Roman" w:hAnsi="Times New Roman" w:cs="Times New Roman"/>
          <w:color w:val="000000" w:themeColor="text1"/>
          <w:lang w:val="en-GB"/>
        </w:rPr>
        <w:t xml:space="preserve"> and mervebostancioglu@marun.edu.tr</w:t>
      </w:r>
    </w:p>
    <w:p w14:paraId="46A5ADBD" w14:textId="77777777" w:rsidR="00E43AAD" w:rsidRPr="002151EA" w:rsidRDefault="00E43AAD" w:rsidP="00E43AAD">
      <w:pPr>
        <w:spacing w:line="480" w:lineRule="auto"/>
        <w:jc w:val="both"/>
        <w:rPr>
          <w:rFonts w:ascii="Times New Roman" w:hAnsi="Times New Roman" w:cs="Times New Roman"/>
          <w:b/>
          <w:bCs/>
          <w:color w:val="000000" w:themeColor="text1"/>
          <w:lang w:val="en-GB"/>
        </w:rPr>
      </w:pPr>
    </w:p>
    <w:p w14:paraId="5D06F889" w14:textId="77777777" w:rsidR="00E43AAD" w:rsidRPr="002151EA" w:rsidRDefault="00E43AAD" w:rsidP="00E43AAD">
      <w:pPr>
        <w:spacing w:line="480" w:lineRule="auto"/>
        <w:jc w:val="both"/>
        <w:rPr>
          <w:rFonts w:ascii="Times New Roman" w:hAnsi="Times New Roman" w:cs="Times New Roman"/>
          <w:b/>
          <w:bCs/>
          <w:color w:val="000000" w:themeColor="text1"/>
          <w:lang w:val="en-GB"/>
        </w:rPr>
      </w:pPr>
      <w:r>
        <w:rPr>
          <w:rFonts w:ascii="Times New Roman" w:hAnsi="Times New Roman" w:cs="Times New Roman"/>
          <w:b/>
          <w:bCs/>
          <w:color w:val="000000" w:themeColor="text1"/>
          <w:lang w:val="en-GB"/>
        </w:rPr>
        <w:t xml:space="preserve">Key words: </w:t>
      </w:r>
      <w:r>
        <w:rPr>
          <w:rFonts w:ascii="Times New Roman" w:hAnsi="Times New Roman" w:cs="Times New Roman"/>
          <w:color w:val="000000" w:themeColor="text1"/>
          <w:lang w:val="en-GB"/>
        </w:rPr>
        <w:t>Natural products</w:t>
      </w:r>
      <w:r w:rsidRPr="0091505A">
        <w:rPr>
          <w:rFonts w:ascii="Times New Roman" w:hAnsi="Times New Roman" w:cs="Times New Roman"/>
          <w:color w:val="000000" w:themeColor="text1"/>
          <w:lang w:val="en-GB"/>
        </w:rPr>
        <w:t xml:space="preserve">, KRASG12D, </w:t>
      </w:r>
      <w:r>
        <w:rPr>
          <w:rFonts w:ascii="Times New Roman" w:hAnsi="Times New Roman" w:cs="Times New Roman"/>
          <w:color w:val="000000" w:themeColor="text1"/>
          <w:lang w:val="en-GB"/>
        </w:rPr>
        <w:t>structure-based virtual screening, molecular dynamics simulation, MRTX1133.</w:t>
      </w:r>
    </w:p>
    <w:p w14:paraId="02CEAE0E" w14:textId="77777777" w:rsidR="00280161" w:rsidRDefault="00280161"/>
    <w:p w14:paraId="67EA44BC" w14:textId="36CA1D31" w:rsidR="004475CC" w:rsidRDefault="00280161">
      <w:r>
        <w:rPr>
          <w:noProof/>
        </w:rPr>
        <w:lastRenderedPageBreak/>
        <w:drawing>
          <wp:inline distT="0" distB="0" distL="0" distR="0" wp14:anchorId="023FB3F8" wp14:editId="69E09E2D">
            <wp:extent cx="5762625" cy="3533775"/>
            <wp:effectExtent l="0" t="0" r="9525" b="9525"/>
            <wp:docPr id="96238074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2625" cy="3533775"/>
                    </a:xfrm>
                    <a:prstGeom prst="rect">
                      <a:avLst/>
                    </a:prstGeom>
                    <a:noFill/>
                    <a:ln>
                      <a:noFill/>
                    </a:ln>
                  </pic:spPr>
                </pic:pic>
              </a:graphicData>
            </a:graphic>
          </wp:inline>
        </w:drawing>
      </w:r>
    </w:p>
    <w:p w14:paraId="34380AD0" w14:textId="63771154" w:rsidR="00280161" w:rsidRPr="00CD011B" w:rsidRDefault="00280161" w:rsidP="00CD011B">
      <w:pPr>
        <w:jc w:val="both"/>
        <w:rPr>
          <w:rFonts w:ascii="Times New Roman" w:hAnsi="Times New Roman" w:cs="Times New Roman"/>
          <w:sz w:val="24"/>
          <w:szCs w:val="24"/>
          <w:lang w:val="en-US"/>
        </w:rPr>
      </w:pPr>
      <w:r w:rsidRPr="00280161">
        <w:rPr>
          <w:rFonts w:ascii="Times New Roman" w:hAnsi="Times New Roman" w:cs="Times New Roman"/>
          <w:b/>
          <w:bCs/>
          <w:sz w:val="24"/>
          <w:szCs w:val="24"/>
        </w:rPr>
        <w:t>Supplementary Figure 1.</w:t>
      </w:r>
      <w:r w:rsidRPr="00280161">
        <w:rPr>
          <w:rFonts w:ascii="Times New Roman" w:hAnsi="Times New Roman" w:cs="Times New Roman"/>
          <w:b/>
          <w:bCs/>
          <w:sz w:val="24"/>
          <w:szCs w:val="24"/>
          <w:lang w:val="en-US"/>
        </w:rPr>
        <w:t xml:space="preserve"> </w:t>
      </w:r>
      <w:r w:rsidRPr="00280161">
        <w:rPr>
          <w:rFonts w:ascii="Times New Roman" w:hAnsi="Times New Roman" w:cs="Times New Roman"/>
          <w:sz w:val="24"/>
          <w:szCs w:val="24"/>
          <w:lang w:val="en-US"/>
        </w:rPr>
        <w:t>Schematic 2-D and 3-D representations detailing the interactions of NPA019556 with protein residues after Glide XP docking. Residues involved in hydrogen bonding interactions are highlighted in yellow in the 3-D scheme.</w:t>
      </w:r>
    </w:p>
    <w:p w14:paraId="30A56CCF" w14:textId="77777777" w:rsidR="00CD011B" w:rsidRDefault="00CD011B" w:rsidP="00280161">
      <w:pPr>
        <w:rPr>
          <w:lang w:val="en-US"/>
        </w:rPr>
      </w:pPr>
    </w:p>
    <w:p w14:paraId="61CEE639" w14:textId="40642849" w:rsidR="00CD011B" w:rsidRPr="00CD011B" w:rsidRDefault="00CD011B" w:rsidP="00280161">
      <w:pPr>
        <w:rPr>
          <w:rFonts w:ascii="Times New Roman" w:hAnsi="Times New Roman" w:cs="Times New Roman"/>
          <w:sz w:val="24"/>
          <w:szCs w:val="24"/>
        </w:rPr>
      </w:pPr>
      <w:r w:rsidRPr="00CD011B">
        <w:rPr>
          <w:rFonts w:ascii="Times New Roman" w:hAnsi="Times New Roman" w:cs="Times New Roman"/>
          <w:noProof/>
          <w:sz w:val="24"/>
          <w:szCs w:val="24"/>
          <w:lang w:val="en-US"/>
        </w:rPr>
        <w:drawing>
          <wp:inline distT="0" distB="0" distL="0" distR="0" wp14:anchorId="5F7EFDB9" wp14:editId="1548486D">
            <wp:extent cx="5762625" cy="3705225"/>
            <wp:effectExtent l="0" t="0" r="9525" b="9525"/>
            <wp:docPr id="149229224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2625" cy="3705225"/>
                    </a:xfrm>
                    <a:prstGeom prst="rect">
                      <a:avLst/>
                    </a:prstGeom>
                    <a:noFill/>
                    <a:ln>
                      <a:noFill/>
                    </a:ln>
                  </pic:spPr>
                </pic:pic>
              </a:graphicData>
            </a:graphic>
          </wp:inline>
        </w:drawing>
      </w:r>
    </w:p>
    <w:p w14:paraId="52F3B658" w14:textId="6352C79E" w:rsidR="00CD011B" w:rsidRDefault="00CD011B" w:rsidP="00CD011B">
      <w:pPr>
        <w:jc w:val="both"/>
        <w:rPr>
          <w:rFonts w:ascii="Times New Roman" w:hAnsi="Times New Roman" w:cs="Times New Roman"/>
          <w:sz w:val="24"/>
          <w:szCs w:val="24"/>
          <w:lang w:val="en-US"/>
        </w:rPr>
      </w:pPr>
      <w:r w:rsidRPr="00CD011B">
        <w:rPr>
          <w:rFonts w:ascii="Times New Roman" w:hAnsi="Times New Roman" w:cs="Times New Roman"/>
          <w:b/>
          <w:bCs/>
          <w:sz w:val="24"/>
          <w:szCs w:val="24"/>
        </w:rPr>
        <w:lastRenderedPageBreak/>
        <w:t>Supplementary Figure 2.</w:t>
      </w:r>
      <w:r w:rsidRPr="00CD011B">
        <w:rPr>
          <w:rFonts w:ascii="Times New Roman" w:hAnsi="Times New Roman" w:cs="Times New Roman"/>
          <w:b/>
          <w:bCs/>
          <w:sz w:val="24"/>
          <w:szCs w:val="24"/>
          <w:lang w:val="en-US"/>
        </w:rPr>
        <w:t xml:space="preserve"> </w:t>
      </w:r>
      <w:r w:rsidRPr="00CD011B">
        <w:rPr>
          <w:rFonts w:ascii="Times New Roman" w:hAnsi="Times New Roman" w:cs="Times New Roman"/>
          <w:sz w:val="24"/>
          <w:szCs w:val="24"/>
          <w:lang w:val="en-US"/>
        </w:rPr>
        <w:t>Schematic 2-D and 3-D representations detailing the interactions of NPA0</w:t>
      </w:r>
      <w:r w:rsidRPr="00CD011B">
        <w:rPr>
          <w:rFonts w:ascii="Times New Roman" w:hAnsi="Times New Roman" w:cs="Times New Roman"/>
          <w:sz w:val="24"/>
          <w:szCs w:val="24"/>
        </w:rPr>
        <w:t>32945</w:t>
      </w:r>
      <w:r w:rsidRPr="00CD011B">
        <w:rPr>
          <w:rFonts w:ascii="Times New Roman" w:hAnsi="Times New Roman" w:cs="Times New Roman"/>
          <w:sz w:val="24"/>
          <w:szCs w:val="24"/>
          <w:lang w:val="en-US"/>
        </w:rPr>
        <w:t xml:space="preserve"> with protein residues after Glide XP docking. Residues involved in hydrogen bonding interactions are highlighted in yellow in the 3-D scheme.</w:t>
      </w:r>
    </w:p>
    <w:p w14:paraId="1DC33001" w14:textId="77777777" w:rsidR="00CD011B" w:rsidRDefault="00CD011B" w:rsidP="00CD011B">
      <w:pPr>
        <w:rPr>
          <w:rFonts w:ascii="Times New Roman" w:hAnsi="Times New Roman" w:cs="Times New Roman"/>
          <w:sz w:val="24"/>
          <w:szCs w:val="24"/>
          <w:lang w:val="en-US"/>
        </w:rPr>
      </w:pPr>
    </w:p>
    <w:p w14:paraId="2492972B" w14:textId="5B787B26" w:rsidR="00CD011B" w:rsidRDefault="00CD011B" w:rsidP="00CD011B">
      <w:pP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2B73B0A9" wp14:editId="219CBE96">
            <wp:extent cx="5753100" cy="3286125"/>
            <wp:effectExtent l="0" t="0" r="0" b="9525"/>
            <wp:docPr id="126138387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3286125"/>
                    </a:xfrm>
                    <a:prstGeom prst="rect">
                      <a:avLst/>
                    </a:prstGeom>
                    <a:noFill/>
                    <a:ln>
                      <a:noFill/>
                    </a:ln>
                  </pic:spPr>
                </pic:pic>
              </a:graphicData>
            </a:graphic>
          </wp:inline>
        </w:drawing>
      </w:r>
    </w:p>
    <w:p w14:paraId="7B78BD85" w14:textId="7120B4CA" w:rsidR="00CD011B" w:rsidRDefault="00CD011B" w:rsidP="00CD011B">
      <w:pPr>
        <w:jc w:val="both"/>
        <w:rPr>
          <w:rFonts w:ascii="Times New Roman" w:hAnsi="Times New Roman" w:cs="Times New Roman"/>
          <w:sz w:val="24"/>
          <w:szCs w:val="24"/>
          <w:lang w:val="en-US"/>
        </w:rPr>
      </w:pPr>
      <w:r w:rsidRPr="00CD011B">
        <w:rPr>
          <w:rFonts w:ascii="Times New Roman" w:hAnsi="Times New Roman" w:cs="Times New Roman"/>
          <w:b/>
          <w:bCs/>
          <w:sz w:val="24"/>
          <w:szCs w:val="24"/>
        </w:rPr>
        <w:t>Supplementary Figure 3.</w:t>
      </w:r>
      <w:r w:rsidRPr="00CD011B">
        <w:rPr>
          <w:rFonts w:ascii="Times New Roman" w:hAnsi="Times New Roman" w:cs="Times New Roman"/>
          <w:b/>
          <w:bCs/>
          <w:sz w:val="24"/>
          <w:szCs w:val="24"/>
          <w:lang w:val="en-US"/>
        </w:rPr>
        <w:t xml:space="preserve"> </w:t>
      </w:r>
      <w:r w:rsidRPr="00CD011B">
        <w:rPr>
          <w:rFonts w:ascii="Times New Roman" w:hAnsi="Times New Roman" w:cs="Times New Roman"/>
          <w:sz w:val="24"/>
          <w:szCs w:val="24"/>
          <w:lang w:val="en-US"/>
        </w:rPr>
        <w:t xml:space="preserve">Schematic 2-D and 3-D representations detailing the interactions of </w:t>
      </w:r>
      <w:r w:rsidRPr="00CD011B">
        <w:rPr>
          <w:rFonts w:ascii="Times New Roman" w:hAnsi="Times New Roman" w:cs="Times New Roman"/>
          <w:sz w:val="24"/>
          <w:szCs w:val="24"/>
        </w:rPr>
        <w:t>MRTX1133</w:t>
      </w:r>
      <w:r w:rsidRPr="00CD011B">
        <w:rPr>
          <w:rFonts w:ascii="Times New Roman" w:hAnsi="Times New Roman" w:cs="Times New Roman"/>
          <w:sz w:val="24"/>
          <w:szCs w:val="24"/>
          <w:lang w:val="en-US"/>
        </w:rPr>
        <w:t xml:space="preserve"> with protein residues after Glide XP docking. Residues involved in hydrogen bonding interactions are highlighted in yellow in the 3-D scheme.</w:t>
      </w:r>
    </w:p>
    <w:p w14:paraId="7DAC3F20" w14:textId="53A66BA1" w:rsidR="00CD011B" w:rsidRPr="00CD011B" w:rsidRDefault="00CD011B" w:rsidP="00CD011B">
      <w:pPr>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2FC5618F" wp14:editId="1DC17470">
            <wp:extent cx="5753100" cy="2638425"/>
            <wp:effectExtent l="0" t="0" r="0" b="9525"/>
            <wp:docPr id="1229606638"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2638425"/>
                    </a:xfrm>
                    <a:prstGeom prst="rect">
                      <a:avLst/>
                    </a:prstGeom>
                    <a:noFill/>
                    <a:ln>
                      <a:noFill/>
                    </a:ln>
                  </pic:spPr>
                </pic:pic>
              </a:graphicData>
            </a:graphic>
          </wp:inline>
        </w:drawing>
      </w:r>
    </w:p>
    <w:p w14:paraId="3E66CC87" w14:textId="77777777" w:rsidR="00CD011B" w:rsidRDefault="00CD011B" w:rsidP="00CD011B">
      <w:pPr>
        <w:rPr>
          <w:rFonts w:ascii="Times New Roman" w:hAnsi="Times New Roman" w:cs="Times New Roman"/>
          <w:sz w:val="24"/>
          <w:szCs w:val="24"/>
        </w:rPr>
      </w:pPr>
    </w:p>
    <w:p w14:paraId="46930DEC" w14:textId="0390A77F" w:rsidR="00CD011B" w:rsidRDefault="00CD011B" w:rsidP="00CD011B">
      <w:pPr>
        <w:jc w:val="both"/>
        <w:rPr>
          <w:rFonts w:ascii="Times New Roman" w:hAnsi="Times New Roman" w:cs="Times New Roman"/>
          <w:sz w:val="24"/>
          <w:szCs w:val="24"/>
          <w:lang w:val="en-US"/>
        </w:rPr>
      </w:pPr>
      <w:r w:rsidRPr="00CD011B">
        <w:rPr>
          <w:rFonts w:ascii="Times New Roman" w:hAnsi="Times New Roman" w:cs="Times New Roman"/>
          <w:b/>
          <w:bCs/>
          <w:sz w:val="24"/>
          <w:szCs w:val="24"/>
        </w:rPr>
        <w:t xml:space="preserve">Supplementary Figure 4. </w:t>
      </w:r>
      <w:r w:rsidRPr="00CD011B">
        <w:rPr>
          <w:rFonts w:ascii="Times New Roman" w:hAnsi="Times New Roman" w:cs="Times New Roman"/>
          <w:sz w:val="24"/>
          <w:szCs w:val="24"/>
        </w:rPr>
        <w:t xml:space="preserve">(A) </w:t>
      </w:r>
      <w:r w:rsidRPr="00CD011B">
        <w:rPr>
          <w:rFonts w:ascii="Times New Roman" w:hAnsi="Times New Roman" w:cs="Times New Roman"/>
          <w:sz w:val="24"/>
          <w:szCs w:val="24"/>
          <w:lang w:val="en-US"/>
        </w:rPr>
        <w:t xml:space="preserve">Produce </w:t>
      </w:r>
      <w:r w:rsidRPr="00CD011B">
        <w:rPr>
          <w:rFonts w:ascii="Times New Roman" w:hAnsi="Times New Roman" w:cs="Times New Roman"/>
          <w:sz w:val="24"/>
          <w:szCs w:val="24"/>
        </w:rPr>
        <w:t>PCA</w:t>
      </w:r>
      <w:r w:rsidRPr="00CD011B">
        <w:rPr>
          <w:rFonts w:ascii="Times New Roman" w:hAnsi="Times New Roman" w:cs="Times New Roman"/>
          <w:sz w:val="24"/>
          <w:szCs w:val="24"/>
          <w:lang w:val="en-US"/>
        </w:rPr>
        <w:t xml:space="preserve"> dimension plots illustrating the first three principal components and display the cumulative percentages of variance covered by all eigenvectors for the </w:t>
      </w:r>
      <w:r w:rsidRPr="00CD011B">
        <w:rPr>
          <w:rFonts w:ascii="Times New Roman" w:hAnsi="Times New Roman" w:cs="Times New Roman"/>
          <w:sz w:val="24"/>
          <w:szCs w:val="24"/>
        </w:rPr>
        <w:t>KRAS G12D-NPA019556</w:t>
      </w:r>
      <w:r w:rsidRPr="00CD011B">
        <w:rPr>
          <w:rFonts w:ascii="Times New Roman" w:hAnsi="Times New Roman" w:cs="Times New Roman"/>
          <w:sz w:val="24"/>
          <w:szCs w:val="24"/>
          <w:lang w:val="en-US"/>
        </w:rPr>
        <w:t xml:space="preserve"> structure. The color spectrum, transitioning from blue to red, delineates conformational alterations across the simulation. Blue dots signify </w:t>
      </w:r>
      <w:r w:rsidRPr="00CD011B">
        <w:rPr>
          <w:rFonts w:ascii="Times New Roman" w:hAnsi="Times New Roman" w:cs="Times New Roman"/>
          <w:sz w:val="24"/>
          <w:szCs w:val="24"/>
          <w:lang w:val="en-US"/>
        </w:rPr>
        <w:lastRenderedPageBreak/>
        <w:t>the initial timesteps, white dots depict intermediate stages, and red dots denote the concluding timesteps.</w:t>
      </w:r>
      <w:r w:rsidRPr="00CD011B">
        <w:rPr>
          <w:rFonts w:ascii="Times New Roman" w:hAnsi="Times New Roman" w:cs="Times New Roman"/>
          <w:sz w:val="24"/>
          <w:szCs w:val="24"/>
        </w:rPr>
        <w:t xml:space="preserve"> (B) </w:t>
      </w:r>
      <w:r w:rsidRPr="00CD011B">
        <w:rPr>
          <w:rFonts w:ascii="Times New Roman" w:hAnsi="Times New Roman" w:cs="Times New Roman"/>
          <w:sz w:val="24"/>
          <w:szCs w:val="24"/>
          <w:lang w:val="en-US"/>
        </w:rPr>
        <w:t>The flexibility analysis of the KRAS G12D-NPA019556 structure reveals the Root Mean Square Fluctuation (RMSF) values of C-alpha atoms within the system.</w:t>
      </w:r>
    </w:p>
    <w:p w14:paraId="78C957BD" w14:textId="77777777" w:rsidR="00CD011B" w:rsidRDefault="00CD011B" w:rsidP="00CD011B">
      <w:pPr>
        <w:jc w:val="both"/>
        <w:rPr>
          <w:rFonts w:ascii="Times New Roman" w:hAnsi="Times New Roman" w:cs="Times New Roman"/>
          <w:sz w:val="24"/>
          <w:szCs w:val="24"/>
          <w:lang w:val="en-US"/>
        </w:rPr>
      </w:pPr>
    </w:p>
    <w:p w14:paraId="7DE11DB8" w14:textId="4E8CD46F" w:rsidR="00CD011B" w:rsidRDefault="00CD011B" w:rsidP="00CD011B">
      <w:pPr>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7B649D6C" wp14:editId="6544DC39">
            <wp:extent cx="5753100" cy="2657475"/>
            <wp:effectExtent l="0" t="0" r="0" b="9525"/>
            <wp:docPr id="712491698"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2657475"/>
                    </a:xfrm>
                    <a:prstGeom prst="rect">
                      <a:avLst/>
                    </a:prstGeom>
                    <a:noFill/>
                    <a:ln>
                      <a:noFill/>
                    </a:ln>
                  </pic:spPr>
                </pic:pic>
              </a:graphicData>
            </a:graphic>
          </wp:inline>
        </w:drawing>
      </w:r>
    </w:p>
    <w:p w14:paraId="31B678DF" w14:textId="26D43813" w:rsidR="00CD011B" w:rsidRPr="00CD011B" w:rsidRDefault="00CD011B" w:rsidP="00CD011B">
      <w:pPr>
        <w:jc w:val="both"/>
        <w:rPr>
          <w:rFonts w:ascii="Times New Roman" w:hAnsi="Times New Roman" w:cs="Times New Roman"/>
          <w:sz w:val="24"/>
          <w:szCs w:val="24"/>
        </w:rPr>
      </w:pPr>
      <w:r w:rsidRPr="00CD011B">
        <w:rPr>
          <w:rFonts w:ascii="Times New Roman" w:hAnsi="Times New Roman" w:cs="Times New Roman"/>
          <w:b/>
          <w:bCs/>
          <w:sz w:val="24"/>
          <w:szCs w:val="24"/>
        </w:rPr>
        <w:t xml:space="preserve">Supplementary Figure 5. </w:t>
      </w:r>
      <w:r w:rsidRPr="00CD011B">
        <w:rPr>
          <w:rFonts w:ascii="Times New Roman" w:hAnsi="Times New Roman" w:cs="Times New Roman"/>
          <w:sz w:val="24"/>
          <w:szCs w:val="24"/>
        </w:rPr>
        <w:t xml:space="preserve">(A) </w:t>
      </w:r>
      <w:r w:rsidRPr="00CD011B">
        <w:rPr>
          <w:rFonts w:ascii="Times New Roman" w:hAnsi="Times New Roman" w:cs="Times New Roman"/>
          <w:sz w:val="24"/>
          <w:szCs w:val="24"/>
          <w:lang w:val="en-US"/>
        </w:rPr>
        <w:t xml:space="preserve">Produce </w:t>
      </w:r>
      <w:r w:rsidRPr="00CD011B">
        <w:rPr>
          <w:rFonts w:ascii="Times New Roman" w:hAnsi="Times New Roman" w:cs="Times New Roman"/>
          <w:sz w:val="24"/>
          <w:szCs w:val="24"/>
        </w:rPr>
        <w:t>PCA</w:t>
      </w:r>
      <w:r w:rsidRPr="00CD011B">
        <w:rPr>
          <w:rFonts w:ascii="Times New Roman" w:hAnsi="Times New Roman" w:cs="Times New Roman"/>
          <w:sz w:val="24"/>
          <w:szCs w:val="24"/>
          <w:lang w:val="en-US"/>
        </w:rPr>
        <w:t xml:space="preserve"> dimension plots illustrating the first three principal components and display the cumulative percentages of variance covered by all eigenvectors for the </w:t>
      </w:r>
      <w:r w:rsidRPr="00CD011B">
        <w:rPr>
          <w:rFonts w:ascii="Times New Roman" w:hAnsi="Times New Roman" w:cs="Times New Roman"/>
          <w:sz w:val="24"/>
          <w:szCs w:val="24"/>
        </w:rPr>
        <w:t>KRAS G12D-NPA032945</w:t>
      </w:r>
      <w:r w:rsidRPr="00CD011B">
        <w:rPr>
          <w:rFonts w:ascii="Times New Roman" w:hAnsi="Times New Roman" w:cs="Times New Roman"/>
          <w:sz w:val="24"/>
          <w:szCs w:val="24"/>
          <w:lang w:val="en-US"/>
        </w:rPr>
        <w:t xml:space="preserve"> structure. The color spectrum, transitioning from blue to red, delineates conformational alterations across the simulation. Blue dots signify the initial timesteps, white dots depict intermediate stages, and red dots denote the concluding timesteps.</w:t>
      </w:r>
      <w:r w:rsidRPr="00CD011B">
        <w:rPr>
          <w:rFonts w:ascii="Times New Roman" w:hAnsi="Times New Roman" w:cs="Times New Roman"/>
          <w:sz w:val="24"/>
          <w:szCs w:val="24"/>
        </w:rPr>
        <w:t xml:space="preserve"> (B) </w:t>
      </w:r>
      <w:r w:rsidRPr="00CD011B">
        <w:rPr>
          <w:rFonts w:ascii="Times New Roman" w:hAnsi="Times New Roman" w:cs="Times New Roman"/>
          <w:sz w:val="24"/>
          <w:szCs w:val="24"/>
          <w:lang w:val="en-US"/>
        </w:rPr>
        <w:t>The flexibility analysis of the KRAS G12D-NPA0</w:t>
      </w:r>
      <w:r w:rsidRPr="00CD011B">
        <w:rPr>
          <w:rFonts w:ascii="Times New Roman" w:hAnsi="Times New Roman" w:cs="Times New Roman"/>
          <w:sz w:val="24"/>
          <w:szCs w:val="24"/>
        </w:rPr>
        <w:t>32945</w:t>
      </w:r>
      <w:r w:rsidRPr="00CD011B">
        <w:rPr>
          <w:rFonts w:ascii="Times New Roman" w:hAnsi="Times New Roman" w:cs="Times New Roman"/>
          <w:sz w:val="24"/>
          <w:szCs w:val="24"/>
          <w:lang w:val="en-US"/>
        </w:rPr>
        <w:t xml:space="preserve"> structure reveals the Root Mean Square Fluctuation (RMSF) values of C-alpha atoms within the system.</w:t>
      </w:r>
    </w:p>
    <w:p w14:paraId="27FC8946" w14:textId="77777777" w:rsidR="00CD011B" w:rsidRDefault="00CD011B" w:rsidP="00CD011B">
      <w:pPr>
        <w:jc w:val="both"/>
        <w:rPr>
          <w:rFonts w:ascii="Times New Roman" w:hAnsi="Times New Roman" w:cs="Times New Roman"/>
          <w:sz w:val="24"/>
          <w:szCs w:val="24"/>
        </w:rPr>
      </w:pPr>
    </w:p>
    <w:p w14:paraId="74F42B3D" w14:textId="77777777" w:rsidR="00CD011B" w:rsidRDefault="00CD011B" w:rsidP="00CD011B">
      <w:pPr>
        <w:jc w:val="both"/>
        <w:rPr>
          <w:rFonts w:ascii="Times New Roman" w:hAnsi="Times New Roman" w:cs="Times New Roman"/>
          <w:sz w:val="24"/>
          <w:szCs w:val="24"/>
        </w:rPr>
      </w:pPr>
    </w:p>
    <w:p w14:paraId="661B2DBD" w14:textId="24C5357E" w:rsidR="00CD011B" w:rsidRPr="00CD011B" w:rsidRDefault="00CD011B" w:rsidP="00CD011B">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F40D5E8" wp14:editId="042046B2">
            <wp:extent cx="5753100" cy="2714625"/>
            <wp:effectExtent l="0" t="0" r="0" b="9525"/>
            <wp:docPr id="1185764247"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2714625"/>
                    </a:xfrm>
                    <a:prstGeom prst="rect">
                      <a:avLst/>
                    </a:prstGeom>
                    <a:noFill/>
                    <a:ln>
                      <a:noFill/>
                    </a:ln>
                  </pic:spPr>
                </pic:pic>
              </a:graphicData>
            </a:graphic>
          </wp:inline>
        </w:drawing>
      </w:r>
    </w:p>
    <w:p w14:paraId="57DC7431" w14:textId="77777777" w:rsidR="00CD011B" w:rsidRDefault="00CD011B" w:rsidP="00CD011B">
      <w:pPr>
        <w:rPr>
          <w:rFonts w:ascii="Times New Roman" w:hAnsi="Times New Roman" w:cs="Times New Roman"/>
          <w:sz w:val="24"/>
          <w:szCs w:val="24"/>
        </w:rPr>
      </w:pPr>
    </w:p>
    <w:p w14:paraId="793EF31A" w14:textId="79D1E3E2" w:rsidR="00CD011B" w:rsidRPr="00CD011B" w:rsidRDefault="00CD011B" w:rsidP="00CD011B">
      <w:pPr>
        <w:jc w:val="both"/>
        <w:rPr>
          <w:rFonts w:ascii="Times New Roman" w:hAnsi="Times New Roman" w:cs="Times New Roman"/>
          <w:sz w:val="24"/>
          <w:szCs w:val="24"/>
        </w:rPr>
      </w:pPr>
      <w:r w:rsidRPr="00CD011B">
        <w:rPr>
          <w:rFonts w:ascii="Times New Roman" w:hAnsi="Times New Roman" w:cs="Times New Roman"/>
          <w:b/>
          <w:bCs/>
          <w:sz w:val="24"/>
          <w:szCs w:val="24"/>
        </w:rPr>
        <w:lastRenderedPageBreak/>
        <w:t xml:space="preserve">Supplementary Figure 6. </w:t>
      </w:r>
      <w:r w:rsidRPr="00CD011B">
        <w:rPr>
          <w:rFonts w:ascii="Times New Roman" w:hAnsi="Times New Roman" w:cs="Times New Roman"/>
          <w:sz w:val="24"/>
          <w:szCs w:val="24"/>
        </w:rPr>
        <w:t xml:space="preserve">(A) </w:t>
      </w:r>
      <w:r w:rsidRPr="00CD011B">
        <w:rPr>
          <w:rFonts w:ascii="Times New Roman" w:hAnsi="Times New Roman" w:cs="Times New Roman"/>
          <w:sz w:val="24"/>
          <w:szCs w:val="24"/>
          <w:lang w:val="en-US"/>
        </w:rPr>
        <w:t xml:space="preserve">Produce </w:t>
      </w:r>
      <w:r w:rsidRPr="00CD011B">
        <w:rPr>
          <w:rFonts w:ascii="Times New Roman" w:hAnsi="Times New Roman" w:cs="Times New Roman"/>
          <w:sz w:val="24"/>
          <w:szCs w:val="24"/>
        </w:rPr>
        <w:t>PCA</w:t>
      </w:r>
      <w:r w:rsidRPr="00CD011B">
        <w:rPr>
          <w:rFonts w:ascii="Times New Roman" w:hAnsi="Times New Roman" w:cs="Times New Roman"/>
          <w:sz w:val="24"/>
          <w:szCs w:val="24"/>
          <w:lang w:val="en-US"/>
        </w:rPr>
        <w:t xml:space="preserve"> dimension plots illustrating the first three principal components and display the cumulative percentages of variance covered by all eigenvectors for the </w:t>
      </w:r>
      <w:r w:rsidRPr="00CD011B">
        <w:rPr>
          <w:rFonts w:ascii="Times New Roman" w:hAnsi="Times New Roman" w:cs="Times New Roman"/>
          <w:sz w:val="24"/>
          <w:szCs w:val="24"/>
        </w:rPr>
        <w:t>KRAS G12D-MRTX1133</w:t>
      </w:r>
      <w:r w:rsidRPr="00CD011B">
        <w:rPr>
          <w:rFonts w:ascii="Times New Roman" w:hAnsi="Times New Roman" w:cs="Times New Roman"/>
          <w:sz w:val="24"/>
          <w:szCs w:val="24"/>
          <w:lang w:val="en-US"/>
        </w:rPr>
        <w:t xml:space="preserve"> structure. The color spectrum, transitioning from blue to red, delineates conformational alterations across the simulation. Blue dots signify the initial timesteps, white dots depict intermediate stages, and red dots denote the concluding timesteps.</w:t>
      </w:r>
      <w:r w:rsidRPr="00CD011B">
        <w:rPr>
          <w:rFonts w:ascii="Times New Roman" w:hAnsi="Times New Roman" w:cs="Times New Roman"/>
          <w:sz w:val="24"/>
          <w:szCs w:val="24"/>
        </w:rPr>
        <w:t xml:space="preserve"> (B) </w:t>
      </w:r>
      <w:r w:rsidRPr="00CD011B">
        <w:rPr>
          <w:rFonts w:ascii="Times New Roman" w:hAnsi="Times New Roman" w:cs="Times New Roman"/>
          <w:sz w:val="24"/>
          <w:szCs w:val="24"/>
          <w:lang w:val="en-US"/>
        </w:rPr>
        <w:t>The flexibility analysis of the KRAS G12D-</w:t>
      </w:r>
      <w:r w:rsidRPr="00CD011B">
        <w:rPr>
          <w:rFonts w:ascii="Times New Roman" w:hAnsi="Times New Roman" w:cs="Times New Roman"/>
          <w:sz w:val="24"/>
          <w:szCs w:val="24"/>
        </w:rPr>
        <w:t>MRTX1133</w:t>
      </w:r>
      <w:r w:rsidRPr="00CD011B">
        <w:rPr>
          <w:rFonts w:ascii="Times New Roman" w:hAnsi="Times New Roman" w:cs="Times New Roman"/>
          <w:sz w:val="24"/>
          <w:szCs w:val="24"/>
          <w:lang w:val="en-US"/>
        </w:rPr>
        <w:t xml:space="preserve"> structure reveals the Root Mean Square Fluctuation (RMSF) values of C-alpha atoms within the system.</w:t>
      </w:r>
    </w:p>
    <w:p w14:paraId="0E99CADB" w14:textId="77777777" w:rsidR="00CD011B" w:rsidRPr="00CD011B" w:rsidRDefault="00CD011B" w:rsidP="00CD011B">
      <w:pPr>
        <w:rPr>
          <w:rFonts w:ascii="Times New Roman" w:hAnsi="Times New Roman" w:cs="Times New Roman"/>
          <w:sz w:val="24"/>
          <w:szCs w:val="24"/>
        </w:rPr>
      </w:pPr>
    </w:p>
    <w:p w14:paraId="5D28E183" w14:textId="77777777" w:rsidR="00CD011B" w:rsidRDefault="00CD011B" w:rsidP="00280161"/>
    <w:p w14:paraId="50628210" w14:textId="77777777" w:rsidR="00CD011B" w:rsidRPr="00280161" w:rsidRDefault="00CD011B" w:rsidP="00280161"/>
    <w:p w14:paraId="4016AE03" w14:textId="77777777" w:rsidR="00280161" w:rsidRDefault="00280161"/>
    <w:sectPr w:rsidR="002801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C0D"/>
    <w:rsid w:val="00280161"/>
    <w:rsid w:val="004475CC"/>
    <w:rsid w:val="005B5C0D"/>
    <w:rsid w:val="006C0600"/>
    <w:rsid w:val="00937F6B"/>
    <w:rsid w:val="00CD011B"/>
    <w:rsid w:val="00E43A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5A00F"/>
  <w15:chartTrackingRefBased/>
  <w15:docId w15:val="{7B3AEAD6-2903-4723-8361-D4E5E4F63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A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94371">
      <w:bodyDiv w:val="1"/>
      <w:marLeft w:val="0"/>
      <w:marRight w:val="0"/>
      <w:marTop w:val="0"/>
      <w:marBottom w:val="0"/>
      <w:divBdr>
        <w:top w:val="none" w:sz="0" w:space="0" w:color="auto"/>
        <w:left w:val="none" w:sz="0" w:space="0" w:color="auto"/>
        <w:bottom w:val="none" w:sz="0" w:space="0" w:color="auto"/>
        <w:right w:val="none" w:sz="0" w:space="0" w:color="auto"/>
      </w:divBdr>
    </w:div>
    <w:div w:id="361512791">
      <w:bodyDiv w:val="1"/>
      <w:marLeft w:val="0"/>
      <w:marRight w:val="0"/>
      <w:marTop w:val="0"/>
      <w:marBottom w:val="0"/>
      <w:divBdr>
        <w:top w:val="none" w:sz="0" w:space="0" w:color="auto"/>
        <w:left w:val="none" w:sz="0" w:space="0" w:color="auto"/>
        <w:bottom w:val="none" w:sz="0" w:space="0" w:color="auto"/>
        <w:right w:val="none" w:sz="0" w:space="0" w:color="auto"/>
      </w:divBdr>
    </w:div>
    <w:div w:id="770585510">
      <w:bodyDiv w:val="1"/>
      <w:marLeft w:val="0"/>
      <w:marRight w:val="0"/>
      <w:marTop w:val="0"/>
      <w:marBottom w:val="0"/>
      <w:divBdr>
        <w:top w:val="none" w:sz="0" w:space="0" w:color="auto"/>
        <w:left w:val="none" w:sz="0" w:space="0" w:color="auto"/>
        <w:bottom w:val="none" w:sz="0" w:space="0" w:color="auto"/>
        <w:right w:val="none" w:sz="0" w:space="0" w:color="auto"/>
      </w:divBdr>
    </w:div>
    <w:div w:id="916094187">
      <w:bodyDiv w:val="1"/>
      <w:marLeft w:val="0"/>
      <w:marRight w:val="0"/>
      <w:marTop w:val="0"/>
      <w:marBottom w:val="0"/>
      <w:divBdr>
        <w:top w:val="none" w:sz="0" w:space="0" w:color="auto"/>
        <w:left w:val="none" w:sz="0" w:space="0" w:color="auto"/>
        <w:bottom w:val="none" w:sz="0" w:space="0" w:color="auto"/>
        <w:right w:val="none" w:sz="0" w:space="0" w:color="auto"/>
      </w:divBdr>
    </w:div>
    <w:div w:id="1276865785">
      <w:bodyDiv w:val="1"/>
      <w:marLeft w:val="0"/>
      <w:marRight w:val="0"/>
      <w:marTop w:val="0"/>
      <w:marBottom w:val="0"/>
      <w:divBdr>
        <w:top w:val="none" w:sz="0" w:space="0" w:color="auto"/>
        <w:left w:val="none" w:sz="0" w:space="0" w:color="auto"/>
        <w:bottom w:val="none" w:sz="0" w:space="0" w:color="auto"/>
        <w:right w:val="none" w:sz="0" w:space="0" w:color="auto"/>
      </w:divBdr>
    </w:div>
    <w:div w:id="1420755302">
      <w:bodyDiv w:val="1"/>
      <w:marLeft w:val="0"/>
      <w:marRight w:val="0"/>
      <w:marTop w:val="0"/>
      <w:marBottom w:val="0"/>
      <w:divBdr>
        <w:top w:val="none" w:sz="0" w:space="0" w:color="auto"/>
        <w:left w:val="none" w:sz="0" w:space="0" w:color="auto"/>
        <w:bottom w:val="none" w:sz="0" w:space="0" w:color="auto"/>
        <w:right w:val="none" w:sz="0" w:space="0" w:color="auto"/>
      </w:divBdr>
    </w:div>
    <w:div w:id="1646927472">
      <w:bodyDiv w:val="1"/>
      <w:marLeft w:val="0"/>
      <w:marRight w:val="0"/>
      <w:marTop w:val="0"/>
      <w:marBottom w:val="0"/>
      <w:divBdr>
        <w:top w:val="none" w:sz="0" w:space="0" w:color="auto"/>
        <w:left w:val="none" w:sz="0" w:space="0" w:color="auto"/>
        <w:bottom w:val="none" w:sz="0" w:space="0" w:color="auto"/>
        <w:right w:val="none" w:sz="0" w:space="0" w:color="auto"/>
      </w:divBdr>
    </w:div>
    <w:div w:id="175350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webSettings" Target="webSettings.xml"/><Relationship Id="rId7" Type="http://schemas.openxmlformats.org/officeDocument/2006/relationships/image" Target="media/image3.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tiff"/><Relationship Id="rId11" Type="http://schemas.openxmlformats.org/officeDocument/2006/relationships/fontTable" Target="fontTable.xml"/><Relationship Id="rId5" Type="http://schemas.openxmlformats.org/officeDocument/2006/relationships/image" Target="media/image1.tiff"/><Relationship Id="rId10" Type="http://schemas.openxmlformats.org/officeDocument/2006/relationships/image" Target="media/image6.tiff"/><Relationship Id="rId4" Type="http://schemas.openxmlformats.org/officeDocument/2006/relationships/hyperlink" Target="mailto:acara@metu.edu.tr" TargetMode="External"/><Relationship Id="rId9" Type="http://schemas.openxmlformats.org/officeDocument/2006/relationships/image" Target="media/image5.tif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498</Words>
  <Characters>2840</Characters>
  <Application>Microsoft Office Word</Application>
  <DocSecurity>0</DocSecurity>
  <Lines>23</Lines>
  <Paragraphs>6</Paragraphs>
  <ScaleCrop>false</ScaleCrop>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Bosancioglu</dc:creator>
  <cp:keywords/>
  <dc:description/>
  <cp:lastModifiedBy>Ahmet Acar</cp:lastModifiedBy>
  <cp:revision>4</cp:revision>
  <dcterms:created xsi:type="dcterms:W3CDTF">2024-02-13T07:03:00Z</dcterms:created>
  <dcterms:modified xsi:type="dcterms:W3CDTF">2024-02-13T08:52:00Z</dcterms:modified>
</cp:coreProperties>
</file>