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A4D83" w14:textId="14B98D3B" w:rsidR="00133CC2" w:rsidRPr="00133CC2" w:rsidRDefault="004E55AE" w:rsidP="00133C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3CC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Supplementary File 2 — Safety Monitoring Procedures and Stopping Criteria </w:t>
      </w:r>
    </w:p>
    <w:p w14:paraId="0CBC7974" w14:textId="77777777" w:rsidR="00133CC2" w:rsidRPr="00133CC2" w:rsidRDefault="00133CC2" w:rsidP="00133C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33CC2">
        <w:rPr>
          <w:rFonts w:ascii="Times New Roman" w:hAnsi="Times New Roman" w:cs="Times New Roman"/>
          <w:b/>
          <w:bCs/>
          <w:sz w:val="24"/>
          <w:szCs w:val="24"/>
        </w:rPr>
        <w:t>Title: Safety Monitoring Protocol for Oropharyngeal Colostrum Administration</w:t>
      </w:r>
    </w:p>
    <w:p w14:paraId="6637CCC9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1. Purpose of Safety Monitoring</w:t>
      </w:r>
    </w:p>
    <w:p w14:paraId="05B8360E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This protocol outlines the safety assessments performed during each OAC administration, including vital sign monitoring, mucosal inspection, and predefined stopping criteria to ensure infant safety.</w:t>
      </w:r>
    </w:p>
    <w:p w14:paraId="06FE744E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6AC0972B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2. Parameters Monitored During Each OAC Session</w:t>
      </w:r>
    </w:p>
    <w:p w14:paraId="79744DB8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Nurses continuously monitored the following parameters:</w:t>
      </w:r>
    </w:p>
    <w:p w14:paraId="7DD68AC5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2A969C62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Apnea</w:t>
      </w:r>
    </w:p>
    <w:p w14:paraId="6EFA15F8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Bradycardia (&lt;90 bpm)</w:t>
      </w:r>
    </w:p>
    <w:p w14:paraId="0B29B80B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Tachycardia (&gt;180 bpm)</w:t>
      </w:r>
    </w:p>
    <w:p w14:paraId="5A8635AB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Desaturation (SpO₂ &lt;88% for more than 10 seconds)</w:t>
      </w:r>
    </w:p>
    <w:p w14:paraId="69C5B962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Oral mucosal irritation or injury</w:t>
      </w:r>
    </w:p>
    <w:p w14:paraId="6165E3C1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Signs of distress (grimacing, cyanosis, increased work of breathing)</w:t>
      </w:r>
    </w:p>
    <w:p w14:paraId="1CDF4652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3C997E26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Monitoring began 1 minute before, continued throughout the 2-minute mucosal contact, and ended 30 minutes after administration.</w:t>
      </w:r>
    </w:p>
    <w:p w14:paraId="678940C8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178735B7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3. Detailed Monitoring Schedule</w:t>
      </w:r>
    </w:p>
    <w:p w14:paraId="39246707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44913E33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3.1 Before Administration</w:t>
      </w:r>
    </w:p>
    <w:p w14:paraId="130C0F62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50B6E8CF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Assess baseline SpO₂, heart rate, and respiratory pattern</w:t>
      </w:r>
    </w:p>
    <w:p w14:paraId="140E2E9C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Confirm infant stability</w:t>
      </w:r>
    </w:p>
    <w:p w14:paraId="7F1ECF3D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Inspect buccal mucosa for irritation or injury</w:t>
      </w:r>
    </w:p>
    <w:p w14:paraId="5C015CAE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Document baseline vitals</w:t>
      </w:r>
    </w:p>
    <w:p w14:paraId="3B4D736D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2551EBE0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lastRenderedPageBreak/>
        <w:t>3.2 During Administration</w:t>
      </w:r>
    </w:p>
    <w:p w14:paraId="52D2AA98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Continuous monitoring of:</w:t>
      </w:r>
    </w:p>
    <w:p w14:paraId="76E7683A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26965F33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SpO₂</w:t>
      </w:r>
    </w:p>
    <w:p w14:paraId="71CEF12E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Heart rate</w:t>
      </w:r>
    </w:p>
    <w:p w14:paraId="2B0760C2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Respiratory effort</w:t>
      </w:r>
    </w:p>
    <w:p w14:paraId="5517AD72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Observe for apnea or bradycardia</w:t>
      </w:r>
    </w:p>
    <w:p w14:paraId="0865C662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Inspect mucosa during application</w:t>
      </w:r>
    </w:p>
    <w:p w14:paraId="43785A85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7B356DA4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3.3 After Administration</w:t>
      </w:r>
    </w:p>
    <w:p w14:paraId="4BBC17CD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09E9EA9E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Monitor for 30 minutes post-procedure</w:t>
      </w:r>
    </w:p>
    <w:p w14:paraId="6DDA6C63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Document any adverse events</w:t>
      </w:r>
    </w:p>
    <w:p w14:paraId="6F7D0C9F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Record infant tolerance (calm, mild discomfort, distress)</w:t>
      </w:r>
    </w:p>
    <w:p w14:paraId="2B5A16F1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3A2ED3AC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4. Predefined Stopping Criteria</w:t>
      </w:r>
    </w:p>
    <w:p w14:paraId="317B4933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The procedure was immediately discontinued if any of the following occurred:</w:t>
      </w:r>
    </w:p>
    <w:p w14:paraId="61B3E997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4E152B4F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Respiratory Events</w:t>
      </w:r>
    </w:p>
    <w:p w14:paraId="1D2B4D4B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2140F6B0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Apnea &gt;20 seconds</w:t>
      </w:r>
    </w:p>
    <w:p w14:paraId="54447981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SpO₂ &lt;88% for more than 10 seconds not resolving with stimulation (persistent desaturation)</w:t>
      </w:r>
    </w:p>
    <w:p w14:paraId="61F63336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3D17874B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Cardiac Events</w:t>
      </w:r>
    </w:p>
    <w:p w14:paraId="4AAE1892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13F16817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Bradycardia &lt;90 bpm lasting &gt;10 seconds</w:t>
      </w:r>
    </w:p>
    <w:p w14:paraId="2F330609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Tachycardia &gt;180 bpm with signs of distress</w:t>
      </w:r>
    </w:p>
    <w:p w14:paraId="537B4C47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3C2A24CC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lastRenderedPageBreak/>
        <w:t>Mucosal Events</w:t>
      </w:r>
    </w:p>
    <w:p w14:paraId="37D27A41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20A8E8C8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Visible oral mucosal injury, bleeding, or ulceration</w:t>
      </w:r>
    </w:p>
    <w:p w14:paraId="0AF6F9FB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Significant erythema after previous session</w:t>
      </w:r>
    </w:p>
    <w:p w14:paraId="3FE0C3F0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2CC9990B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Behavioral Distress</w:t>
      </w:r>
    </w:p>
    <w:p w14:paraId="4D010014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3A6CEB3D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Cyanosis</w:t>
      </w:r>
    </w:p>
    <w:p w14:paraId="7F89532E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Excessive crying</w:t>
      </w:r>
    </w:p>
    <w:p w14:paraId="52490B9D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574F6245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5. Documentation Requirements</w:t>
      </w:r>
    </w:p>
    <w:p w14:paraId="1B79E1E9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For each OAC session, nurses recorded:</w:t>
      </w:r>
    </w:p>
    <w:p w14:paraId="2DDC7040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7CCB2176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Date and time</w:t>
      </w:r>
    </w:p>
    <w:p w14:paraId="17CFA062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Volume administered</w:t>
      </w:r>
    </w:p>
    <w:p w14:paraId="13489477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Side of cheek</w:t>
      </w:r>
    </w:p>
    <w:p w14:paraId="627449EF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Baseline vitals</w:t>
      </w:r>
    </w:p>
    <w:p w14:paraId="22453237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Any adverse event</w:t>
      </w:r>
    </w:p>
    <w:p w14:paraId="53A41A08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Whether stopping criteria were triggered</w:t>
      </w:r>
    </w:p>
    <w:p w14:paraId="59878BA2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Infant tolerance score (0 = calm, 1 = mild discomfort, 2 = distress)</w:t>
      </w:r>
    </w:p>
    <w:p w14:paraId="4004A0D1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0C9A3909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6. Quality Assurance</w:t>
      </w:r>
    </w:p>
    <w:p w14:paraId="138AD036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4F625519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Weekly review of safety logs by study supervisor</w:t>
      </w:r>
    </w:p>
    <w:p w14:paraId="0A6783BE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Immediate retraining if repeated deviations occurred</w:t>
      </w:r>
    </w:p>
    <w:p w14:paraId="4035B377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· Monthly audit of mucosal injury reports</w:t>
      </w:r>
    </w:p>
    <w:p w14:paraId="6732B2D8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1F0407C6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7. Replicability Statement</w:t>
      </w:r>
    </w:p>
    <w:p w14:paraId="78AB01B4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lastRenderedPageBreak/>
        <w:t>This safety protocol provides sufficient detail to allow replication in other NICUs and ensures consistent monitoring across staff and study sites.</w:t>
      </w:r>
    </w:p>
    <w:p w14:paraId="536D613B" w14:textId="77777777" w:rsidR="008B6AC9" w:rsidRPr="008B6AC9" w:rsidRDefault="008B6AC9" w:rsidP="008B6AC9">
      <w:pPr>
        <w:rPr>
          <w:rFonts w:ascii="Times New Roman" w:hAnsi="Times New Roman" w:cs="Times New Roman"/>
          <w:sz w:val="24"/>
          <w:szCs w:val="24"/>
        </w:rPr>
      </w:pPr>
    </w:p>
    <w:p w14:paraId="4B230F68" w14:textId="2638049A" w:rsidR="003C1AFD" w:rsidRPr="00133CC2" w:rsidRDefault="008B6AC9" w:rsidP="008B6AC9">
      <w:pPr>
        <w:rPr>
          <w:rFonts w:ascii="Times New Roman" w:hAnsi="Times New Roman" w:cs="Times New Roman"/>
          <w:sz w:val="24"/>
          <w:szCs w:val="24"/>
        </w:rPr>
      </w:pPr>
      <w:r w:rsidRPr="008B6AC9">
        <w:rPr>
          <w:rFonts w:ascii="Times New Roman" w:hAnsi="Times New Roman" w:cs="Times New Roman"/>
          <w:sz w:val="24"/>
          <w:szCs w:val="24"/>
        </w:rPr>
        <w:t>A total of 1,440 OAC administrations (45 infants × 4 administrations/day × 8 days) were scheduled, administered, and monitored. All 1,440 scheduled administrations were documented as administered; no doses were missed. No episodes of apnea, bradycardia, tachycardia, desaturation, or mucosal injury were observed during administration or within 30 minutes afterward.</w:t>
      </w:r>
    </w:p>
    <w:sectPr w:rsidR="003C1AFD" w:rsidRPr="00133C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948F4"/>
    <w:multiLevelType w:val="multilevel"/>
    <w:tmpl w:val="1D28F2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5D414F"/>
    <w:multiLevelType w:val="multilevel"/>
    <w:tmpl w:val="8716C5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C53B9A"/>
    <w:multiLevelType w:val="multilevel"/>
    <w:tmpl w:val="8E08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0A7F7F"/>
    <w:multiLevelType w:val="multilevel"/>
    <w:tmpl w:val="F33620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1A7662"/>
    <w:multiLevelType w:val="multilevel"/>
    <w:tmpl w:val="DA7C7A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97160C"/>
    <w:multiLevelType w:val="multilevel"/>
    <w:tmpl w:val="066EEA0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1148550">
    <w:abstractNumId w:val="2"/>
  </w:num>
  <w:num w:numId="2" w16cid:durableId="6103089">
    <w:abstractNumId w:val="3"/>
  </w:num>
  <w:num w:numId="3" w16cid:durableId="986668504">
    <w:abstractNumId w:val="1"/>
  </w:num>
  <w:num w:numId="4" w16cid:durableId="1923952703">
    <w:abstractNumId w:val="4"/>
  </w:num>
  <w:num w:numId="5" w16cid:durableId="938876475">
    <w:abstractNumId w:val="0"/>
  </w:num>
  <w:num w:numId="6" w16cid:durableId="10870697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5AE"/>
    <w:rsid w:val="00063BA3"/>
    <w:rsid w:val="00133CC2"/>
    <w:rsid w:val="001D40C6"/>
    <w:rsid w:val="003C1AFD"/>
    <w:rsid w:val="004E55AE"/>
    <w:rsid w:val="00880BF7"/>
    <w:rsid w:val="008A7AD4"/>
    <w:rsid w:val="008B6AC9"/>
    <w:rsid w:val="00DD5F6B"/>
    <w:rsid w:val="00F24479"/>
    <w:rsid w:val="00F8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778F6"/>
  <w15:chartTrackingRefBased/>
  <w15:docId w15:val="{1EC43C9F-EDC1-4830-9868-9881A6F0E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55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5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5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5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5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5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5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5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5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5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5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5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5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5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5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5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5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5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5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5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5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5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5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5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5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5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5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431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Bahareh Kord</dc:creator>
  <cp:keywords/>
  <dc:description/>
  <cp:lastModifiedBy>SAHAND SHOP</cp:lastModifiedBy>
  <cp:revision>4</cp:revision>
  <dcterms:created xsi:type="dcterms:W3CDTF">2026-09-10T13:34:00Z</dcterms:created>
  <dcterms:modified xsi:type="dcterms:W3CDTF">2026-09-18T21:01:00Z</dcterms:modified>
</cp:coreProperties>
</file>