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1E4E2" w14:textId="38CD01B7" w:rsidR="00F209FE" w:rsidRPr="00F209FE" w:rsidRDefault="00411152" w:rsidP="00F20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209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Supplementary File 1 — Detailed Description of the Cheek C</w:t>
      </w:r>
      <w:r w:rsidRPr="00F209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noBreakHyphen/>
        <w:t xml:space="preserve">Stretch Technique </w:t>
      </w:r>
    </w:p>
    <w:p w14:paraId="71967024" w14:textId="77777777" w:rsidR="00F209FE" w:rsidRPr="00F209FE" w:rsidRDefault="00F209FE" w:rsidP="00F209F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09FE">
        <w:rPr>
          <w:rFonts w:ascii="Times New Roman" w:hAnsi="Times New Roman" w:cs="Times New Roman"/>
          <w:b/>
          <w:bCs/>
          <w:sz w:val="24"/>
          <w:szCs w:val="24"/>
        </w:rPr>
        <w:t>Title: Cheek C‑Stretch Technique for Oropharyngeal Colostrum Administration</w:t>
      </w:r>
    </w:p>
    <w:p w14:paraId="335909B5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79D620EB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1. Purpose of the Technique</w:t>
      </w:r>
    </w:p>
    <w:p w14:paraId="41BE1DAA" w14:textId="76DC18FD" w:rsidR="00F209FE" w:rsidRDefault="00E9019A" w:rsidP="00F209FE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The cheek C-stretch technique is used to ensure uniform distribution of colostrum across the buccal mucosa, enhance mucosal contact time, and minimize variability in administration between nurses.</w:t>
      </w:r>
    </w:p>
    <w:p w14:paraId="431B0C8F" w14:textId="77777777" w:rsidR="00E9019A" w:rsidRPr="00F209FE" w:rsidRDefault="00E9019A" w:rsidP="00F209FE">
      <w:pPr>
        <w:rPr>
          <w:rFonts w:ascii="Times New Roman" w:hAnsi="Times New Roman" w:cs="Times New Roman"/>
          <w:sz w:val="24"/>
          <w:szCs w:val="24"/>
        </w:rPr>
      </w:pPr>
    </w:p>
    <w:p w14:paraId="3584E404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2. Materials Required</w:t>
      </w:r>
    </w:p>
    <w:p w14:paraId="462C3E73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2A64A92E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Sterile gloves</w:t>
      </w:r>
    </w:p>
    <w:p w14:paraId="72BB16A9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1 mL sterile syringe containing expressed maternal colostrum</w:t>
      </w:r>
    </w:p>
    <w:p w14:paraId="0E614024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Sterile gauze</w:t>
      </w:r>
    </w:p>
    <w:p w14:paraId="43E66A89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NICU bedside monitoring equipment</w:t>
      </w:r>
    </w:p>
    <w:p w14:paraId="7991F237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6F06301F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3. Step-by-Step Procedure</w:t>
      </w:r>
    </w:p>
    <w:p w14:paraId="5B71171C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3.1 Preparation</w:t>
      </w:r>
    </w:p>
    <w:p w14:paraId="1C908522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6F503BC5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Verify infant identity and confirm eligibility for OAC.</w:t>
      </w:r>
    </w:p>
    <w:p w14:paraId="7411ED46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Ensure the infant is hemodynamically stable.</w:t>
      </w:r>
    </w:p>
    <w:p w14:paraId="6EC8883E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Wash hands and don sterile gloves.</w:t>
      </w:r>
    </w:p>
    <w:p w14:paraId="1E1FAF6E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Draw 0.2 mL colostrum into a sterile syringe.</w:t>
      </w:r>
    </w:p>
    <w:p w14:paraId="4099E102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6A59DF98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3.2 Performing the C‑Stretch</w:t>
      </w:r>
    </w:p>
    <w:p w14:paraId="14E3AA34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0275CD0C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· Position the infant in a neutral head position.</w:t>
      </w:r>
    </w:p>
    <w:p w14:paraId="7C47EB1F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· Using the gloved index finger, gently form a "C" shape with the thumb and index finger around the infant's cheek.</w:t>
      </w:r>
    </w:p>
    <w:p w14:paraId="6E13F315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· Apply gentle outward traction to slightly stretch the buccal mucosa.</w:t>
      </w:r>
    </w:p>
    <w:p w14:paraId="0E614FEA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lastRenderedPageBreak/>
        <w:t>· Using the index finger, apply colostrum evenly across the stretched mucosa of both cheeks.</w:t>
      </w:r>
    </w:p>
    <w:p w14:paraId="46436B0C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· Ensure total mucosal contact time of at least 2 minutes across both cheeks.</w:t>
      </w:r>
    </w:p>
    <w:p w14:paraId="50637EB3" w14:textId="236E7730" w:rsidR="00F209FE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· Repeat the application on the opposite cheek as needed to achieve the total contact time</w:t>
      </w:r>
    </w:p>
    <w:p w14:paraId="128F6F5E" w14:textId="77777777" w:rsidR="00E9019A" w:rsidRPr="00F209FE" w:rsidRDefault="00E9019A" w:rsidP="00E9019A">
      <w:pPr>
        <w:rPr>
          <w:rFonts w:ascii="Times New Roman" w:hAnsi="Times New Roman" w:cs="Times New Roman"/>
          <w:sz w:val="24"/>
          <w:szCs w:val="24"/>
        </w:rPr>
      </w:pPr>
    </w:p>
    <w:p w14:paraId="14007830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4. Training Procedures for NICU Staff</w:t>
      </w:r>
    </w:p>
    <w:p w14:paraId="710F9723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All NICU nurses received a 30‑minute hands‑on training session conducted by a neonatologist. Training included:</w:t>
      </w:r>
    </w:p>
    <w:p w14:paraId="7E26016A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13112856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Demonstration on a neonatal mannequin</w:t>
      </w:r>
    </w:p>
    <w:p w14:paraId="14452337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Practice under supervision</w:t>
      </w:r>
    </w:p>
    <w:p w14:paraId="3B64C2C2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Review of safety criteria</w:t>
      </w:r>
    </w:p>
    <w:p w14:paraId="239054C9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7311615B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Competency was confirmed using a 3‑step checklist:</w:t>
      </w:r>
    </w:p>
    <w:p w14:paraId="7CD0E50E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74F033CF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Correct hand positioning</w:t>
      </w:r>
    </w:p>
    <w:p w14:paraId="3E00716E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Adequate mucosal stretching</w:t>
      </w:r>
    </w:p>
    <w:p w14:paraId="320C4BB9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Full 2‑minute contact time (total across both cheeks)</w:t>
      </w:r>
    </w:p>
    <w:p w14:paraId="1CC1CBFB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51BB1281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5. Standardization and Reproducibility Measures</w:t>
      </w:r>
    </w:p>
    <w:p w14:paraId="10C1D328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To ensure consistency across staff:</w:t>
      </w:r>
    </w:p>
    <w:p w14:paraId="76CE5568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64AF799B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A visual guide was posted at each NICU bedside.</w:t>
      </w:r>
    </w:p>
    <w:p w14:paraId="3AD90ED8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Nurses documented: time of administration, side of cheek, infant tolerance.</w:t>
      </w:r>
    </w:p>
    <w:p w14:paraId="341B3EA6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Random audits were performed weekly by the study supervisor.</w:t>
      </w:r>
    </w:p>
    <w:p w14:paraId="143F3967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Any deviation from protocol triggered retraining.</w:t>
      </w:r>
    </w:p>
    <w:p w14:paraId="5889E8C0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3DB300C4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6. Safety Monitoring During the Technique</w:t>
      </w:r>
    </w:p>
    <w:p w14:paraId="001A744E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During each administration, nurses monitored:</w:t>
      </w:r>
    </w:p>
    <w:p w14:paraId="11EC80FF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</w:p>
    <w:p w14:paraId="391D7401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lastRenderedPageBreak/>
        <w:t>· Apnea</w:t>
      </w:r>
    </w:p>
    <w:p w14:paraId="39F82981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· Bradycardia (&lt;90 bpm)</w:t>
      </w:r>
    </w:p>
    <w:p w14:paraId="005D0F70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· Tachycardia (&gt;180 bpm)</w:t>
      </w:r>
    </w:p>
    <w:p w14:paraId="0D25D970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· Desaturation (SpO₂ &lt;88% for more than 10 seconds)</w:t>
      </w:r>
    </w:p>
    <w:p w14:paraId="00135571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· Mucosal injury</w:t>
      </w:r>
    </w:p>
    <w:p w14:paraId="00C170F0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· Signs of distress</w:t>
      </w:r>
    </w:p>
    <w:p w14:paraId="181667CF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</w:p>
    <w:p w14:paraId="2E992868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Monitoring continued during the administration and for 30 minutes after each administration.</w:t>
      </w:r>
    </w:p>
    <w:p w14:paraId="44AFE39D" w14:textId="77777777" w:rsidR="00E9019A" w:rsidRP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</w:p>
    <w:p w14:paraId="4286A391" w14:textId="77777777" w:rsid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  <w:r w:rsidRPr="00E9019A">
        <w:rPr>
          <w:rFonts w:ascii="Times New Roman" w:hAnsi="Times New Roman" w:cs="Times New Roman"/>
          <w:sz w:val="24"/>
          <w:szCs w:val="24"/>
        </w:rPr>
        <w:t>A total of 1,440 OAC administrations (45 infants × 4 administrations/day × 8 days) were scheduled, administered, and monitored. All 1,440 scheduled administrations were documented as administered; no doses were missed. No procedure-related adverse events occurred.</w:t>
      </w:r>
    </w:p>
    <w:p w14:paraId="58872F2F" w14:textId="77777777" w:rsidR="00E9019A" w:rsidRDefault="00E9019A" w:rsidP="00E9019A">
      <w:pPr>
        <w:rPr>
          <w:rFonts w:ascii="Times New Roman" w:hAnsi="Times New Roman" w:cs="Times New Roman"/>
          <w:sz w:val="24"/>
          <w:szCs w:val="24"/>
        </w:rPr>
      </w:pPr>
    </w:p>
    <w:p w14:paraId="062AEE17" w14:textId="423DD0FC" w:rsidR="00F209FE" w:rsidRPr="00F209FE" w:rsidRDefault="00F209FE" w:rsidP="00E9019A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7. Stopping Criteria</w:t>
      </w:r>
    </w:p>
    <w:p w14:paraId="37FC8F3E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The procedure was discontinued if:</w:t>
      </w:r>
    </w:p>
    <w:p w14:paraId="6F1021C6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58ECAA7B" w14:textId="4CD5CB2C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 xml:space="preserve">· SpO₂ </w:t>
      </w:r>
      <w:r w:rsidR="008F010D">
        <w:rPr>
          <w:rFonts w:ascii="Times New Roman" w:hAnsi="Times New Roman" w:cs="Times New Roman"/>
          <w:sz w:val="24"/>
          <w:szCs w:val="24"/>
        </w:rPr>
        <w:t>&lt;</w:t>
      </w:r>
      <w:r w:rsidRPr="00F209FE">
        <w:rPr>
          <w:rFonts w:ascii="Times New Roman" w:hAnsi="Times New Roman" w:cs="Times New Roman"/>
          <w:sz w:val="24"/>
          <w:szCs w:val="24"/>
        </w:rPr>
        <w:t xml:space="preserve"> 88%</w:t>
      </w:r>
      <w:r w:rsidR="008F010D">
        <w:rPr>
          <w:rFonts w:ascii="Times New Roman" w:hAnsi="Times New Roman" w:cs="Times New Roman"/>
          <w:sz w:val="24"/>
          <w:szCs w:val="24"/>
        </w:rPr>
        <w:t xml:space="preserve"> fpr more than 10 seconds not resolving with stimulation</w:t>
      </w:r>
    </w:p>
    <w:p w14:paraId="0A550CC6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Bradycardia &lt;90 bpm persisted &gt;10 seconds</w:t>
      </w:r>
    </w:p>
    <w:p w14:paraId="7BD7C478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Tachycardia &gt;180 bpm with signs of distress</w:t>
      </w:r>
    </w:p>
    <w:p w14:paraId="1F9926CF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Apnea &gt;20 seconds</w:t>
      </w:r>
    </w:p>
    <w:p w14:paraId="51728660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Visible mucosal injury</w:t>
      </w:r>
    </w:p>
    <w:p w14:paraId="3199ED0A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Nurse judged infant distress</w:t>
      </w:r>
    </w:p>
    <w:p w14:paraId="79275C24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7606C42A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8. Documentation Requirements</w:t>
      </w:r>
    </w:p>
    <w:p w14:paraId="7CA07F75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Each administration was recorded in the OAC log sheet including:</w:t>
      </w:r>
    </w:p>
    <w:p w14:paraId="3446A39D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14FF9E79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Date and time</w:t>
      </w:r>
    </w:p>
    <w:p w14:paraId="2D6F32AB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Volume administered</w:t>
      </w:r>
    </w:p>
    <w:p w14:paraId="1DF79221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Side of cheek</w:t>
      </w:r>
    </w:p>
    <w:p w14:paraId="3DADC4D2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lastRenderedPageBreak/>
        <w:t>· Infant response</w:t>
      </w:r>
    </w:p>
    <w:p w14:paraId="4E64750B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· Any adverse event</w:t>
      </w:r>
    </w:p>
    <w:p w14:paraId="7EEB0F25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</w:p>
    <w:p w14:paraId="1AB0EAB7" w14:textId="77777777" w:rsidR="00F209FE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9. Replicability Statement</w:t>
      </w:r>
    </w:p>
    <w:p w14:paraId="17AD8BBA" w14:textId="10293418" w:rsidR="003C1AFD" w:rsidRPr="00F209FE" w:rsidRDefault="00F209FE" w:rsidP="00F209FE">
      <w:pPr>
        <w:rPr>
          <w:rFonts w:ascii="Times New Roman" w:hAnsi="Times New Roman" w:cs="Times New Roman"/>
          <w:sz w:val="24"/>
          <w:szCs w:val="24"/>
        </w:rPr>
      </w:pPr>
      <w:r w:rsidRPr="00F209FE">
        <w:rPr>
          <w:rFonts w:ascii="Times New Roman" w:hAnsi="Times New Roman" w:cs="Times New Roman"/>
          <w:sz w:val="24"/>
          <w:szCs w:val="24"/>
        </w:rPr>
        <w:t>This protocol provides sufficient detail to allow replication in other NICUs and ensures consistency across staff and study sites.</w:t>
      </w:r>
    </w:p>
    <w:sectPr w:rsidR="003C1AFD" w:rsidRPr="00F209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34AB7"/>
    <w:multiLevelType w:val="multilevel"/>
    <w:tmpl w:val="039246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20E15"/>
    <w:multiLevelType w:val="multilevel"/>
    <w:tmpl w:val="C70492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5C591C"/>
    <w:multiLevelType w:val="multilevel"/>
    <w:tmpl w:val="9A1A3F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9D5E2A"/>
    <w:multiLevelType w:val="multilevel"/>
    <w:tmpl w:val="79A42E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6177A2"/>
    <w:multiLevelType w:val="multilevel"/>
    <w:tmpl w:val="9C2E04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4A35AC"/>
    <w:multiLevelType w:val="hybridMultilevel"/>
    <w:tmpl w:val="940C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B5950"/>
    <w:multiLevelType w:val="multilevel"/>
    <w:tmpl w:val="5908DA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9A5103"/>
    <w:multiLevelType w:val="multilevel"/>
    <w:tmpl w:val="53740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A6525D"/>
    <w:multiLevelType w:val="multilevel"/>
    <w:tmpl w:val="27287E0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7542230">
    <w:abstractNumId w:val="7"/>
  </w:num>
  <w:num w:numId="2" w16cid:durableId="119493827">
    <w:abstractNumId w:val="2"/>
  </w:num>
  <w:num w:numId="3" w16cid:durableId="1423138524">
    <w:abstractNumId w:val="0"/>
  </w:num>
  <w:num w:numId="4" w16cid:durableId="447437218">
    <w:abstractNumId w:val="6"/>
  </w:num>
  <w:num w:numId="5" w16cid:durableId="910043629">
    <w:abstractNumId w:val="3"/>
  </w:num>
  <w:num w:numId="6" w16cid:durableId="132912195">
    <w:abstractNumId w:val="1"/>
  </w:num>
  <w:num w:numId="7" w16cid:durableId="871961463">
    <w:abstractNumId w:val="8"/>
  </w:num>
  <w:num w:numId="8" w16cid:durableId="1670791961">
    <w:abstractNumId w:val="4"/>
  </w:num>
  <w:num w:numId="9" w16cid:durableId="11692975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52"/>
    <w:rsid w:val="001D40C6"/>
    <w:rsid w:val="003C1AFD"/>
    <w:rsid w:val="00411152"/>
    <w:rsid w:val="00415EED"/>
    <w:rsid w:val="00460B8F"/>
    <w:rsid w:val="00595D8F"/>
    <w:rsid w:val="00880BF7"/>
    <w:rsid w:val="008F010D"/>
    <w:rsid w:val="00902856"/>
    <w:rsid w:val="00D35A05"/>
    <w:rsid w:val="00DD28FD"/>
    <w:rsid w:val="00E9019A"/>
    <w:rsid w:val="00F209FE"/>
    <w:rsid w:val="00F24479"/>
    <w:rsid w:val="00F46723"/>
    <w:rsid w:val="00F8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F9325"/>
  <w15:chartTrackingRefBased/>
  <w15:docId w15:val="{8BC0A345-A3CF-4CE8-BA96-3F162640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1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1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1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1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1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1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1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15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5A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5A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Bahareh Kord</dc:creator>
  <cp:keywords/>
  <dc:description/>
  <cp:lastModifiedBy>SAHAND SHOP</cp:lastModifiedBy>
  <cp:revision>6</cp:revision>
  <dcterms:created xsi:type="dcterms:W3CDTF">2026-09-10T13:29:00Z</dcterms:created>
  <dcterms:modified xsi:type="dcterms:W3CDTF">2026-09-18T21:11:00Z</dcterms:modified>
</cp:coreProperties>
</file>