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1986D4" w14:textId="01BC9B53" w:rsidR="00906B70" w:rsidRDefault="00AA3774" w:rsidP="00D06BA7">
      <w:pPr>
        <w:pStyle w:val="Heading2"/>
        <w:jc w:val="both"/>
      </w:pPr>
      <w:r>
        <w:t xml:space="preserve">Additional File </w:t>
      </w:r>
      <w:r w:rsidR="00F01FA1">
        <w:t xml:space="preserve">1 </w:t>
      </w:r>
      <w:r w:rsidR="00265198">
        <w:t>[Supplementary methods and results]</w:t>
      </w:r>
    </w:p>
    <w:p w14:paraId="6F94DDC4" w14:textId="5A2475E8" w:rsidR="000434D7" w:rsidRDefault="000434D7" w:rsidP="00D06BA7">
      <w:pPr>
        <w:pStyle w:val="Heading4"/>
        <w:jc w:val="both"/>
      </w:pPr>
      <w:r>
        <w:t>Calculating epigenetic age and age acceleration</w:t>
      </w:r>
    </w:p>
    <w:p w14:paraId="6D2950EB" w14:textId="062C7F8E" w:rsidR="000434D7" w:rsidRDefault="000434D7" w:rsidP="00D06BA7">
      <w:pPr>
        <w:jc w:val="both"/>
      </w:pPr>
      <w:r w:rsidRPr="00F2651D">
        <w:t>The child’s age at b</w:t>
      </w:r>
      <w:bookmarkStart w:id="0" w:name="_GoBack"/>
      <w:bookmarkEnd w:id="0"/>
      <w:r w:rsidRPr="00F2651D">
        <w:t xml:space="preserve">iological sample collection was calculated from the child’s date of birth and date of surgery. </w:t>
      </w:r>
      <w:r>
        <w:t xml:space="preserve">We also predicted child’s ‘epigenetic age’ using the method developed by </w:t>
      </w:r>
      <w:r w:rsidR="002213B5">
        <w:t>Horvath</w:t>
      </w:r>
      <w:r w:rsidR="002213B5" w:rsidRPr="008A50F0">
        <w:rPr>
          <w:rStyle w:val="FootnoteReference"/>
        </w:rPr>
        <w:footnoteReference w:id="1"/>
      </w:r>
      <w:r w:rsidRPr="009F7733">
        <w:t xml:space="preserve">, which uses raw (not normalised) methylation values at 353 </w:t>
      </w:r>
      <w:proofErr w:type="spellStart"/>
      <w:r w:rsidRPr="009F7733">
        <w:t>CpG</w:t>
      </w:r>
      <w:proofErr w:type="spellEnd"/>
      <w:r w:rsidRPr="009F7733">
        <w:t xml:space="preserve"> sites on the </w:t>
      </w:r>
      <w:proofErr w:type="spellStart"/>
      <w:r w:rsidRPr="009F7733">
        <w:t>Illumina</w:t>
      </w:r>
      <w:proofErr w:type="spellEnd"/>
      <w:r w:rsidRPr="009F7733">
        <w:t xml:space="preserve"> HM450 array to estimate age. We uploaded raw methylation and actual age data to the online epigenetic clock calculator (http://labs.genetics.ucla.edu/horvath/dnamage/), which returned an output file containing the methylation predicted epigenetic age</w:t>
      </w:r>
      <w:r w:rsidR="009F7733" w:rsidRPr="009F7733">
        <w:t xml:space="preserve"> of each participant, estimated cell type proportions in each sample</w:t>
      </w:r>
      <w:r w:rsidRPr="009F7733">
        <w:t xml:space="preserve"> and an esti</w:t>
      </w:r>
      <w:r w:rsidR="00A91A90" w:rsidRPr="009F7733">
        <w:t xml:space="preserve">mate of age acceleration. This is calculated </w:t>
      </w:r>
      <w:r w:rsidRPr="009F7733">
        <w:t>as the residuals from a linear regression of epigenetic age on actual age at sample collection</w:t>
      </w:r>
      <w:r w:rsidR="009F7733" w:rsidRPr="009F7733">
        <w:t>, with adjustment for estimated cell type proportions</w:t>
      </w:r>
      <w:r w:rsidRPr="009F7733">
        <w:t>. A positive value corresponds to an individual whose epigenetic age is ahead of their actual age, and vice-versa.</w:t>
      </w:r>
    </w:p>
    <w:p w14:paraId="31835834" w14:textId="77777777" w:rsidR="009F7733" w:rsidRPr="000434D7" w:rsidRDefault="009F7733" w:rsidP="00D06BA7">
      <w:pPr>
        <w:jc w:val="both"/>
      </w:pPr>
    </w:p>
    <w:p w14:paraId="60A9FC47" w14:textId="2AB14108" w:rsidR="00F01FA1" w:rsidRPr="00F01FA1" w:rsidRDefault="00F01FA1" w:rsidP="00D06BA7">
      <w:pPr>
        <w:pStyle w:val="Heading4"/>
        <w:jc w:val="both"/>
      </w:pPr>
      <w:r w:rsidRPr="00F01FA1">
        <w:t xml:space="preserve">Assessing the efficacy of a methylation-predicted </w:t>
      </w:r>
      <w:r w:rsidR="00A91980">
        <w:t xml:space="preserve">prenatal </w:t>
      </w:r>
      <w:r w:rsidRPr="00F01FA1">
        <w:t>tobacco exposure score</w:t>
      </w:r>
    </w:p>
    <w:p w14:paraId="2B2F3998" w14:textId="42B1AEFF" w:rsidR="00A90FFD" w:rsidRPr="00D41DB4" w:rsidRDefault="00A90FFD" w:rsidP="00D06BA7">
      <w:pPr>
        <w:jc w:val="both"/>
      </w:pPr>
      <w:r w:rsidRPr="00D41DB4">
        <w:t xml:space="preserve">The efficacy of the methylation-predicted </w:t>
      </w:r>
      <w:r w:rsidR="00A91980" w:rsidRPr="00D41DB4">
        <w:t xml:space="preserve">prenatal </w:t>
      </w:r>
      <w:r w:rsidRPr="00D41DB4">
        <w:t xml:space="preserve">tobacco exposure score was assessed by running an EWAS of blood methylation regressed on the score and looking up the top </w:t>
      </w:r>
      <w:proofErr w:type="spellStart"/>
      <w:r w:rsidRPr="00D41DB4">
        <w:t>CpG</w:t>
      </w:r>
      <w:proofErr w:type="spellEnd"/>
      <w:r w:rsidRPr="00D41DB4">
        <w:t xml:space="preserve"> sites with the smallest P-values in the results of a previous maternal smoking EWAS meta-analysis</w:t>
      </w:r>
      <w:r w:rsidR="002213B5" w:rsidRPr="008A50F0">
        <w:rPr>
          <w:rStyle w:val="FootnoteReference"/>
        </w:rPr>
        <w:footnoteReference w:id="2"/>
      </w:r>
      <w:r w:rsidR="00A91980" w:rsidRPr="00D41DB4">
        <w:t>.</w:t>
      </w:r>
    </w:p>
    <w:p w14:paraId="1C9D4776" w14:textId="2D2576C1" w:rsidR="001F2326" w:rsidRDefault="00F01FA1" w:rsidP="00D06BA7">
      <w:pPr>
        <w:jc w:val="both"/>
      </w:pPr>
      <w:r w:rsidRPr="00D41DB4">
        <w:t>The EWAS of the</w:t>
      </w:r>
      <w:r w:rsidR="001F2326" w:rsidRPr="00D41DB4">
        <w:t xml:space="preserve"> methylation-predicted smoking score identified several </w:t>
      </w:r>
      <w:proofErr w:type="spellStart"/>
      <w:r w:rsidR="001F2326" w:rsidRPr="00D41DB4">
        <w:t>CpG</w:t>
      </w:r>
      <w:proofErr w:type="spellEnd"/>
      <w:r w:rsidR="001F2326" w:rsidRPr="00D41DB4">
        <w:t xml:space="preserve"> sites that have previously been associated wit</w:t>
      </w:r>
      <w:r w:rsidRPr="00D41DB4">
        <w:t>h maternal smoking in pregnancy (</w:t>
      </w:r>
      <w:r w:rsidR="005C2FF3" w:rsidRPr="00D41DB4">
        <w:t xml:space="preserve">top ten with smallest P-values shown in </w:t>
      </w:r>
      <w:r w:rsidRPr="00D41DB4">
        <w:t xml:space="preserve">Table 1), </w:t>
      </w:r>
      <w:r w:rsidR="001F2326" w:rsidRPr="00D41DB4">
        <w:t xml:space="preserve">so we can be reasonably confident that the smoking score provides an objective measure of the child’s </w:t>
      </w:r>
      <w:r w:rsidRPr="00D41DB4">
        <w:t xml:space="preserve">(prenatal) </w:t>
      </w:r>
      <w:r w:rsidR="001F2326" w:rsidRPr="00D41DB4">
        <w:t xml:space="preserve">tobacco exposure. Conversely, the top </w:t>
      </w:r>
      <w:r w:rsidR="005C2FF3" w:rsidRPr="00D41DB4">
        <w:t xml:space="preserve">ten </w:t>
      </w:r>
      <w:proofErr w:type="spellStart"/>
      <w:r w:rsidR="005C2FF3" w:rsidRPr="00D41DB4">
        <w:t>CpGs</w:t>
      </w:r>
      <w:proofErr w:type="spellEnd"/>
      <w:r w:rsidR="005C2FF3" w:rsidRPr="00D41DB4">
        <w:t xml:space="preserve"> with the smallest P-values from</w:t>
      </w:r>
      <w:r w:rsidR="001F2326" w:rsidRPr="00D41DB4">
        <w:t xml:space="preserve"> an EWAS of self-reported maternal smoking around the time of conception did not contain any </w:t>
      </w:r>
      <w:proofErr w:type="spellStart"/>
      <w:r w:rsidR="001F2326" w:rsidRPr="00D41DB4">
        <w:t>CpGs</w:t>
      </w:r>
      <w:proofErr w:type="spellEnd"/>
      <w:r w:rsidR="001F2326" w:rsidRPr="00D41DB4">
        <w:t xml:space="preserve"> that have previously been associated with tobacco smoke exposure (</w:t>
      </w:r>
      <w:r w:rsidRPr="00D41DB4">
        <w:t>Table 2</w:t>
      </w:r>
      <w:r w:rsidR="008A50F0">
        <w:t xml:space="preserve">). </w:t>
      </w:r>
    </w:p>
    <w:p w14:paraId="278179AC" w14:textId="4C61DED8" w:rsidR="008A50F0" w:rsidRPr="00D41DB4" w:rsidRDefault="008A50F0" w:rsidP="00D06BA7">
      <w:pPr>
        <w:jc w:val="both"/>
      </w:pPr>
      <w:r>
        <w:t>Additional adjustment for methylation-predicted tobacco exposure score did not substantially change results</w:t>
      </w:r>
      <w:r w:rsidR="00525889">
        <w:t xml:space="preserve"> of our OFC EWA studies</w:t>
      </w:r>
      <w:r>
        <w:t xml:space="preserve">: </w:t>
      </w:r>
      <w:proofErr w:type="gramStart"/>
      <w:r>
        <w:t>the</w:t>
      </w:r>
      <w:proofErr w:type="gramEnd"/>
      <w:r>
        <w:t xml:space="preserve"> Spearman correlation coefficient between regression coefficients in the main model and smoking-score-adjusted model ranged 0.98 to 0.99, with a median change in coefficients ranging from 6 to 16%.</w:t>
      </w:r>
    </w:p>
    <w:p w14:paraId="01211BBB" w14:textId="77777777" w:rsidR="00E76121" w:rsidRPr="00D41DB4" w:rsidRDefault="00E76121" w:rsidP="00D06BA7">
      <w:pPr>
        <w:jc w:val="both"/>
      </w:pPr>
    </w:p>
    <w:p w14:paraId="25905D67" w14:textId="7A2F1ED1" w:rsidR="000448BD" w:rsidRPr="000448BD" w:rsidRDefault="009F7733" w:rsidP="00D06BA7">
      <w:pPr>
        <w:widowControl w:val="0"/>
        <w:autoSpaceDE w:val="0"/>
        <w:autoSpaceDN w:val="0"/>
        <w:adjustRightInd w:val="0"/>
        <w:ind w:left="480" w:hanging="480"/>
        <w:jc w:val="both"/>
        <w:rPr>
          <w:rFonts w:ascii="Calibri" w:hAnsi="Calibri"/>
          <w:noProof/>
        </w:rPr>
      </w:pPr>
      <w:r w:rsidRPr="00D41DB4">
        <w:rPr>
          <w:b/>
        </w:rPr>
        <w:br w:type="page"/>
      </w:r>
      <w:r w:rsidR="00D41DB4" w:rsidRPr="00D41DB4">
        <w:rPr>
          <w:b/>
        </w:rPr>
        <w:fldChar w:fldCharType="begin" w:fldLock="1"/>
      </w:r>
      <w:r w:rsidR="00D41DB4" w:rsidRPr="00D41DB4">
        <w:rPr>
          <w:b/>
        </w:rPr>
        <w:instrText xml:space="preserve">ADDIN Mendeley Bibliography CSL_BIBLIOGRAPHY </w:instrText>
      </w:r>
      <w:r w:rsidR="00D41DB4" w:rsidRPr="00D41DB4">
        <w:rPr>
          <w:b/>
        </w:rPr>
        <w:fldChar w:fldCharType="separate"/>
      </w:r>
    </w:p>
    <w:p w14:paraId="6E3176CC" w14:textId="7CBE1EE0" w:rsidR="00E76121" w:rsidRPr="00EB354E" w:rsidRDefault="00D41DB4" w:rsidP="00D06BA7">
      <w:pPr>
        <w:jc w:val="both"/>
        <w:rPr>
          <w:b/>
        </w:rPr>
      </w:pPr>
      <w:r w:rsidRPr="00D41DB4">
        <w:rPr>
          <w:b/>
        </w:rPr>
        <w:lastRenderedPageBreak/>
        <w:fldChar w:fldCharType="end"/>
      </w:r>
      <w:r w:rsidR="00E76121" w:rsidRPr="00EB354E">
        <w:rPr>
          <w:b/>
        </w:rPr>
        <w:t xml:space="preserve">Table 1. </w:t>
      </w:r>
      <w:r w:rsidR="00D02108" w:rsidRPr="00EB354E">
        <w:rPr>
          <w:b/>
        </w:rPr>
        <w:t xml:space="preserve">Top ten </w:t>
      </w:r>
      <w:proofErr w:type="spellStart"/>
      <w:r w:rsidR="00D02108" w:rsidRPr="00EB354E">
        <w:rPr>
          <w:b/>
        </w:rPr>
        <w:t>CpGs</w:t>
      </w:r>
      <w:proofErr w:type="spellEnd"/>
      <w:r w:rsidR="00D02108" w:rsidRPr="00EB354E">
        <w:rPr>
          <w:b/>
        </w:rPr>
        <w:t xml:space="preserve"> with the smallest P-values in an EWAS of methylation-predicted </w:t>
      </w:r>
      <w:r w:rsidR="00A91980" w:rsidRPr="00EB354E">
        <w:rPr>
          <w:b/>
        </w:rPr>
        <w:t xml:space="preserve">prenatal </w:t>
      </w:r>
      <w:r w:rsidR="00D02108" w:rsidRPr="00EB354E">
        <w:rPr>
          <w:b/>
        </w:rPr>
        <w:t>tobacco exposure score</w:t>
      </w:r>
    </w:p>
    <w:tbl>
      <w:tblPr>
        <w:tblStyle w:val="TableGrid"/>
        <w:tblW w:w="5000" w:type="pct"/>
        <w:tblLayout w:type="fixed"/>
        <w:tblLook w:val="04A0" w:firstRow="1" w:lastRow="0" w:firstColumn="1" w:lastColumn="0" w:noHBand="0" w:noVBand="1"/>
      </w:tblPr>
      <w:tblGrid>
        <w:gridCol w:w="1838"/>
        <w:gridCol w:w="1166"/>
        <w:gridCol w:w="1503"/>
        <w:gridCol w:w="1501"/>
        <w:gridCol w:w="1503"/>
        <w:gridCol w:w="1499"/>
      </w:tblGrid>
      <w:tr w:rsidR="00D02108" w:rsidRPr="00D41DB4" w14:paraId="2872D27F" w14:textId="77777777" w:rsidTr="009F7733">
        <w:trPr>
          <w:trHeight w:val="300"/>
        </w:trPr>
        <w:tc>
          <w:tcPr>
            <w:tcW w:w="1020" w:type="pct"/>
            <w:noWrap/>
            <w:hideMark/>
          </w:tcPr>
          <w:p w14:paraId="0E5BE309" w14:textId="407C1AD7" w:rsidR="005C2FF3" w:rsidRPr="00D41DB4" w:rsidRDefault="00D02108" w:rsidP="00D22318">
            <w:pPr>
              <w:jc w:val="center"/>
              <w:rPr>
                <w:rFonts w:eastAsia="Times New Roman" w:cs="Times New Roman"/>
                <w:color w:val="000000"/>
                <w:lang w:eastAsia="en-GB"/>
              </w:rPr>
            </w:pPr>
            <w:proofErr w:type="spellStart"/>
            <w:r w:rsidRPr="00D41DB4">
              <w:rPr>
                <w:rFonts w:eastAsia="Times New Roman" w:cs="Times New Roman"/>
                <w:color w:val="000000"/>
                <w:lang w:eastAsia="en-GB"/>
              </w:rPr>
              <w:t>CpG</w:t>
            </w:r>
            <w:proofErr w:type="spellEnd"/>
          </w:p>
        </w:tc>
        <w:tc>
          <w:tcPr>
            <w:tcW w:w="647" w:type="pct"/>
            <w:noWrap/>
            <w:hideMark/>
          </w:tcPr>
          <w:p w14:paraId="7621810B"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BETA</w:t>
            </w:r>
          </w:p>
        </w:tc>
        <w:tc>
          <w:tcPr>
            <w:tcW w:w="834" w:type="pct"/>
            <w:noWrap/>
            <w:hideMark/>
          </w:tcPr>
          <w:p w14:paraId="7E608CB6"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SE</w:t>
            </w:r>
          </w:p>
        </w:tc>
        <w:tc>
          <w:tcPr>
            <w:tcW w:w="833" w:type="pct"/>
            <w:noWrap/>
            <w:hideMark/>
          </w:tcPr>
          <w:p w14:paraId="59031CEC" w14:textId="6D37963D" w:rsidR="005C2FF3" w:rsidRPr="00D41DB4" w:rsidRDefault="00D02108" w:rsidP="00D22318">
            <w:pPr>
              <w:jc w:val="center"/>
              <w:rPr>
                <w:rFonts w:eastAsia="Times New Roman" w:cs="Times New Roman"/>
                <w:color w:val="000000"/>
                <w:lang w:eastAsia="en-GB"/>
              </w:rPr>
            </w:pPr>
            <w:r w:rsidRPr="00D41DB4">
              <w:rPr>
                <w:rFonts w:eastAsia="Times New Roman" w:cs="Times New Roman"/>
                <w:color w:val="000000"/>
                <w:lang w:eastAsia="en-GB"/>
              </w:rPr>
              <w:t>P</w:t>
            </w:r>
          </w:p>
        </w:tc>
        <w:tc>
          <w:tcPr>
            <w:tcW w:w="834" w:type="pct"/>
            <w:noWrap/>
            <w:hideMark/>
          </w:tcPr>
          <w:p w14:paraId="67797ED8" w14:textId="4309B90B" w:rsidR="005C2FF3" w:rsidRPr="00D41DB4" w:rsidRDefault="00D02108" w:rsidP="00D22318">
            <w:pPr>
              <w:jc w:val="center"/>
              <w:rPr>
                <w:rFonts w:eastAsia="Times New Roman" w:cs="Times New Roman"/>
                <w:color w:val="000000"/>
                <w:lang w:eastAsia="en-GB"/>
              </w:rPr>
            </w:pPr>
            <w:r w:rsidRPr="00D41DB4">
              <w:rPr>
                <w:rFonts w:eastAsia="Times New Roman" w:cs="Times New Roman"/>
                <w:color w:val="000000"/>
                <w:lang w:eastAsia="en-GB"/>
              </w:rPr>
              <w:t>Gene</w:t>
            </w:r>
          </w:p>
        </w:tc>
        <w:tc>
          <w:tcPr>
            <w:tcW w:w="832" w:type="pct"/>
            <w:noWrap/>
            <w:hideMark/>
          </w:tcPr>
          <w:p w14:paraId="3B042100"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Previously associated with maternal smoking (direction of effect)</w:t>
            </w:r>
          </w:p>
        </w:tc>
      </w:tr>
      <w:tr w:rsidR="00D02108" w:rsidRPr="00D41DB4" w14:paraId="749AF880" w14:textId="77777777" w:rsidTr="009F7733">
        <w:trPr>
          <w:trHeight w:val="300"/>
        </w:trPr>
        <w:tc>
          <w:tcPr>
            <w:tcW w:w="1020" w:type="pct"/>
            <w:noWrap/>
            <w:hideMark/>
          </w:tcPr>
          <w:p w14:paraId="58020F47"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cg25949550</w:t>
            </w:r>
          </w:p>
        </w:tc>
        <w:tc>
          <w:tcPr>
            <w:tcW w:w="647" w:type="pct"/>
            <w:noWrap/>
            <w:hideMark/>
          </w:tcPr>
          <w:p w14:paraId="6210F906"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-0.03933</w:t>
            </w:r>
          </w:p>
        </w:tc>
        <w:tc>
          <w:tcPr>
            <w:tcW w:w="834" w:type="pct"/>
            <w:noWrap/>
            <w:hideMark/>
          </w:tcPr>
          <w:p w14:paraId="402E3A0A"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0.001668</w:t>
            </w:r>
          </w:p>
        </w:tc>
        <w:tc>
          <w:tcPr>
            <w:tcW w:w="833" w:type="pct"/>
            <w:noWrap/>
            <w:hideMark/>
          </w:tcPr>
          <w:p w14:paraId="487569D3"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1.05E-49</w:t>
            </w:r>
          </w:p>
        </w:tc>
        <w:tc>
          <w:tcPr>
            <w:tcW w:w="834" w:type="pct"/>
            <w:noWrap/>
            <w:hideMark/>
          </w:tcPr>
          <w:p w14:paraId="5B699579" w14:textId="77777777" w:rsidR="005C2FF3" w:rsidRPr="00D41DB4" w:rsidRDefault="005C2FF3" w:rsidP="00D22318">
            <w:pPr>
              <w:jc w:val="center"/>
              <w:rPr>
                <w:rFonts w:eastAsia="Times New Roman" w:cs="Times New Roman"/>
                <w:i/>
                <w:color w:val="000000"/>
                <w:lang w:eastAsia="en-GB"/>
              </w:rPr>
            </w:pPr>
            <w:r w:rsidRPr="00D41DB4">
              <w:rPr>
                <w:rFonts w:eastAsia="Times New Roman" w:cs="Times New Roman"/>
                <w:i/>
                <w:color w:val="000000"/>
                <w:lang w:eastAsia="en-GB"/>
              </w:rPr>
              <w:t>CNTNAP2</w:t>
            </w:r>
          </w:p>
        </w:tc>
        <w:tc>
          <w:tcPr>
            <w:tcW w:w="832" w:type="pct"/>
            <w:noWrap/>
            <w:hideMark/>
          </w:tcPr>
          <w:p w14:paraId="7C982A48"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TRUE (-)</w:t>
            </w:r>
          </w:p>
        </w:tc>
      </w:tr>
      <w:tr w:rsidR="00D02108" w:rsidRPr="00D41DB4" w14:paraId="3F6F2EEA" w14:textId="77777777" w:rsidTr="009F7733">
        <w:trPr>
          <w:trHeight w:val="300"/>
        </w:trPr>
        <w:tc>
          <w:tcPr>
            <w:tcW w:w="1020" w:type="pct"/>
            <w:noWrap/>
            <w:hideMark/>
          </w:tcPr>
          <w:p w14:paraId="783C3983"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cg05575921</w:t>
            </w:r>
          </w:p>
        </w:tc>
        <w:tc>
          <w:tcPr>
            <w:tcW w:w="647" w:type="pct"/>
            <w:noWrap/>
            <w:hideMark/>
          </w:tcPr>
          <w:p w14:paraId="39774FE6"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-0.04488</w:t>
            </w:r>
          </w:p>
        </w:tc>
        <w:tc>
          <w:tcPr>
            <w:tcW w:w="834" w:type="pct"/>
            <w:noWrap/>
            <w:hideMark/>
          </w:tcPr>
          <w:p w14:paraId="31410764"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0.007318</w:t>
            </w:r>
          </w:p>
        </w:tc>
        <w:tc>
          <w:tcPr>
            <w:tcW w:w="833" w:type="pct"/>
            <w:noWrap/>
            <w:hideMark/>
          </w:tcPr>
          <w:p w14:paraId="26C56331"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8.94E-09</w:t>
            </w:r>
          </w:p>
        </w:tc>
        <w:tc>
          <w:tcPr>
            <w:tcW w:w="834" w:type="pct"/>
            <w:noWrap/>
            <w:hideMark/>
          </w:tcPr>
          <w:p w14:paraId="7D7B1CCC" w14:textId="77777777" w:rsidR="005C2FF3" w:rsidRPr="00D41DB4" w:rsidRDefault="005C2FF3" w:rsidP="00D22318">
            <w:pPr>
              <w:jc w:val="center"/>
              <w:rPr>
                <w:rFonts w:eastAsia="Times New Roman" w:cs="Times New Roman"/>
                <w:i/>
                <w:color w:val="000000"/>
                <w:lang w:eastAsia="en-GB"/>
              </w:rPr>
            </w:pPr>
            <w:r w:rsidRPr="00D41DB4">
              <w:rPr>
                <w:rFonts w:eastAsia="Times New Roman" w:cs="Times New Roman"/>
                <w:i/>
                <w:color w:val="000000"/>
                <w:lang w:eastAsia="en-GB"/>
              </w:rPr>
              <w:t>AHRR</w:t>
            </w:r>
          </w:p>
        </w:tc>
        <w:tc>
          <w:tcPr>
            <w:tcW w:w="832" w:type="pct"/>
            <w:noWrap/>
            <w:hideMark/>
          </w:tcPr>
          <w:p w14:paraId="770CC1AE"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TRUE (-)</w:t>
            </w:r>
          </w:p>
        </w:tc>
      </w:tr>
      <w:tr w:rsidR="00D02108" w:rsidRPr="00D41DB4" w14:paraId="2ADB19F2" w14:textId="77777777" w:rsidTr="009F7733">
        <w:trPr>
          <w:trHeight w:val="300"/>
        </w:trPr>
        <w:tc>
          <w:tcPr>
            <w:tcW w:w="1020" w:type="pct"/>
            <w:noWrap/>
            <w:hideMark/>
          </w:tcPr>
          <w:p w14:paraId="2767A6D8"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cg17835016</w:t>
            </w:r>
          </w:p>
        </w:tc>
        <w:tc>
          <w:tcPr>
            <w:tcW w:w="647" w:type="pct"/>
            <w:noWrap/>
            <w:hideMark/>
          </w:tcPr>
          <w:p w14:paraId="4E786C28"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0.052397</w:t>
            </w:r>
          </w:p>
        </w:tc>
        <w:tc>
          <w:tcPr>
            <w:tcW w:w="834" w:type="pct"/>
            <w:noWrap/>
            <w:hideMark/>
          </w:tcPr>
          <w:p w14:paraId="7CDA2381"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0.009803</w:t>
            </w:r>
          </w:p>
        </w:tc>
        <w:tc>
          <w:tcPr>
            <w:tcW w:w="833" w:type="pct"/>
            <w:noWrap/>
            <w:hideMark/>
          </w:tcPr>
          <w:p w14:paraId="5790F80F"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3.75E-07</w:t>
            </w:r>
          </w:p>
        </w:tc>
        <w:tc>
          <w:tcPr>
            <w:tcW w:w="834" w:type="pct"/>
            <w:noWrap/>
            <w:hideMark/>
          </w:tcPr>
          <w:p w14:paraId="6F893C60" w14:textId="77777777" w:rsidR="005C2FF3" w:rsidRPr="00D41DB4" w:rsidRDefault="005C2FF3" w:rsidP="00D22318">
            <w:pPr>
              <w:jc w:val="center"/>
              <w:rPr>
                <w:rFonts w:eastAsia="Times New Roman" w:cs="Times New Roman"/>
                <w:i/>
                <w:color w:val="000000"/>
                <w:lang w:eastAsia="en-GB"/>
              </w:rPr>
            </w:pPr>
            <w:r w:rsidRPr="00D41DB4">
              <w:rPr>
                <w:rFonts w:eastAsia="Times New Roman" w:cs="Times New Roman"/>
                <w:i/>
                <w:color w:val="000000"/>
                <w:lang w:eastAsia="en-GB"/>
              </w:rPr>
              <w:t>F10</w:t>
            </w:r>
          </w:p>
        </w:tc>
        <w:tc>
          <w:tcPr>
            <w:tcW w:w="832" w:type="pct"/>
            <w:noWrap/>
            <w:hideMark/>
          </w:tcPr>
          <w:p w14:paraId="7EDE2269"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FALSE</w:t>
            </w:r>
          </w:p>
        </w:tc>
      </w:tr>
      <w:tr w:rsidR="00D02108" w:rsidRPr="00D41DB4" w14:paraId="7553A62B" w14:textId="77777777" w:rsidTr="009F7733">
        <w:trPr>
          <w:trHeight w:val="300"/>
        </w:trPr>
        <w:tc>
          <w:tcPr>
            <w:tcW w:w="1020" w:type="pct"/>
            <w:noWrap/>
            <w:hideMark/>
          </w:tcPr>
          <w:p w14:paraId="327F1FDF"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cg04180046</w:t>
            </w:r>
          </w:p>
        </w:tc>
        <w:tc>
          <w:tcPr>
            <w:tcW w:w="647" w:type="pct"/>
            <w:noWrap/>
            <w:hideMark/>
          </w:tcPr>
          <w:p w14:paraId="51F68860"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0.101677</w:t>
            </w:r>
          </w:p>
        </w:tc>
        <w:tc>
          <w:tcPr>
            <w:tcW w:w="834" w:type="pct"/>
            <w:noWrap/>
            <w:hideMark/>
          </w:tcPr>
          <w:p w14:paraId="79DAA6F5"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0.019729</w:t>
            </w:r>
          </w:p>
        </w:tc>
        <w:tc>
          <w:tcPr>
            <w:tcW w:w="833" w:type="pct"/>
            <w:noWrap/>
            <w:hideMark/>
          </w:tcPr>
          <w:p w14:paraId="54440E46"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8.87E-07</w:t>
            </w:r>
          </w:p>
        </w:tc>
        <w:tc>
          <w:tcPr>
            <w:tcW w:w="834" w:type="pct"/>
            <w:noWrap/>
            <w:hideMark/>
          </w:tcPr>
          <w:p w14:paraId="51E46447" w14:textId="77777777" w:rsidR="005C2FF3" w:rsidRPr="00D41DB4" w:rsidRDefault="005C2FF3" w:rsidP="00D22318">
            <w:pPr>
              <w:jc w:val="center"/>
              <w:rPr>
                <w:rFonts w:eastAsia="Times New Roman" w:cs="Times New Roman"/>
                <w:i/>
                <w:color w:val="000000"/>
                <w:lang w:eastAsia="en-GB"/>
              </w:rPr>
            </w:pPr>
            <w:r w:rsidRPr="00D41DB4">
              <w:rPr>
                <w:rFonts w:eastAsia="Times New Roman" w:cs="Times New Roman"/>
                <w:i/>
                <w:color w:val="000000"/>
                <w:lang w:eastAsia="en-GB"/>
              </w:rPr>
              <w:t>MYO1G</w:t>
            </w:r>
          </w:p>
        </w:tc>
        <w:tc>
          <w:tcPr>
            <w:tcW w:w="832" w:type="pct"/>
            <w:noWrap/>
            <w:hideMark/>
          </w:tcPr>
          <w:p w14:paraId="41E7D142"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TRUE (+)</w:t>
            </w:r>
          </w:p>
        </w:tc>
      </w:tr>
      <w:tr w:rsidR="00D02108" w:rsidRPr="00D41DB4" w14:paraId="7F37CE50" w14:textId="77777777" w:rsidTr="009F7733">
        <w:trPr>
          <w:trHeight w:val="300"/>
        </w:trPr>
        <w:tc>
          <w:tcPr>
            <w:tcW w:w="1020" w:type="pct"/>
            <w:noWrap/>
            <w:hideMark/>
          </w:tcPr>
          <w:p w14:paraId="251AAD9E"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cg15742848</w:t>
            </w:r>
          </w:p>
        </w:tc>
        <w:tc>
          <w:tcPr>
            <w:tcW w:w="647" w:type="pct"/>
            <w:noWrap/>
            <w:hideMark/>
          </w:tcPr>
          <w:p w14:paraId="0B8352C1"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-0.04682</w:t>
            </w:r>
          </w:p>
        </w:tc>
        <w:tc>
          <w:tcPr>
            <w:tcW w:w="834" w:type="pct"/>
            <w:noWrap/>
            <w:hideMark/>
          </w:tcPr>
          <w:p w14:paraId="480A6D1C"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0.0093</w:t>
            </w:r>
          </w:p>
        </w:tc>
        <w:tc>
          <w:tcPr>
            <w:tcW w:w="833" w:type="pct"/>
            <w:noWrap/>
            <w:hideMark/>
          </w:tcPr>
          <w:p w14:paraId="5308B173"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1.51E-06</w:t>
            </w:r>
          </w:p>
        </w:tc>
        <w:tc>
          <w:tcPr>
            <w:tcW w:w="834" w:type="pct"/>
            <w:noWrap/>
            <w:hideMark/>
          </w:tcPr>
          <w:p w14:paraId="0F8C604C" w14:textId="77777777" w:rsidR="005C2FF3" w:rsidRPr="00D41DB4" w:rsidRDefault="005C2FF3" w:rsidP="00D22318">
            <w:pPr>
              <w:jc w:val="center"/>
              <w:rPr>
                <w:rFonts w:eastAsia="Times New Roman" w:cs="Times New Roman"/>
                <w:i/>
                <w:color w:val="000000"/>
                <w:lang w:eastAsia="en-GB"/>
              </w:rPr>
            </w:pPr>
          </w:p>
        </w:tc>
        <w:tc>
          <w:tcPr>
            <w:tcW w:w="832" w:type="pct"/>
            <w:noWrap/>
            <w:hideMark/>
          </w:tcPr>
          <w:p w14:paraId="1756FD15"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FALSE</w:t>
            </w:r>
          </w:p>
        </w:tc>
      </w:tr>
      <w:tr w:rsidR="00D02108" w:rsidRPr="00D41DB4" w14:paraId="72508BCE" w14:textId="77777777" w:rsidTr="009F7733">
        <w:trPr>
          <w:trHeight w:val="300"/>
        </w:trPr>
        <w:tc>
          <w:tcPr>
            <w:tcW w:w="1020" w:type="pct"/>
            <w:noWrap/>
            <w:hideMark/>
          </w:tcPr>
          <w:p w14:paraId="1AF2E267"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cg05799169</w:t>
            </w:r>
          </w:p>
        </w:tc>
        <w:tc>
          <w:tcPr>
            <w:tcW w:w="647" w:type="pct"/>
            <w:noWrap/>
            <w:hideMark/>
          </w:tcPr>
          <w:p w14:paraId="72E44F53"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-0.03802</w:t>
            </w:r>
          </w:p>
        </w:tc>
        <w:tc>
          <w:tcPr>
            <w:tcW w:w="834" w:type="pct"/>
            <w:noWrap/>
            <w:hideMark/>
          </w:tcPr>
          <w:p w14:paraId="3BC40F0D"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0.007673</w:t>
            </w:r>
          </w:p>
        </w:tc>
        <w:tc>
          <w:tcPr>
            <w:tcW w:w="833" w:type="pct"/>
            <w:noWrap/>
            <w:hideMark/>
          </w:tcPr>
          <w:p w14:paraId="6B822EC7"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2.13E-06</w:t>
            </w:r>
          </w:p>
        </w:tc>
        <w:tc>
          <w:tcPr>
            <w:tcW w:w="834" w:type="pct"/>
            <w:noWrap/>
            <w:hideMark/>
          </w:tcPr>
          <w:p w14:paraId="7C4965F3" w14:textId="77777777" w:rsidR="005C2FF3" w:rsidRPr="00D41DB4" w:rsidRDefault="005C2FF3" w:rsidP="00D22318">
            <w:pPr>
              <w:jc w:val="center"/>
              <w:rPr>
                <w:rFonts w:eastAsia="Times New Roman" w:cs="Times New Roman"/>
                <w:i/>
                <w:color w:val="000000"/>
                <w:lang w:eastAsia="en-GB"/>
              </w:rPr>
            </w:pPr>
            <w:r w:rsidRPr="00D41DB4">
              <w:rPr>
                <w:rFonts w:eastAsia="Times New Roman" w:cs="Times New Roman"/>
                <w:i/>
                <w:color w:val="000000"/>
                <w:lang w:eastAsia="en-GB"/>
              </w:rPr>
              <w:t>PLXNB2</w:t>
            </w:r>
          </w:p>
        </w:tc>
        <w:tc>
          <w:tcPr>
            <w:tcW w:w="832" w:type="pct"/>
            <w:noWrap/>
            <w:hideMark/>
          </w:tcPr>
          <w:p w14:paraId="26D91D94"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FALSE</w:t>
            </w:r>
          </w:p>
        </w:tc>
      </w:tr>
      <w:tr w:rsidR="00D02108" w:rsidRPr="00D41DB4" w14:paraId="0B2B8A15" w14:textId="77777777" w:rsidTr="009F7733">
        <w:trPr>
          <w:trHeight w:val="300"/>
        </w:trPr>
        <w:tc>
          <w:tcPr>
            <w:tcW w:w="1020" w:type="pct"/>
            <w:noWrap/>
            <w:hideMark/>
          </w:tcPr>
          <w:p w14:paraId="17106443"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cg00794227</w:t>
            </w:r>
          </w:p>
        </w:tc>
        <w:tc>
          <w:tcPr>
            <w:tcW w:w="647" w:type="pct"/>
            <w:noWrap/>
            <w:hideMark/>
          </w:tcPr>
          <w:p w14:paraId="6AE30CB8"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0.009965</w:t>
            </w:r>
          </w:p>
        </w:tc>
        <w:tc>
          <w:tcPr>
            <w:tcW w:w="834" w:type="pct"/>
            <w:noWrap/>
            <w:hideMark/>
          </w:tcPr>
          <w:p w14:paraId="236BD965"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0.002027</w:t>
            </w:r>
          </w:p>
        </w:tc>
        <w:tc>
          <w:tcPr>
            <w:tcW w:w="833" w:type="pct"/>
            <w:noWrap/>
            <w:hideMark/>
          </w:tcPr>
          <w:p w14:paraId="7B7FB68E"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2.52E-06</w:t>
            </w:r>
          </w:p>
        </w:tc>
        <w:tc>
          <w:tcPr>
            <w:tcW w:w="834" w:type="pct"/>
            <w:noWrap/>
            <w:hideMark/>
          </w:tcPr>
          <w:p w14:paraId="6D8B4EA2" w14:textId="77777777" w:rsidR="005C2FF3" w:rsidRPr="00D41DB4" w:rsidRDefault="005C2FF3" w:rsidP="00D22318">
            <w:pPr>
              <w:jc w:val="center"/>
              <w:rPr>
                <w:rFonts w:eastAsia="Times New Roman" w:cs="Times New Roman"/>
                <w:i/>
                <w:color w:val="000000"/>
                <w:lang w:eastAsia="en-GB"/>
              </w:rPr>
            </w:pPr>
            <w:r w:rsidRPr="00D41DB4">
              <w:rPr>
                <w:rFonts w:eastAsia="Times New Roman" w:cs="Times New Roman"/>
                <w:i/>
                <w:color w:val="000000"/>
                <w:lang w:eastAsia="en-GB"/>
              </w:rPr>
              <w:t>PHACTR4</w:t>
            </w:r>
          </w:p>
        </w:tc>
        <w:tc>
          <w:tcPr>
            <w:tcW w:w="832" w:type="pct"/>
            <w:noWrap/>
            <w:hideMark/>
          </w:tcPr>
          <w:p w14:paraId="1454902B"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FALSE</w:t>
            </w:r>
          </w:p>
        </w:tc>
      </w:tr>
      <w:tr w:rsidR="00D02108" w:rsidRPr="00D41DB4" w14:paraId="5448B8ED" w14:textId="77777777" w:rsidTr="009F7733">
        <w:trPr>
          <w:trHeight w:val="300"/>
        </w:trPr>
        <w:tc>
          <w:tcPr>
            <w:tcW w:w="1020" w:type="pct"/>
            <w:noWrap/>
            <w:hideMark/>
          </w:tcPr>
          <w:p w14:paraId="205CED8B"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cg18613421</w:t>
            </w:r>
          </w:p>
        </w:tc>
        <w:tc>
          <w:tcPr>
            <w:tcW w:w="647" w:type="pct"/>
            <w:noWrap/>
            <w:hideMark/>
          </w:tcPr>
          <w:p w14:paraId="2811C3E4"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0.033871</w:t>
            </w:r>
          </w:p>
        </w:tc>
        <w:tc>
          <w:tcPr>
            <w:tcW w:w="834" w:type="pct"/>
            <w:noWrap/>
            <w:hideMark/>
          </w:tcPr>
          <w:p w14:paraId="4C94C5DD"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0.007002</w:t>
            </w:r>
          </w:p>
        </w:tc>
        <w:tc>
          <w:tcPr>
            <w:tcW w:w="833" w:type="pct"/>
            <w:noWrap/>
            <w:hideMark/>
          </w:tcPr>
          <w:p w14:paraId="0277866E"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3.53E-06</w:t>
            </w:r>
          </w:p>
        </w:tc>
        <w:tc>
          <w:tcPr>
            <w:tcW w:w="834" w:type="pct"/>
            <w:noWrap/>
            <w:hideMark/>
          </w:tcPr>
          <w:p w14:paraId="3E6CE6F4" w14:textId="77777777" w:rsidR="005C2FF3" w:rsidRPr="00D41DB4" w:rsidRDefault="005C2FF3" w:rsidP="00D22318">
            <w:pPr>
              <w:jc w:val="center"/>
              <w:rPr>
                <w:rFonts w:eastAsia="Times New Roman" w:cs="Times New Roman"/>
                <w:i/>
                <w:color w:val="000000"/>
                <w:lang w:eastAsia="en-GB"/>
              </w:rPr>
            </w:pPr>
            <w:r w:rsidRPr="00D41DB4">
              <w:rPr>
                <w:rFonts w:eastAsia="Times New Roman" w:cs="Times New Roman"/>
                <w:i/>
                <w:color w:val="000000"/>
                <w:lang w:eastAsia="en-GB"/>
              </w:rPr>
              <w:t>WDR72</w:t>
            </w:r>
          </w:p>
        </w:tc>
        <w:tc>
          <w:tcPr>
            <w:tcW w:w="832" w:type="pct"/>
            <w:noWrap/>
            <w:hideMark/>
          </w:tcPr>
          <w:p w14:paraId="72E4F2EF"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FALSE</w:t>
            </w:r>
          </w:p>
        </w:tc>
      </w:tr>
      <w:tr w:rsidR="00D02108" w:rsidRPr="00D41DB4" w14:paraId="1D7C844A" w14:textId="77777777" w:rsidTr="009F7733">
        <w:trPr>
          <w:trHeight w:val="300"/>
        </w:trPr>
        <w:tc>
          <w:tcPr>
            <w:tcW w:w="1020" w:type="pct"/>
            <w:noWrap/>
            <w:hideMark/>
          </w:tcPr>
          <w:p w14:paraId="04EB50EA"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cg02936263</w:t>
            </w:r>
          </w:p>
        </w:tc>
        <w:tc>
          <w:tcPr>
            <w:tcW w:w="647" w:type="pct"/>
            <w:noWrap/>
            <w:hideMark/>
          </w:tcPr>
          <w:p w14:paraId="528BDB4D"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0.033611</w:t>
            </w:r>
          </w:p>
        </w:tc>
        <w:tc>
          <w:tcPr>
            <w:tcW w:w="834" w:type="pct"/>
            <w:noWrap/>
            <w:hideMark/>
          </w:tcPr>
          <w:p w14:paraId="5A68FEF3"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0.00718</w:t>
            </w:r>
          </w:p>
        </w:tc>
        <w:tc>
          <w:tcPr>
            <w:tcW w:w="833" w:type="pct"/>
            <w:noWrap/>
            <w:hideMark/>
          </w:tcPr>
          <w:p w14:paraId="0909924A"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6.85E-06</w:t>
            </w:r>
          </w:p>
        </w:tc>
        <w:tc>
          <w:tcPr>
            <w:tcW w:w="834" w:type="pct"/>
            <w:noWrap/>
            <w:hideMark/>
          </w:tcPr>
          <w:p w14:paraId="4F3DC479" w14:textId="77777777" w:rsidR="005C2FF3" w:rsidRPr="00D41DB4" w:rsidRDefault="005C2FF3" w:rsidP="00D22318">
            <w:pPr>
              <w:jc w:val="center"/>
              <w:rPr>
                <w:rFonts w:eastAsia="Times New Roman" w:cs="Times New Roman"/>
                <w:i/>
                <w:color w:val="000000"/>
                <w:lang w:eastAsia="en-GB"/>
              </w:rPr>
            </w:pPr>
            <w:r w:rsidRPr="00D41DB4">
              <w:rPr>
                <w:rFonts w:eastAsia="Times New Roman" w:cs="Times New Roman"/>
                <w:i/>
                <w:color w:val="000000"/>
                <w:lang w:eastAsia="en-GB"/>
              </w:rPr>
              <w:t>CCL7</w:t>
            </w:r>
          </w:p>
        </w:tc>
        <w:tc>
          <w:tcPr>
            <w:tcW w:w="832" w:type="pct"/>
            <w:noWrap/>
            <w:hideMark/>
          </w:tcPr>
          <w:p w14:paraId="0FA73A84"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FALSE</w:t>
            </w:r>
          </w:p>
        </w:tc>
      </w:tr>
      <w:tr w:rsidR="00D02108" w:rsidRPr="00D41DB4" w14:paraId="445450D0" w14:textId="77777777" w:rsidTr="009F7733">
        <w:trPr>
          <w:trHeight w:val="300"/>
        </w:trPr>
        <w:tc>
          <w:tcPr>
            <w:tcW w:w="1020" w:type="pct"/>
            <w:noWrap/>
            <w:hideMark/>
          </w:tcPr>
          <w:p w14:paraId="4CEBD669"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cg22361075</w:t>
            </w:r>
          </w:p>
        </w:tc>
        <w:tc>
          <w:tcPr>
            <w:tcW w:w="647" w:type="pct"/>
            <w:noWrap/>
            <w:hideMark/>
          </w:tcPr>
          <w:p w14:paraId="0E8D5795"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-0.02094</w:t>
            </w:r>
          </w:p>
        </w:tc>
        <w:tc>
          <w:tcPr>
            <w:tcW w:w="834" w:type="pct"/>
            <w:noWrap/>
            <w:hideMark/>
          </w:tcPr>
          <w:p w14:paraId="5F65B602"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0.004497</w:t>
            </w:r>
          </w:p>
        </w:tc>
        <w:tc>
          <w:tcPr>
            <w:tcW w:w="833" w:type="pct"/>
            <w:noWrap/>
            <w:hideMark/>
          </w:tcPr>
          <w:p w14:paraId="5C04647C"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7.63E-06</w:t>
            </w:r>
          </w:p>
        </w:tc>
        <w:tc>
          <w:tcPr>
            <w:tcW w:w="834" w:type="pct"/>
            <w:noWrap/>
            <w:hideMark/>
          </w:tcPr>
          <w:p w14:paraId="2F8FC942" w14:textId="77777777" w:rsidR="005C2FF3" w:rsidRPr="00D41DB4" w:rsidRDefault="005C2FF3" w:rsidP="00D22318">
            <w:pPr>
              <w:jc w:val="center"/>
              <w:rPr>
                <w:rFonts w:eastAsia="Times New Roman" w:cs="Times New Roman"/>
                <w:i/>
                <w:color w:val="000000"/>
                <w:lang w:eastAsia="en-GB"/>
              </w:rPr>
            </w:pPr>
            <w:r w:rsidRPr="00D41DB4">
              <w:rPr>
                <w:rFonts w:eastAsia="Times New Roman" w:cs="Times New Roman"/>
                <w:i/>
                <w:color w:val="000000"/>
                <w:lang w:eastAsia="en-GB"/>
              </w:rPr>
              <w:t>GPSM2</w:t>
            </w:r>
          </w:p>
        </w:tc>
        <w:tc>
          <w:tcPr>
            <w:tcW w:w="832" w:type="pct"/>
            <w:noWrap/>
            <w:hideMark/>
          </w:tcPr>
          <w:p w14:paraId="3A28A525" w14:textId="77777777" w:rsidR="005C2FF3" w:rsidRPr="00D41DB4" w:rsidRDefault="005C2FF3" w:rsidP="00D22318">
            <w:pPr>
              <w:jc w:val="center"/>
              <w:rPr>
                <w:rFonts w:eastAsia="Times New Roman" w:cs="Times New Roman"/>
                <w:color w:val="000000"/>
                <w:lang w:eastAsia="en-GB"/>
              </w:rPr>
            </w:pPr>
            <w:r w:rsidRPr="00D41DB4">
              <w:rPr>
                <w:rFonts w:eastAsia="Times New Roman" w:cs="Times New Roman"/>
                <w:color w:val="000000"/>
                <w:lang w:eastAsia="en-GB"/>
              </w:rPr>
              <w:t>FALSE</w:t>
            </w:r>
          </w:p>
        </w:tc>
      </w:tr>
    </w:tbl>
    <w:p w14:paraId="2BBCA4CE" w14:textId="77777777" w:rsidR="00F01FA1" w:rsidRPr="00EB354E" w:rsidRDefault="00F01FA1" w:rsidP="00D06BA7">
      <w:pPr>
        <w:jc w:val="both"/>
      </w:pPr>
    </w:p>
    <w:p w14:paraId="78A72A00" w14:textId="424839AD" w:rsidR="00D02108" w:rsidRPr="00EB354E" w:rsidRDefault="00D02108" w:rsidP="00D06BA7">
      <w:pPr>
        <w:jc w:val="both"/>
        <w:rPr>
          <w:b/>
        </w:rPr>
      </w:pPr>
      <w:r w:rsidRPr="00EB354E">
        <w:rPr>
          <w:b/>
        </w:rPr>
        <w:t xml:space="preserve">Table 2. Top ten </w:t>
      </w:r>
      <w:proofErr w:type="spellStart"/>
      <w:r w:rsidRPr="00EB354E">
        <w:rPr>
          <w:b/>
        </w:rPr>
        <w:t>CpGs</w:t>
      </w:r>
      <w:proofErr w:type="spellEnd"/>
      <w:r w:rsidRPr="00EB354E">
        <w:rPr>
          <w:b/>
        </w:rPr>
        <w:t xml:space="preserve"> with the smallest P-values in an EWAS of </w:t>
      </w:r>
      <w:r w:rsidR="00A91980" w:rsidRPr="00EB354E">
        <w:rPr>
          <w:b/>
        </w:rPr>
        <w:t>self-reported maternal smoking around the time of conception</w:t>
      </w:r>
    </w:p>
    <w:tbl>
      <w:tblPr>
        <w:tblStyle w:val="TableGrid"/>
        <w:tblW w:w="9067" w:type="dxa"/>
        <w:tblLayout w:type="fixed"/>
        <w:tblLook w:val="04A0" w:firstRow="1" w:lastRow="0" w:firstColumn="1" w:lastColumn="0" w:noHBand="0" w:noVBand="1"/>
      </w:tblPr>
      <w:tblGrid>
        <w:gridCol w:w="1980"/>
        <w:gridCol w:w="1134"/>
        <w:gridCol w:w="1345"/>
        <w:gridCol w:w="1487"/>
        <w:gridCol w:w="1486"/>
        <w:gridCol w:w="1635"/>
      </w:tblGrid>
      <w:tr w:rsidR="00EB354E" w:rsidRPr="00EB354E" w14:paraId="4EEDAC28" w14:textId="77777777" w:rsidTr="00D22318">
        <w:trPr>
          <w:trHeight w:val="300"/>
        </w:trPr>
        <w:tc>
          <w:tcPr>
            <w:tcW w:w="1980" w:type="dxa"/>
            <w:noWrap/>
            <w:hideMark/>
          </w:tcPr>
          <w:p w14:paraId="1E9D4871" w14:textId="37252886" w:rsidR="00D02108" w:rsidRPr="00EB354E" w:rsidRDefault="00D02108" w:rsidP="00D22318">
            <w:pPr>
              <w:jc w:val="center"/>
              <w:rPr>
                <w:rFonts w:eastAsia="Times New Roman" w:cs="Times New Roman"/>
                <w:color w:val="000000"/>
                <w:lang w:eastAsia="en-GB"/>
              </w:rPr>
            </w:pPr>
            <w:proofErr w:type="spellStart"/>
            <w:r w:rsidRPr="00EB354E">
              <w:rPr>
                <w:rFonts w:eastAsia="Times New Roman" w:cs="Times New Roman"/>
                <w:color w:val="000000"/>
                <w:lang w:eastAsia="en-GB"/>
              </w:rPr>
              <w:t>CpG</w:t>
            </w:r>
            <w:proofErr w:type="spellEnd"/>
          </w:p>
        </w:tc>
        <w:tc>
          <w:tcPr>
            <w:tcW w:w="1134" w:type="dxa"/>
            <w:noWrap/>
            <w:hideMark/>
          </w:tcPr>
          <w:p w14:paraId="12F0D000"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BETA</w:t>
            </w:r>
          </w:p>
        </w:tc>
        <w:tc>
          <w:tcPr>
            <w:tcW w:w="1345" w:type="dxa"/>
            <w:noWrap/>
            <w:hideMark/>
          </w:tcPr>
          <w:p w14:paraId="3B684546"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SE</w:t>
            </w:r>
          </w:p>
        </w:tc>
        <w:tc>
          <w:tcPr>
            <w:tcW w:w="1487" w:type="dxa"/>
            <w:noWrap/>
            <w:hideMark/>
          </w:tcPr>
          <w:p w14:paraId="2A366DE4" w14:textId="538C2D36"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P</w:t>
            </w:r>
          </w:p>
        </w:tc>
        <w:tc>
          <w:tcPr>
            <w:tcW w:w="1486" w:type="dxa"/>
            <w:noWrap/>
            <w:hideMark/>
          </w:tcPr>
          <w:p w14:paraId="0522870B" w14:textId="7FD2D5D2"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Gene</w:t>
            </w:r>
          </w:p>
        </w:tc>
        <w:tc>
          <w:tcPr>
            <w:tcW w:w="1635" w:type="dxa"/>
            <w:noWrap/>
            <w:hideMark/>
          </w:tcPr>
          <w:p w14:paraId="18A361DA"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Previously associated with maternal smoking (direction of effect)</w:t>
            </w:r>
          </w:p>
        </w:tc>
      </w:tr>
      <w:tr w:rsidR="00EB354E" w:rsidRPr="00EB354E" w14:paraId="3EC00C9B" w14:textId="77777777" w:rsidTr="00D22318">
        <w:trPr>
          <w:trHeight w:val="300"/>
        </w:trPr>
        <w:tc>
          <w:tcPr>
            <w:tcW w:w="1980" w:type="dxa"/>
            <w:noWrap/>
            <w:hideMark/>
          </w:tcPr>
          <w:p w14:paraId="0EF24AB5"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ch.15.75593923F</w:t>
            </w:r>
          </w:p>
        </w:tc>
        <w:tc>
          <w:tcPr>
            <w:tcW w:w="1134" w:type="dxa"/>
            <w:noWrap/>
            <w:hideMark/>
          </w:tcPr>
          <w:p w14:paraId="0028C2DF"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0.020795</w:t>
            </w:r>
          </w:p>
        </w:tc>
        <w:tc>
          <w:tcPr>
            <w:tcW w:w="1345" w:type="dxa"/>
            <w:noWrap/>
            <w:hideMark/>
          </w:tcPr>
          <w:p w14:paraId="36C89292"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0.003081</w:t>
            </w:r>
          </w:p>
        </w:tc>
        <w:tc>
          <w:tcPr>
            <w:tcW w:w="1487" w:type="dxa"/>
            <w:noWrap/>
            <w:hideMark/>
          </w:tcPr>
          <w:p w14:paraId="47ABAF4D"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9.30E-08</w:t>
            </w:r>
          </w:p>
        </w:tc>
        <w:tc>
          <w:tcPr>
            <w:tcW w:w="1486" w:type="dxa"/>
            <w:noWrap/>
            <w:hideMark/>
          </w:tcPr>
          <w:p w14:paraId="2070F10B" w14:textId="77777777" w:rsidR="00D02108" w:rsidRPr="00EB354E" w:rsidRDefault="00D02108" w:rsidP="00D22318">
            <w:pPr>
              <w:jc w:val="center"/>
              <w:rPr>
                <w:rFonts w:eastAsia="Times New Roman" w:cs="Times New Roman"/>
                <w:i/>
                <w:color w:val="000000"/>
                <w:lang w:eastAsia="en-GB"/>
              </w:rPr>
            </w:pPr>
          </w:p>
        </w:tc>
        <w:tc>
          <w:tcPr>
            <w:tcW w:w="1635" w:type="dxa"/>
            <w:noWrap/>
            <w:hideMark/>
          </w:tcPr>
          <w:p w14:paraId="27DC0532"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r w:rsidR="00EB354E" w:rsidRPr="00EB354E" w14:paraId="55A5D7A1" w14:textId="77777777" w:rsidTr="00D22318">
        <w:trPr>
          <w:trHeight w:val="300"/>
        </w:trPr>
        <w:tc>
          <w:tcPr>
            <w:tcW w:w="1980" w:type="dxa"/>
            <w:noWrap/>
            <w:hideMark/>
          </w:tcPr>
          <w:p w14:paraId="68B06E0C"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cg23871860</w:t>
            </w:r>
          </w:p>
        </w:tc>
        <w:tc>
          <w:tcPr>
            <w:tcW w:w="1134" w:type="dxa"/>
            <w:noWrap/>
            <w:hideMark/>
          </w:tcPr>
          <w:p w14:paraId="537AB719"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-0.06596</w:t>
            </w:r>
          </w:p>
        </w:tc>
        <w:tc>
          <w:tcPr>
            <w:tcW w:w="1345" w:type="dxa"/>
            <w:noWrap/>
            <w:hideMark/>
          </w:tcPr>
          <w:p w14:paraId="25CF13C6"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0.010927</w:t>
            </w:r>
          </w:p>
        </w:tc>
        <w:tc>
          <w:tcPr>
            <w:tcW w:w="1487" w:type="dxa"/>
            <w:noWrap/>
            <w:hideMark/>
          </w:tcPr>
          <w:p w14:paraId="143656AB"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7.72E-07</w:t>
            </w:r>
          </w:p>
        </w:tc>
        <w:tc>
          <w:tcPr>
            <w:tcW w:w="1486" w:type="dxa"/>
            <w:noWrap/>
            <w:hideMark/>
          </w:tcPr>
          <w:p w14:paraId="03A79965" w14:textId="77777777" w:rsidR="00D02108" w:rsidRPr="00EB354E" w:rsidRDefault="00D02108" w:rsidP="00D22318">
            <w:pPr>
              <w:jc w:val="center"/>
              <w:rPr>
                <w:rFonts w:eastAsia="Times New Roman" w:cs="Times New Roman"/>
                <w:i/>
                <w:color w:val="000000"/>
                <w:lang w:eastAsia="en-GB"/>
              </w:rPr>
            </w:pPr>
            <w:r w:rsidRPr="00EB354E">
              <w:rPr>
                <w:rFonts w:eastAsia="Times New Roman" w:cs="Times New Roman"/>
                <w:i/>
                <w:color w:val="000000"/>
                <w:lang w:eastAsia="en-GB"/>
              </w:rPr>
              <w:t>FBXL3</w:t>
            </w:r>
          </w:p>
        </w:tc>
        <w:tc>
          <w:tcPr>
            <w:tcW w:w="1635" w:type="dxa"/>
            <w:noWrap/>
            <w:hideMark/>
          </w:tcPr>
          <w:p w14:paraId="4FB45ECE"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r w:rsidR="00EB354E" w:rsidRPr="00EB354E" w14:paraId="0C0155D4" w14:textId="77777777" w:rsidTr="00D22318">
        <w:trPr>
          <w:trHeight w:val="300"/>
        </w:trPr>
        <w:tc>
          <w:tcPr>
            <w:tcW w:w="1980" w:type="dxa"/>
            <w:noWrap/>
            <w:hideMark/>
          </w:tcPr>
          <w:p w14:paraId="564E30AD"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cg06733329</w:t>
            </w:r>
          </w:p>
        </w:tc>
        <w:tc>
          <w:tcPr>
            <w:tcW w:w="1134" w:type="dxa"/>
            <w:noWrap/>
            <w:hideMark/>
          </w:tcPr>
          <w:p w14:paraId="10AE39FD"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0.011267</w:t>
            </w:r>
          </w:p>
        </w:tc>
        <w:tc>
          <w:tcPr>
            <w:tcW w:w="1345" w:type="dxa"/>
            <w:noWrap/>
            <w:hideMark/>
          </w:tcPr>
          <w:p w14:paraId="06F349EC"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0.001925</w:t>
            </w:r>
          </w:p>
        </w:tc>
        <w:tc>
          <w:tcPr>
            <w:tcW w:w="1487" w:type="dxa"/>
            <w:noWrap/>
            <w:hideMark/>
          </w:tcPr>
          <w:p w14:paraId="3E67A040"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1.34E-06</w:t>
            </w:r>
          </w:p>
        </w:tc>
        <w:tc>
          <w:tcPr>
            <w:tcW w:w="1486" w:type="dxa"/>
            <w:noWrap/>
            <w:hideMark/>
          </w:tcPr>
          <w:p w14:paraId="287B95F6" w14:textId="0CD7CD40" w:rsidR="00D02108" w:rsidRPr="00EB354E" w:rsidRDefault="00D02108" w:rsidP="00D22318">
            <w:pPr>
              <w:jc w:val="center"/>
              <w:rPr>
                <w:rFonts w:eastAsia="Times New Roman" w:cs="Times New Roman"/>
                <w:i/>
                <w:color w:val="000000"/>
                <w:lang w:eastAsia="en-GB"/>
              </w:rPr>
            </w:pPr>
            <w:r w:rsidRPr="00EB354E">
              <w:rPr>
                <w:rFonts w:eastAsia="Times New Roman" w:cs="Times New Roman"/>
                <w:i/>
                <w:color w:val="000000"/>
                <w:lang w:eastAsia="en-GB"/>
              </w:rPr>
              <w:t>MXD3</w:t>
            </w:r>
          </w:p>
        </w:tc>
        <w:tc>
          <w:tcPr>
            <w:tcW w:w="1635" w:type="dxa"/>
            <w:noWrap/>
            <w:hideMark/>
          </w:tcPr>
          <w:p w14:paraId="2834C89F"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r w:rsidR="00EB354E" w:rsidRPr="00EB354E" w14:paraId="74357375" w14:textId="77777777" w:rsidTr="00D22318">
        <w:trPr>
          <w:trHeight w:val="300"/>
        </w:trPr>
        <w:tc>
          <w:tcPr>
            <w:tcW w:w="1980" w:type="dxa"/>
            <w:noWrap/>
            <w:hideMark/>
          </w:tcPr>
          <w:p w14:paraId="2A46663B"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cg10635145</w:t>
            </w:r>
          </w:p>
        </w:tc>
        <w:tc>
          <w:tcPr>
            <w:tcW w:w="1134" w:type="dxa"/>
            <w:noWrap/>
            <w:hideMark/>
          </w:tcPr>
          <w:p w14:paraId="69CCB275"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0.109274</w:t>
            </w:r>
          </w:p>
        </w:tc>
        <w:tc>
          <w:tcPr>
            <w:tcW w:w="1345" w:type="dxa"/>
            <w:noWrap/>
            <w:hideMark/>
          </w:tcPr>
          <w:p w14:paraId="6CE72837"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0.019942</w:t>
            </w:r>
          </w:p>
        </w:tc>
        <w:tc>
          <w:tcPr>
            <w:tcW w:w="1487" w:type="dxa"/>
            <w:noWrap/>
            <w:hideMark/>
          </w:tcPr>
          <w:p w14:paraId="7AFEAD87"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4.09E-06</w:t>
            </w:r>
          </w:p>
        </w:tc>
        <w:tc>
          <w:tcPr>
            <w:tcW w:w="1486" w:type="dxa"/>
            <w:noWrap/>
            <w:hideMark/>
          </w:tcPr>
          <w:p w14:paraId="17541572" w14:textId="48735D87" w:rsidR="00D02108" w:rsidRPr="00EB354E" w:rsidRDefault="00D02108" w:rsidP="00D22318">
            <w:pPr>
              <w:jc w:val="center"/>
              <w:rPr>
                <w:rFonts w:eastAsia="Times New Roman" w:cs="Times New Roman"/>
                <w:i/>
                <w:color w:val="000000"/>
                <w:lang w:eastAsia="en-GB"/>
              </w:rPr>
            </w:pPr>
            <w:r w:rsidRPr="00EB354E">
              <w:rPr>
                <w:rFonts w:eastAsia="Times New Roman" w:cs="Times New Roman"/>
                <w:i/>
                <w:color w:val="000000"/>
                <w:lang w:eastAsia="en-GB"/>
              </w:rPr>
              <w:t>BDNF</w:t>
            </w:r>
          </w:p>
        </w:tc>
        <w:tc>
          <w:tcPr>
            <w:tcW w:w="1635" w:type="dxa"/>
            <w:noWrap/>
            <w:hideMark/>
          </w:tcPr>
          <w:p w14:paraId="0FC78491"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r w:rsidR="00EB354E" w:rsidRPr="00EB354E" w14:paraId="31A68FC0" w14:textId="77777777" w:rsidTr="00D22318">
        <w:trPr>
          <w:trHeight w:val="300"/>
        </w:trPr>
        <w:tc>
          <w:tcPr>
            <w:tcW w:w="1980" w:type="dxa"/>
            <w:noWrap/>
            <w:hideMark/>
          </w:tcPr>
          <w:p w14:paraId="419B45F7"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cg06490869</w:t>
            </w:r>
          </w:p>
        </w:tc>
        <w:tc>
          <w:tcPr>
            <w:tcW w:w="1134" w:type="dxa"/>
            <w:noWrap/>
            <w:hideMark/>
          </w:tcPr>
          <w:p w14:paraId="7CD7F54F"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0.016523</w:t>
            </w:r>
          </w:p>
        </w:tc>
        <w:tc>
          <w:tcPr>
            <w:tcW w:w="1345" w:type="dxa"/>
            <w:noWrap/>
            <w:hideMark/>
          </w:tcPr>
          <w:p w14:paraId="03EADD13"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0.003008</w:t>
            </w:r>
          </w:p>
        </w:tc>
        <w:tc>
          <w:tcPr>
            <w:tcW w:w="1487" w:type="dxa"/>
            <w:noWrap/>
            <w:hideMark/>
          </w:tcPr>
          <w:p w14:paraId="642FE1AA"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4.31E-06</w:t>
            </w:r>
          </w:p>
        </w:tc>
        <w:tc>
          <w:tcPr>
            <w:tcW w:w="1486" w:type="dxa"/>
            <w:noWrap/>
            <w:hideMark/>
          </w:tcPr>
          <w:p w14:paraId="1BF126B4" w14:textId="77777777" w:rsidR="00D02108" w:rsidRPr="00EB354E" w:rsidRDefault="00D02108" w:rsidP="00D22318">
            <w:pPr>
              <w:jc w:val="center"/>
              <w:rPr>
                <w:rFonts w:eastAsia="Times New Roman" w:cs="Times New Roman"/>
                <w:i/>
                <w:color w:val="000000"/>
                <w:lang w:eastAsia="en-GB"/>
              </w:rPr>
            </w:pPr>
            <w:r w:rsidRPr="00EB354E">
              <w:rPr>
                <w:rFonts w:eastAsia="Times New Roman" w:cs="Times New Roman"/>
                <w:i/>
                <w:color w:val="000000"/>
                <w:lang w:eastAsia="en-GB"/>
              </w:rPr>
              <w:t>CRYM</w:t>
            </w:r>
          </w:p>
        </w:tc>
        <w:tc>
          <w:tcPr>
            <w:tcW w:w="1635" w:type="dxa"/>
            <w:noWrap/>
            <w:hideMark/>
          </w:tcPr>
          <w:p w14:paraId="0D66891B"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r w:rsidR="00EB354E" w:rsidRPr="00EB354E" w14:paraId="0149E7A2" w14:textId="77777777" w:rsidTr="00D22318">
        <w:trPr>
          <w:trHeight w:val="300"/>
        </w:trPr>
        <w:tc>
          <w:tcPr>
            <w:tcW w:w="1980" w:type="dxa"/>
            <w:noWrap/>
            <w:hideMark/>
          </w:tcPr>
          <w:p w14:paraId="5DE58267"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cg26963545</w:t>
            </w:r>
          </w:p>
        </w:tc>
        <w:tc>
          <w:tcPr>
            <w:tcW w:w="1134" w:type="dxa"/>
            <w:noWrap/>
            <w:hideMark/>
          </w:tcPr>
          <w:p w14:paraId="48C89876"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-0.0091</w:t>
            </w:r>
          </w:p>
        </w:tc>
        <w:tc>
          <w:tcPr>
            <w:tcW w:w="1345" w:type="dxa"/>
            <w:noWrap/>
            <w:hideMark/>
          </w:tcPr>
          <w:p w14:paraId="528DC80C"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0.001685</w:t>
            </w:r>
          </w:p>
        </w:tc>
        <w:tc>
          <w:tcPr>
            <w:tcW w:w="1487" w:type="dxa"/>
            <w:noWrap/>
            <w:hideMark/>
          </w:tcPr>
          <w:p w14:paraId="244064C1"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5.20E-06</w:t>
            </w:r>
          </w:p>
        </w:tc>
        <w:tc>
          <w:tcPr>
            <w:tcW w:w="1486" w:type="dxa"/>
            <w:noWrap/>
            <w:hideMark/>
          </w:tcPr>
          <w:p w14:paraId="55660545" w14:textId="3AF79DF4" w:rsidR="00D02108" w:rsidRPr="00EB354E" w:rsidRDefault="00D02108" w:rsidP="00D22318">
            <w:pPr>
              <w:jc w:val="center"/>
              <w:rPr>
                <w:rFonts w:eastAsia="Times New Roman" w:cs="Times New Roman"/>
                <w:i/>
                <w:color w:val="000000"/>
                <w:lang w:eastAsia="en-GB"/>
              </w:rPr>
            </w:pPr>
            <w:r w:rsidRPr="00EB354E">
              <w:rPr>
                <w:rFonts w:eastAsia="Times New Roman" w:cs="Times New Roman"/>
                <w:i/>
                <w:color w:val="000000"/>
                <w:lang w:eastAsia="en-GB"/>
              </w:rPr>
              <w:t>NEURL4;GPS2</w:t>
            </w:r>
          </w:p>
        </w:tc>
        <w:tc>
          <w:tcPr>
            <w:tcW w:w="1635" w:type="dxa"/>
            <w:noWrap/>
            <w:hideMark/>
          </w:tcPr>
          <w:p w14:paraId="45E51B02"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r w:rsidR="00EB354E" w:rsidRPr="00EB354E" w14:paraId="77B068A4" w14:textId="77777777" w:rsidTr="00D22318">
        <w:trPr>
          <w:trHeight w:val="300"/>
        </w:trPr>
        <w:tc>
          <w:tcPr>
            <w:tcW w:w="1980" w:type="dxa"/>
            <w:noWrap/>
            <w:hideMark/>
          </w:tcPr>
          <w:p w14:paraId="0B47E568"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cg10861135</w:t>
            </w:r>
          </w:p>
        </w:tc>
        <w:tc>
          <w:tcPr>
            <w:tcW w:w="1134" w:type="dxa"/>
            <w:noWrap/>
            <w:hideMark/>
          </w:tcPr>
          <w:p w14:paraId="6038790F"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0.187296</w:t>
            </w:r>
          </w:p>
        </w:tc>
        <w:tc>
          <w:tcPr>
            <w:tcW w:w="1345" w:type="dxa"/>
            <w:noWrap/>
            <w:hideMark/>
          </w:tcPr>
          <w:p w14:paraId="71891537"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0.034772</w:t>
            </w:r>
          </w:p>
        </w:tc>
        <w:tc>
          <w:tcPr>
            <w:tcW w:w="1487" w:type="dxa"/>
            <w:noWrap/>
            <w:hideMark/>
          </w:tcPr>
          <w:p w14:paraId="32FFE28E"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5.41E-06</w:t>
            </w:r>
          </w:p>
        </w:tc>
        <w:tc>
          <w:tcPr>
            <w:tcW w:w="1486" w:type="dxa"/>
            <w:noWrap/>
            <w:hideMark/>
          </w:tcPr>
          <w:p w14:paraId="1DA339EE" w14:textId="77777777" w:rsidR="00D02108" w:rsidRPr="00EB354E" w:rsidRDefault="00D02108" w:rsidP="00D22318">
            <w:pPr>
              <w:jc w:val="center"/>
              <w:rPr>
                <w:rFonts w:eastAsia="Times New Roman" w:cs="Times New Roman"/>
                <w:i/>
                <w:color w:val="000000"/>
                <w:lang w:eastAsia="en-GB"/>
              </w:rPr>
            </w:pPr>
          </w:p>
        </w:tc>
        <w:tc>
          <w:tcPr>
            <w:tcW w:w="1635" w:type="dxa"/>
            <w:noWrap/>
            <w:hideMark/>
          </w:tcPr>
          <w:p w14:paraId="19F218DC"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r w:rsidR="00EB354E" w:rsidRPr="00EB354E" w14:paraId="295E1778" w14:textId="77777777" w:rsidTr="00D22318">
        <w:trPr>
          <w:trHeight w:val="300"/>
        </w:trPr>
        <w:tc>
          <w:tcPr>
            <w:tcW w:w="1980" w:type="dxa"/>
            <w:noWrap/>
            <w:hideMark/>
          </w:tcPr>
          <w:p w14:paraId="45AB48AC"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cg04675861</w:t>
            </w:r>
          </w:p>
        </w:tc>
        <w:tc>
          <w:tcPr>
            <w:tcW w:w="1134" w:type="dxa"/>
            <w:noWrap/>
            <w:hideMark/>
          </w:tcPr>
          <w:p w14:paraId="570FDA4E"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0.004015</w:t>
            </w:r>
          </w:p>
        </w:tc>
        <w:tc>
          <w:tcPr>
            <w:tcW w:w="1345" w:type="dxa"/>
            <w:noWrap/>
            <w:hideMark/>
          </w:tcPr>
          <w:p w14:paraId="1636CACA"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0.000747</w:t>
            </w:r>
          </w:p>
        </w:tc>
        <w:tc>
          <w:tcPr>
            <w:tcW w:w="1487" w:type="dxa"/>
            <w:noWrap/>
            <w:hideMark/>
          </w:tcPr>
          <w:p w14:paraId="4F0E62CD"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5.59E-06</w:t>
            </w:r>
          </w:p>
        </w:tc>
        <w:tc>
          <w:tcPr>
            <w:tcW w:w="1486" w:type="dxa"/>
            <w:noWrap/>
            <w:hideMark/>
          </w:tcPr>
          <w:p w14:paraId="75F12DE2" w14:textId="77777777" w:rsidR="00D02108" w:rsidRPr="00EB354E" w:rsidRDefault="00D02108" w:rsidP="00D22318">
            <w:pPr>
              <w:jc w:val="center"/>
              <w:rPr>
                <w:rFonts w:eastAsia="Times New Roman" w:cs="Times New Roman"/>
                <w:i/>
                <w:color w:val="000000"/>
                <w:lang w:eastAsia="en-GB"/>
              </w:rPr>
            </w:pPr>
          </w:p>
        </w:tc>
        <w:tc>
          <w:tcPr>
            <w:tcW w:w="1635" w:type="dxa"/>
            <w:noWrap/>
            <w:hideMark/>
          </w:tcPr>
          <w:p w14:paraId="407A2805"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r w:rsidR="00EB354E" w:rsidRPr="00EB354E" w14:paraId="26B7EAA6" w14:textId="77777777" w:rsidTr="00D22318">
        <w:trPr>
          <w:trHeight w:val="300"/>
        </w:trPr>
        <w:tc>
          <w:tcPr>
            <w:tcW w:w="1980" w:type="dxa"/>
            <w:noWrap/>
            <w:hideMark/>
          </w:tcPr>
          <w:p w14:paraId="19B70D4B"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cg04158367</w:t>
            </w:r>
          </w:p>
        </w:tc>
        <w:tc>
          <w:tcPr>
            <w:tcW w:w="1134" w:type="dxa"/>
            <w:noWrap/>
            <w:hideMark/>
          </w:tcPr>
          <w:p w14:paraId="1E85C0A7"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0.008841</w:t>
            </w:r>
          </w:p>
        </w:tc>
        <w:tc>
          <w:tcPr>
            <w:tcW w:w="1345" w:type="dxa"/>
            <w:noWrap/>
            <w:hideMark/>
          </w:tcPr>
          <w:p w14:paraId="0C3C884F"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0.00162</w:t>
            </w:r>
          </w:p>
        </w:tc>
        <w:tc>
          <w:tcPr>
            <w:tcW w:w="1487" w:type="dxa"/>
            <w:noWrap/>
            <w:hideMark/>
          </w:tcPr>
          <w:p w14:paraId="0945F6AD"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8.97E-06</w:t>
            </w:r>
          </w:p>
        </w:tc>
        <w:tc>
          <w:tcPr>
            <w:tcW w:w="1486" w:type="dxa"/>
            <w:noWrap/>
            <w:hideMark/>
          </w:tcPr>
          <w:p w14:paraId="5C14F242" w14:textId="77777777" w:rsidR="00D02108" w:rsidRPr="00EB354E" w:rsidRDefault="00D02108" w:rsidP="00D22318">
            <w:pPr>
              <w:jc w:val="center"/>
              <w:rPr>
                <w:rFonts w:eastAsia="Times New Roman" w:cs="Times New Roman"/>
                <w:i/>
                <w:color w:val="000000"/>
                <w:lang w:eastAsia="en-GB"/>
              </w:rPr>
            </w:pPr>
            <w:r w:rsidRPr="00EB354E">
              <w:rPr>
                <w:rFonts w:eastAsia="Times New Roman" w:cs="Times New Roman"/>
                <w:i/>
                <w:color w:val="000000"/>
                <w:lang w:eastAsia="en-GB"/>
              </w:rPr>
              <w:t>GFI1;GFI1</w:t>
            </w:r>
          </w:p>
        </w:tc>
        <w:tc>
          <w:tcPr>
            <w:tcW w:w="1635" w:type="dxa"/>
            <w:noWrap/>
            <w:hideMark/>
          </w:tcPr>
          <w:p w14:paraId="2A9EBCA6"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r w:rsidR="00EB354E" w:rsidRPr="00EB354E" w14:paraId="1EC3B555" w14:textId="77777777" w:rsidTr="00D22318">
        <w:trPr>
          <w:trHeight w:val="300"/>
        </w:trPr>
        <w:tc>
          <w:tcPr>
            <w:tcW w:w="1980" w:type="dxa"/>
            <w:noWrap/>
            <w:hideMark/>
          </w:tcPr>
          <w:p w14:paraId="78B19A93"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cg26697583</w:t>
            </w:r>
          </w:p>
        </w:tc>
        <w:tc>
          <w:tcPr>
            <w:tcW w:w="1134" w:type="dxa"/>
            <w:noWrap/>
            <w:hideMark/>
          </w:tcPr>
          <w:p w14:paraId="5083E30D"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0.141123</w:t>
            </w:r>
          </w:p>
        </w:tc>
        <w:tc>
          <w:tcPr>
            <w:tcW w:w="1345" w:type="dxa"/>
            <w:noWrap/>
            <w:hideMark/>
          </w:tcPr>
          <w:p w14:paraId="6EAA480E"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0.0278</w:t>
            </w:r>
          </w:p>
        </w:tc>
        <w:tc>
          <w:tcPr>
            <w:tcW w:w="1487" w:type="dxa"/>
            <w:noWrap/>
            <w:hideMark/>
          </w:tcPr>
          <w:p w14:paraId="159B353A"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1.37E-05</w:t>
            </w:r>
          </w:p>
        </w:tc>
        <w:tc>
          <w:tcPr>
            <w:tcW w:w="1486" w:type="dxa"/>
            <w:noWrap/>
            <w:hideMark/>
          </w:tcPr>
          <w:p w14:paraId="7E55BA86" w14:textId="77777777" w:rsidR="00D02108" w:rsidRPr="00EB354E" w:rsidRDefault="00D02108" w:rsidP="00D22318">
            <w:pPr>
              <w:jc w:val="center"/>
              <w:rPr>
                <w:rFonts w:eastAsia="Times New Roman" w:cs="Times New Roman"/>
                <w:color w:val="000000"/>
                <w:lang w:eastAsia="en-GB"/>
              </w:rPr>
            </w:pPr>
          </w:p>
        </w:tc>
        <w:tc>
          <w:tcPr>
            <w:tcW w:w="1635" w:type="dxa"/>
            <w:noWrap/>
            <w:hideMark/>
          </w:tcPr>
          <w:p w14:paraId="39E19952" w14:textId="77777777" w:rsidR="00D02108" w:rsidRPr="00EB354E" w:rsidRDefault="00D02108" w:rsidP="00D22318">
            <w:pPr>
              <w:jc w:val="center"/>
              <w:rPr>
                <w:rFonts w:eastAsia="Times New Roman" w:cs="Times New Roman"/>
                <w:color w:val="000000"/>
                <w:lang w:eastAsia="en-GB"/>
              </w:rPr>
            </w:pPr>
            <w:r w:rsidRPr="00EB354E">
              <w:rPr>
                <w:rFonts w:eastAsia="Times New Roman" w:cs="Times New Roman"/>
                <w:color w:val="000000"/>
                <w:lang w:eastAsia="en-GB"/>
              </w:rPr>
              <w:t>FALSE</w:t>
            </w:r>
          </w:p>
        </w:tc>
      </w:tr>
    </w:tbl>
    <w:p w14:paraId="1047071B" w14:textId="77777777" w:rsidR="00A91980" w:rsidRDefault="00A91980" w:rsidP="00D06BA7">
      <w:pPr>
        <w:jc w:val="both"/>
        <w:rPr>
          <w:sz w:val="22"/>
        </w:rPr>
      </w:pPr>
    </w:p>
    <w:p w14:paraId="24B36765" w14:textId="77777777" w:rsidR="00265198" w:rsidRDefault="00265198" w:rsidP="00D06BA7">
      <w:pPr>
        <w:jc w:val="both"/>
        <w:rPr>
          <w:sz w:val="22"/>
        </w:rPr>
      </w:pPr>
    </w:p>
    <w:p w14:paraId="11925673" w14:textId="77777777" w:rsidR="00265198" w:rsidRDefault="00265198" w:rsidP="00D06BA7">
      <w:pPr>
        <w:jc w:val="both"/>
        <w:rPr>
          <w:sz w:val="22"/>
        </w:rPr>
      </w:pPr>
    </w:p>
    <w:p w14:paraId="360B3B91" w14:textId="77777777" w:rsidR="00265198" w:rsidRDefault="00265198" w:rsidP="00D06BA7">
      <w:pPr>
        <w:jc w:val="both"/>
        <w:rPr>
          <w:sz w:val="22"/>
        </w:rPr>
      </w:pPr>
    </w:p>
    <w:p w14:paraId="540C1306" w14:textId="77777777" w:rsidR="00265198" w:rsidRDefault="00265198" w:rsidP="00D06BA7">
      <w:pPr>
        <w:jc w:val="both"/>
        <w:rPr>
          <w:sz w:val="22"/>
        </w:rPr>
      </w:pPr>
    </w:p>
    <w:p w14:paraId="31544324" w14:textId="0E211084" w:rsidR="00525889" w:rsidRDefault="00525889" w:rsidP="00D06BA7">
      <w:pPr>
        <w:pStyle w:val="Heading4"/>
        <w:jc w:val="both"/>
      </w:pPr>
      <w:r>
        <w:lastRenderedPageBreak/>
        <w:t>Sensitivity analysis: a different approach to adjust for batch and cell types</w:t>
      </w:r>
    </w:p>
    <w:p w14:paraId="37A6FB82" w14:textId="11187D84" w:rsidR="00525889" w:rsidRDefault="00525889" w:rsidP="00D06BA7">
      <w:pPr>
        <w:jc w:val="both"/>
      </w:pPr>
      <w:r>
        <w:t>Results from the main EWAS models, where technical variables and cellular heterogeneity were corrected for using surrogate variables, agreed reasonably well with results from a model adjusting for chip number and cell counts estimated using the Houseman method (Spearman correlation coefficients ranging 0.50 to 0.78, median change in coefficients ranging 65 to 105%).</w:t>
      </w:r>
    </w:p>
    <w:p w14:paraId="258342D0" w14:textId="77777777" w:rsidR="00525889" w:rsidRPr="00525889" w:rsidRDefault="00525889" w:rsidP="00D06BA7">
      <w:pPr>
        <w:jc w:val="both"/>
      </w:pPr>
    </w:p>
    <w:p w14:paraId="236AC5DC" w14:textId="4310D651" w:rsidR="005101AF" w:rsidRDefault="005101AF" w:rsidP="00D06BA7">
      <w:pPr>
        <w:pStyle w:val="Heading4"/>
        <w:jc w:val="both"/>
      </w:pPr>
      <w:r>
        <w:t xml:space="preserve">Assessing whether ‘age-related </w:t>
      </w:r>
      <w:proofErr w:type="spellStart"/>
      <w:r>
        <w:t>CpGs’</w:t>
      </w:r>
      <w:proofErr w:type="spellEnd"/>
      <w:r>
        <w:t xml:space="preserve"> are associated with age, independent of OFC subtype</w:t>
      </w:r>
    </w:p>
    <w:p w14:paraId="6A551990" w14:textId="355BB029" w:rsidR="00724AA5" w:rsidRDefault="005101AF" w:rsidP="00D06BA7">
      <w:pPr>
        <w:jc w:val="both"/>
      </w:pPr>
      <w:r>
        <w:t>Children with CLO and CLP were younger than children with CPO, so w</w:t>
      </w:r>
      <w:r w:rsidRPr="009C7C50">
        <w:t xml:space="preserve">e considered that some of </w:t>
      </w:r>
      <w:r>
        <w:t xml:space="preserve">our OFC-associated </w:t>
      </w:r>
      <w:proofErr w:type="spellStart"/>
      <w:r>
        <w:t>CpGs</w:t>
      </w:r>
      <w:proofErr w:type="spellEnd"/>
      <w:r w:rsidRPr="009C7C50">
        <w:t xml:space="preserve"> might be better explained by differences in age than </w:t>
      </w:r>
      <w:r>
        <w:t xml:space="preserve">differences in OFC subtype. To remove the influence of age, </w:t>
      </w:r>
      <w:r w:rsidR="00724AA5">
        <w:t xml:space="preserve">we first carried out an EWAS of age at sampling, using all the participants in our sample. </w:t>
      </w:r>
      <w:r w:rsidR="009837C0">
        <w:t xml:space="preserve">In this EWAS, </w:t>
      </w:r>
      <w:r w:rsidR="009837C0" w:rsidRPr="00F2651D">
        <w:t>child’s age in months was modelled as the exposure with methylation a</w:t>
      </w:r>
      <w:r w:rsidR="009837C0">
        <w:t>s</w:t>
      </w:r>
      <w:r w:rsidR="009837C0" w:rsidRPr="00F2651D">
        <w:t xml:space="preserve"> the outcome. The model was adjusted for 10 surrogate variables for technical batch and cellular heterogeneity.</w:t>
      </w:r>
      <w:r w:rsidR="009837C0">
        <w:t xml:space="preserve"> </w:t>
      </w:r>
      <w:r w:rsidR="00724AA5">
        <w:t xml:space="preserve">We then ‘filtered out’ any age-related </w:t>
      </w:r>
      <w:proofErr w:type="spellStart"/>
      <w:r w:rsidR="009837C0">
        <w:t>CpGs</w:t>
      </w:r>
      <w:proofErr w:type="spellEnd"/>
      <w:r w:rsidR="009837C0">
        <w:t xml:space="preserve"> </w:t>
      </w:r>
      <w:r w:rsidR="00724AA5">
        <w:t>(</w:t>
      </w:r>
      <w:r w:rsidR="00034CD0" w:rsidRPr="009C7C50">
        <w:t>29,984</w:t>
      </w:r>
      <w:r w:rsidR="00034CD0">
        <w:t xml:space="preserve"> </w:t>
      </w:r>
      <w:proofErr w:type="spellStart"/>
      <w:r w:rsidR="00034CD0">
        <w:t>CpGs</w:t>
      </w:r>
      <w:proofErr w:type="spellEnd"/>
      <w:r w:rsidR="00034CD0">
        <w:t xml:space="preserve"> with </w:t>
      </w:r>
      <w:r w:rsidR="00724AA5">
        <w:t xml:space="preserve">P&lt;0.05 in the age-at-sampling EWAS) by setting their P-values for the OFC EWASs to 1. </w:t>
      </w:r>
    </w:p>
    <w:p w14:paraId="50D245F9" w14:textId="2EABD9B4" w:rsidR="00724AA5" w:rsidRDefault="00724AA5" w:rsidP="00D06BA7">
      <w:pPr>
        <w:jc w:val="both"/>
      </w:pPr>
      <w:r>
        <w:t xml:space="preserve">In order to provide more confidence that these ‘age-related’ </w:t>
      </w:r>
      <w:proofErr w:type="spellStart"/>
      <w:r>
        <w:t>CpGs</w:t>
      </w:r>
      <w:proofErr w:type="spellEnd"/>
      <w:r>
        <w:t xml:space="preserve"> really are associated with age (</w:t>
      </w:r>
      <w:r w:rsidR="009837C0">
        <w:t>rather than</w:t>
      </w:r>
      <w:r>
        <w:t xml:space="preserve"> OFC subtype), we ran three separate EWASs of age at sampling in each OFC subgroup </w:t>
      </w:r>
      <w:r w:rsidR="00FE2C54">
        <w:t>and meta-analysed the results using METAL</w:t>
      </w:r>
      <w:r w:rsidR="002213B5" w:rsidRPr="008A50F0">
        <w:rPr>
          <w:rStyle w:val="FootnoteReference"/>
        </w:rPr>
        <w:footnoteReference w:id="3"/>
      </w:r>
      <w:r w:rsidR="00034CD0">
        <w:t xml:space="preserve">. At the </w:t>
      </w:r>
      <w:r w:rsidR="00034CD0" w:rsidRPr="009C7C50">
        <w:t>29,984</w:t>
      </w:r>
      <w:r w:rsidR="00034CD0">
        <w:t xml:space="preserve"> age-associated </w:t>
      </w:r>
      <w:proofErr w:type="spellStart"/>
      <w:r w:rsidR="00034CD0">
        <w:t>CpGs</w:t>
      </w:r>
      <w:proofErr w:type="spellEnd"/>
      <w:r w:rsidR="00034CD0">
        <w:t>, t</w:t>
      </w:r>
      <w:r w:rsidR="002213B5">
        <w:t>he</w:t>
      </w:r>
      <w:r w:rsidR="00034CD0">
        <w:t xml:space="preserve">re was little evidence of </w:t>
      </w:r>
      <w:r w:rsidR="002213B5">
        <w:t>h</w:t>
      </w:r>
      <w:r w:rsidR="00034CD0">
        <w:t xml:space="preserve">eterogeneity between OFC groups: At 63% of these </w:t>
      </w:r>
      <w:proofErr w:type="spellStart"/>
      <w:r w:rsidR="00034CD0">
        <w:t>CpGs</w:t>
      </w:r>
      <w:proofErr w:type="spellEnd"/>
      <w:r w:rsidR="00034CD0">
        <w:t xml:space="preserve"> the direction of association</w:t>
      </w:r>
      <w:r w:rsidR="00C734D5">
        <w:t xml:space="preserve"> with age</w:t>
      </w:r>
      <w:r w:rsidR="00034CD0">
        <w:t xml:space="preserve"> was the same in all three groups and only 6% </w:t>
      </w:r>
      <w:r w:rsidR="00C734D5">
        <w:t xml:space="preserve">of </w:t>
      </w:r>
      <w:proofErr w:type="spellStart"/>
      <w:r w:rsidR="00C734D5">
        <w:t>CpGs</w:t>
      </w:r>
      <w:proofErr w:type="spellEnd"/>
      <w:r w:rsidR="00C734D5">
        <w:t xml:space="preserve"> </w:t>
      </w:r>
      <w:r w:rsidR="00034CD0">
        <w:t>had a P-value for heterogeneity &lt;0.05. This suggests</w:t>
      </w:r>
      <w:r w:rsidR="002213B5">
        <w:t xml:space="preserve"> that</w:t>
      </w:r>
      <w:r w:rsidR="00034CD0">
        <w:t xml:space="preserve"> these </w:t>
      </w:r>
      <w:proofErr w:type="spellStart"/>
      <w:r w:rsidR="00034CD0">
        <w:t>CpGs</w:t>
      </w:r>
      <w:proofErr w:type="spellEnd"/>
      <w:r w:rsidR="00034CD0">
        <w:t xml:space="preserve"> are truly associated with age. Further support for this </w:t>
      </w:r>
      <w:r w:rsidR="00ED66F8">
        <w:t xml:space="preserve">is provided by the observation that many of the top ‘age-related’ </w:t>
      </w:r>
      <w:proofErr w:type="spellStart"/>
      <w:r w:rsidR="00ED66F8">
        <w:t>CpGs</w:t>
      </w:r>
      <w:proofErr w:type="spellEnd"/>
      <w:r w:rsidR="00ED66F8">
        <w:t xml:space="preserve"> have previously been reported as differentially methylated in assoc</w:t>
      </w:r>
      <w:r w:rsidR="000448BD">
        <w:t>iation with age in infancy</w:t>
      </w:r>
      <w:r w:rsidR="000448BD" w:rsidRPr="008A50F0">
        <w:rPr>
          <w:rStyle w:val="FootnoteReference"/>
        </w:rPr>
        <w:footnoteReference w:id="4"/>
      </w:r>
      <w:r w:rsidR="000448BD">
        <w:t>.</w:t>
      </w:r>
    </w:p>
    <w:p w14:paraId="7938AFD5" w14:textId="1DE6C929" w:rsidR="005101AF" w:rsidRDefault="005101AF" w:rsidP="00D06BA7">
      <w:pPr>
        <w:jc w:val="both"/>
        <w:rPr>
          <w:sz w:val="22"/>
        </w:rPr>
      </w:pPr>
    </w:p>
    <w:p w14:paraId="68397784" w14:textId="5CB67D72" w:rsidR="00C35B38" w:rsidRDefault="00C35B38" w:rsidP="00D06BA7">
      <w:pPr>
        <w:jc w:val="both"/>
      </w:pPr>
      <w:r w:rsidRPr="00D06BA7">
        <w:rPr>
          <w:rFonts w:asciiTheme="majorHAnsi" w:eastAsiaTheme="majorEastAsia" w:hAnsiTheme="majorHAnsi" w:cstheme="majorBidi"/>
          <w:i/>
          <w:iCs/>
          <w:color w:val="2E74B5" w:themeColor="accent1" w:themeShade="BF"/>
        </w:rPr>
        <w:t>Attempting to carry out a case-control analysis using publicly-available data</w:t>
      </w:r>
    </w:p>
    <w:p w14:paraId="35245488" w14:textId="45FFC359" w:rsidR="00C35B38" w:rsidRDefault="00C35B38" w:rsidP="00D06BA7">
      <w:pPr>
        <w:jc w:val="both"/>
      </w:pPr>
      <w:r>
        <w:t>The Cleft Collective is a case-only cohort</w:t>
      </w:r>
      <w:r w:rsidR="00D06BA7">
        <w:t>,</w:t>
      </w:r>
      <w:r>
        <w:t xml:space="preserve"> so data on controls were not collected. Ideally, we would have liked to compare DNA methylation in controls compared to cases, so we explored options to identify an appropriate source of controls. Biological samples available to us included cord blood samples from babies in the Avon Longitudinal Study of Parents and Children (ALSPAC) and from their offspring in the second generation of the study (ALSPAC-G2). However, we considered that the differences in age and tissue type between individuals in ALSPAC/ALSPAC-G2 and the Cleft Collective would be too difficult to disentangle from any association with OFC subtype.</w:t>
      </w:r>
    </w:p>
    <w:p w14:paraId="4AB31AAB" w14:textId="0451A7C3" w:rsidR="00C35B38" w:rsidRDefault="00C35B38" w:rsidP="00D06BA7">
      <w:pPr>
        <w:jc w:val="both"/>
      </w:pPr>
      <w:r>
        <w:t xml:space="preserve">We also explored options to use publicly-available </w:t>
      </w:r>
      <w:proofErr w:type="spellStart"/>
      <w:r>
        <w:t>Illumnia</w:t>
      </w:r>
      <w:proofErr w:type="spellEnd"/>
      <w:r>
        <w:t xml:space="preserve"> 450k methylation data from children without a cleft. We searched Gene Expression Omnibus to find studies with the appropriate data on blood samples from children around the same age as the children in the </w:t>
      </w:r>
      <w:r>
        <w:lastRenderedPageBreak/>
        <w:t>Cleft Collective (around 3 to 20 months). We identified two studies for which the raw data were available: accession numbers GSE62219</w:t>
      </w:r>
      <w:r w:rsidR="00751939" w:rsidRPr="00751939">
        <w:rPr>
          <w:vertAlign w:val="superscript"/>
        </w:rPr>
        <w:t>4</w:t>
      </w:r>
      <w:r>
        <w:t xml:space="preserve"> and GSE67444</w:t>
      </w:r>
      <w:r w:rsidR="00751939" w:rsidRPr="00751939">
        <w:rPr>
          <w:vertAlign w:val="superscript"/>
        </w:rPr>
        <w:t>5</w:t>
      </w:r>
      <w:r>
        <w:t xml:space="preserve">. There was still potential confounding by technical batch, population, study protocol and tissue (the Cleft Collective and GSE62219 used peripheral blood leukocytes, GSE67444 used dried blood spots). However, we downloaded the data and applied our pre-processing pipeline as described in the manuscript. We normalised both public datasets together with our own from the Cleft Collective using </w:t>
      </w:r>
      <w:r w:rsidR="00E820C2">
        <w:t>Functional Normalisation. This increased the overlap between the three datasets</w:t>
      </w:r>
      <w:r>
        <w:t xml:space="preserve"> </w:t>
      </w:r>
      <w:r w:rsidR="00E820C2">
        <w:t>in Principal Component (PC) plots, but there were still clear clusters by study and PCs were strongly associated with study (Figure 1).</w:t>
      </w:r>
    </w:p>
    <w:p w14:paraId="0E45BAD5" w14:textId="77777777" w:rsidR="00E820C2" w:rsidRDefault="00E820C2" w:rsidP="00D06BA7">
      <w:pPr>
        <w:jc w:val="both"/>
        <w:rPr>
          <w:sz w:val="22"/>
        </w:rPr>
      </w:pPr>
    </w:p>
    <w:p w14:paraId="7FAAF644" w14:textId="7EEF63B8" w:rsidR="00C35B38" w:rsidRDefault="00E820C2" w:rsidP="00D06BA7">
      <w:pPr>
        <w:jc w:val="both"/>
        <w:rPr>
          <w:sz w:val="22"/>
        </w:rPr>
      </w:pPr>
      <w:r>
        <w:rPr>
          <w:noProof/>
          <w:sz w:val="22"/>
          <w:lang w:eastAsia="en-GB"/>
        </w:rPr>
        <w:drawing>
          <wp:inline distT="0" distB="0" distL="0" distR="0" wp14:anchorId="40D18EC4" wp14:editId="1025BBC8">
            <wp:extent cx="6223635" cy="20333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17-05-09 14.50.05.png"/>
                    <pic:cNvPicPr/>
                  </pic:nvPicPr>
                  <pic:blipFill>
                    <a:blip r:embed="rId7">
                      <a:extLst>
                        <a:ext uri="{28A0092B-C50C-407E-A947-70E740481C1C}">
                          <a14:useLocalDpi xmlns:a14="http://schemas.microsoft.com/office/drawing/2010/main" val="0"/>
                        </a:ext>
                      </a:extLst>
                    </a:blip>
                    <a:stretch>
                      <a:fillRect/>
                    </a:stretch>
                  </pic:blipFill>
                  <pic:spPr>
                    <a:xfrm>
                      <a:off x="0" y="0"/>
                      <a:ext cx="6239818" cy="2038663"/>
                    </a:xfrm>
                    <a:prstGeom prst="rect">
                      <a:avLst/>
                    </a:prstGeom>
                  </pic:spPr>
                </pic:pic>
              </a:graphicData>
            </a:graphic>
          </wp:inline>
        </w:drawing>
      </w:r>
    </w:p>
    <w:p w14:paraId="7F4DB7F4" w14:textId="35BF4301" w:rsidR="00E820C2" w:rsidRDefault="00E820C2" w:rsidP="00D06BA7">
      <w:pPr>
        <w:jc w:val="both"/>
        <w:rPr>
          <w:sz w:val="22"/>
        </w:rPr>
      </w:pPr>
      <w:r>
        <w:rPr>
          <w:noProof/>
          <w:sz w:val="22"/>
          <w:lang w:eastAsia="en-GB"/>
        </w:rPr>
        <w:drawing>
          <wp:inline distT="0" distB="0" distL="0" distR="0" wp14:anchorId="057A5CD3" wp14:editId="23EA84D4">
            <wp:extent cx="5727700" cy="1897380"/>
            <wp:effectExtent l="0" t="0" r="1270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7-05-09 14.51.56.png"/>
                    <pic:cNvPicPr/>
                  </pic:nvPicPr>
                  <pic:blipFill>
                    <a:blip r:embed="rId8">
                      <a:extLst>
                        <a:ext uri="{28A0092B-C50C-407E-A947-70E740481C1C}">
                          <a14:useLocalDpi xmlns:a14="http://schemas.microsoft.com/office/drawing/2010/main" val="0"/>
                        </a:ext>
                      </a:extLst>
                    </a:blip>
                    <a:stretch>
                      <a:fillRect/>
                    </a:stretch>
                  </pic:blipFill>
                  <pic:spPr>
                    <a:xfrm>
                      <a:off x="0" y="0"/>
                      <a:ext cx="5727700" cy="1897380"/>
                    </a:xfrm>
                    <a:prstGeom prst="rect">
                      <a:avLst/>
                    </a:prstGeom>
                  </pic:spPr>
                </pic:pic>
              </a:graphicData>
            </a:graphic>
          </wp:inline>
        </w:drawing>
      </w:r>
    </w:p>
    <w:p w14:paraId="797A09E7" w14:textId="25FEAF3B" w:rsidR="00E820C2" w:rsidRPr="00E820C2" w:rsidRDefault="00E820C2" w:rsidP="00D06BA7">
      <w:pPr>
        <w:jc w:val="both"/>
        <w:rPr>
          <w:b/>
          <w:sz w:val="22"/>
        </w:rPr>
      </w:pPr>
      <w:r w:rsidRPr="00E820C2">
        <w:rPr>
          <w:b/>
          <w:sz w:val="22"/>
        </w:rPr>
        <w:t>Figure 1. Principal components are strongly associated with study.</w:t>
      </w:r>
      <w:r>
        <w:rPr>
          <w:b/>
          <w:sz w:val="22"/>
        </w:rPr>
        <w:t xml:space="preserve"> The distinct clusters within the Cleft Collective cohort (pale blue) are due to differences in lip/palate vs blood. </w:t>
      </w:r>
    </w:p>
    <w:p w14:paraId="12A1A6AD" w14:textId="77777777" w:rsidR="00E820C2" w:rsidRDefault="00E820C2" w:rsidP="00D06BA7">
      <w:pPr>
        <w:jc w:val="both"/>
        <w:rPr>
          <w:sz w:val="22"/>
        </w:rPr>
      </w:pPr>
    </w:p>
    <w:p w14:paraId="5E83E51B" w14:textId="77777777" w:rsidR="00E820C2" w:rsidRDefault="00E820C2" w:rsidP="00D06BA7">
      <w:pPr>
        <w:jc w:val="both"/>
        <w:rPr>
          <w:sz w:val="22"/>
        </w:rPr>
      </w:pPr>
    </w:p>
    <w:p w14:paraId="04F927BC" w14:textId="281E7499" w:rsidR="00E820C2" w:rsidRDefault="00E820C2" w:rsidP="00D06BA7">
      <w:pPr>
        <w:jc w:val="both"/>
        <w:rPr>
          <w:sz w:val="22"/>
        </w:rPr>
      </w:pPr>
      <w:r>
        <w:rPr>
          <w:sz w:val="22"/>
        </w:rPr>
        <w:t xml:space="preserve">Nevertheless, we attempted to run an EWAS comparing blood data from cases and controls. The EWAS was carried out as described in the manuscript, but instead of adjusting for 10 surrogate variables, we adjusted for 20 to try to capture the </w:t>
      </w:r>
      <w:r w:rsidR="00A32C27">
        <w:rPr>
          <w:sz w:val="22"/>
        </w:rPr>
        <w:t xml:space="preserve">increased variation due to batch and study effects. The model was also adjusted for </w:t>
      </w:r>
      <w:r w:rsidR="00D06BA7">
        <w:rPr>
          <w:sz w:val="22"/>
        </w:rPr>
        <w:t>sex.</w:t>
      </w:r>
    </w:p>
    <w:p w14:paraId="58571E4B" w14:textId="1517CE5B" w:rsidR="00A32C27" w:rsidRPr="00A91980" w:rsidRDefault="00A32C27" w:rsidP="00D06BA7">
      <w:pPr>
        <w:jc w:val="both"/>
        <w:rPr>
          <w:sz w:val="22"/>
        </w:rPr>
      </w:pPr>
      <w:r>
        <w:rPr>
          <w:sz w:val="22"/>
        </w:rPr>
        <w:t xml:space="preserve">There were 268,456 </w:t>
      </w:r>
      <w:proofErr w:type="spellStart"/>
      <w:r>
        <w:rPr>
          <w:sz w:val="22"/>
        </w:rPr>
        <w:t>CpGs</w:t>
      </w:r>
      <w:proofErr w:type="spellEnd"/>
      <w:r>
        <w:rPr>
          <w:sz w:val="22"/>
        </w:rPr>
        <w:t xml:space="preserve"> with a </w:t>
      </w:r>
      <w:proofErr w:type="spellStart"/>
      <w:r w:rsidR="00D06BA7">
        <w:rPr>
          <w:sz w:val="22"/>
        </w:rPr>
        <w:t>Bonferroni</w:t>
      </w:r>
      <w:proofErr w:type="spellEnd"/>
      <w:r w:rsidR="00D06BA7">
        <w:rPr>
          <w:sz w:val="22"/>
        </w:rPr>
        <w:t xml:space="preserve">-adjusted P-value&lt;0.05 (the genomic inflation lambda was 86.8). As in the </w:t>
      </w:r>
      <w:r w:rsidR="007E2689">
        <w:rPr>
          <w:sz w:val="22"/>
        </w:rPr>
        <w:t>main analysis,</w:t>
      </w:r>
      <w:r w:rsidR="00D06BA7">
        <w:rPr>
          <w:sz w:val="22"/>
        </w:rPr>
        <w:t xml:space="preserve"> we ran an EWAS of age and filtered out 221,997 age-related </w:t>
      </w:r>
      <w:proofErr w:type="spellStart"/>
      <w:r w:rsidR="00D06BA7">
        <w:rPr>
          <w:sz w:val="22"/>
        </w:rPr>
        <w:t>CpGs</w:t>
      </w:r>
      <w:proofErr w:type="spellEnd"/>
      <w:r w:rsidR="00D06BA7">
        <w:rPr>
          <w:sz w:val="22"/>
        </w:rPr>
        <w:t xml:space="preserve">. This reduced the number of </w:t>
      </w:r>
      <w:proofErr w:type="spellStart"/>
      <w:r w:rsidR="00D06BA7">
        <w:rPr>
          <w:sz w:val="22"/>
        </w:rPr>
        <w:t>Bonferroni</w:t>
      </w:r>
      <w:proofErr w:type="spellEnd"/>
      <w:r w:rsidR="00D06BA7">
        <w:rPr>
          <w:sz w:val="22"/>
        </w:rPr>
        <w:t xml:space="preserve">-significant </w:t>
      </w:r>
      <w:proofErr w:type="spellStart"/>
      <w:r w:rsidR="00D06BA7">
        <w:rPr>
          <w:sz w:val="22"/>
        </w:rPr>
        <w:t>CpGs</w:t>
      </w:r>
      <w:proofErr w:type="spellEnd"/>
      <w:r w:rsidR="00D06BA7">
        <w:rPr>
          <w:sz w:val="22"/>
        </w:rPr>
        <w:t xml:space="preserve"> in the case-control EWAS to 129,424. We felt that this was an unacceptable level of inflation and therefore did not consider the results of this analysis further.</w:t>
      </w:r>
    </w:p>
    <w:sectPr w:rsidR="00A32C27" w:rsidRPr="00A91980" w:rsidSect="005101AF">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4C914" w14:textId="77777777" w:rsidR="00BD2047" w:rsidRDefault="00BD2047" w:rsidP="00A91980">
      <w:r>
        <w:separator/>
      </w:r>
    </w:p>
  </w:endnote>
  <w:endnote w:type="continuationSeparator" w:id="0">
    <w:p w14:paraId="14316032" w14:textId="77777777" w:rsidR="00BD2047" w:rsidRDefault="00BD2047" w:rsidP="00A91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906034" w14:textId="77777777" w:rsidR="00BD2047" w:rsidRDefault="00BD2047" w:rsidP="00A91980">
      <w:r>
        <w:separator/>
      </w:r>
    </w:p>
  </w:footnote>
  <w:footnote w:type="continuationSeparator" w:id="0">
    <w:p w14:paraId="21065EA3" w14:textId="77777777" w:rsidR="00BD2047" w:rsidRDefault="00BD2047" w:rsidP="00A91980">
      <w:r>
        <w:continuationSeparator/>
      </w:r>
    </w:p>
  </w:footnote>
  <w:footnote w:id="1">
    <w:p w14:paraId="54799C26" w14:textId="728A848C" w:rsidR="002213B5" w:rsidRPr="002213B5" w:rsidRDefault="002213B5" w:rsidP="002213B5">
      <w:pPr>
        <w:pStyle w:val="Footer"/>
        <w:rPr>
          <w:i/>
          <w:sz w:val="20"/>
          <w:szCs w:val="20"/>
        </w:rPr>
      </w:pPr>
      <w:r w:rsidRPr="008A50F0">
        <w:rPr>
          <w:rStyle w:val="FootnoteReference"/>
        </w:rPr>
        <w:footnoteRef/>
      </w:r>
      <w:r>
        <w:rPr>
          <w:i/>
          <w:sz w:val="20"/>
          <w:szCs w:val="20"/>
        </w:rPr>
        <w:t xml:space="preserve"> </w:t>
      </w:r>
      <w:r w:rsidRPr="005101AF">
        <w:rPr>
          <w:i/>
          <w:sz w:val="20"/>
          <w:szCs w:val="20"/>
        </w:rPr>
        <w:t xml:space="preserve">Horvath, S., 2013. DNA methylation age of human tissues and cell types. Genome biology, 14(10), </w:t>
      </w:r>
      <w:proofErr w:type="gramStart"/>
      <w:r w:rsidRPr="005101AF">
        <w:rPr>
          <w:i/>
          <w:sz w:val="20"/>
          <w:szCs w:val="20"/>
        </w:rPr>
        <w:t>p.R</w:t>
      </w:r>
      <w:proofErr w:type="gramEnd"/>
      <w:r w:rsidRPr="005101AF">
        <w:rPr>
          <w:i/>
          <w:sz w:val="20"/>
          <w:szCs w:val="20"/>
        </w:rPr>
        <w:t>115.</w:t>
      </w:r>
    </w:p>
    <w:p w14:paraId="7426101F" w14:textId="4ABB07C6" w:rsidR="002213B5" w:rsidRDefault="002213B5">
      <w:pPr>
        <w:pStyle w:val="FootnoteText"/>
      </w:pPr>
    </w:p>
  </w:footnote>
  <w:footnote w:id="2">
    <w:p w14:paraId="3593571C" w14:textId="470BED7D" w:rsidR="002213B5" w:rsidRPr="002213B5" w:rsidRDefault="002213B5" w:rsidP="002213B5">
      <w:pPr>
        <w:pStyle w:val="Footer"/>
        <w:rPr>
          <w:sz w:val="20"/>
          <w:szCs w:val="20"/>
        </w:rPr>
      </w:pPr>
      <w:r w:rsidRPr="008A50F0">
        <w:rPr>
          <w:rStyle w:val="FootnoteReference"/>
        </w:rPr>
        <w:footnoteRef/>
      </w:r>
      <w:r>
        <w:t xml:space="preserve"> </w:t>
      </w:r>
      <w:proofErr w:type="spellStart"/>
      <w:r w:rsidRPr="005101AF">
        <w:rPr>
          <w:i/>
          <w:sz w:val="20"/>
          <w:szCs w:val="20"/>
        </w:rPr>
        <w:t>Joubert</w:t>
      </w:r>
      <w:proofErr w:type="spellEnd"/>
      <w:r w:rsidRPr="005101AF">
        <w:rPr>
          <w:i/>
          <w:sz w:val="20"/>
          <w:szCs w:val="20"/>
        </w:rPr>
        <w:t xml:space="preserve">, B.R. et al., 2016. DNA Methylation in </w:t>
      </w:r>
      <w:proofErr w:type="spellStart"/>
      <w:r w:rsidRPr="005101AF">
        <w:rPr>
          <w:i/>
          <w:sz w:val="20"/>
          <w:szCs w:val="20"/>
        </w:rPr>
        <w:t>Newborns</w:t>
      </w:r>
      <w:proofErr w:type="spellEnd"/>
      <w:r w:rsidRPr="005101AF">
        <w:rPr>
          <w:i/>
          <w:sz w:val="20"/>
          <w:szCs w:val="20"/>
        </w:rPr>
        <w:t xml:space="preserve"> and Maternal Smoking in Pregnancy: Genome-wide Consortium Meta-analysis. American journal of human genetics</w:t>
      </w:r>
    </w:p>
  </w:footnote>
  <w:footnote w:id="3">
    <w:p w14:paraId="6E4E60A8" w14:textId="3D817E66" w:rsidR="002213B5" w:rsidRDefault="002213B5">
      <w:pPr>
        <w:pStyle w:val="FootnoteText"/>
      </w:pPr>
      <w:r w:rsidRPr="008A50F0">
        <w:rPr>
          <w:rStyle w:val="FootnoteReference"/>
        </w:rPr>
        <w:footnoteRef/>
      </w:r>
      <w:r>
        <w:t xml:space="preserve"> </w:t>
      </w:r>
      <w:proofErr w:type="spellStart"/>
      <w:r w:rsidRPr="002213B5">
        <w:rPr>
          <w:i/>
        </w:rPr>
        <w:t>Willer</w:t>
      </w:r>
      <w:proofErr w:type="spellEnd"/>
      <w:r w:rsidRPr="002213B5">
        <w:rPr>
          <w:i/>
        </w:rPr>
        <w:t xml:space="preserve">, C.J., Li, Y. &amp; </w:t>
      </w:r>
      <w:proofErr w:type="spellStart"/>
      <w:r w:rsidRPr="002213B5">
        <w:rPr>
          <w:i/>
        </w:rPr>
        <w:t>Abecasis</w:t>
      </w:r>
      <w:proofErr w:type="spellEnd"/>
      <w:r w:rsidRPr="002213B5">
        <w:rPr>
          <w:i/>
        </w:rPr>
        <w:t xml:space="preserve">, G.R., 2010. METAL: fast and efficient meta-analysis of </w:t>
      </w:r>
      <w:proofErr w:type="spellStart"/>
      <w:r w:rsidRPr="002213B5">
        <w:rPr>
          <w:i/>
        </w:rPr>
        <w:t>genomewide</w:t>
      </w:r>
      <w:proofErr w:type="spellEnd"/>
      <w:r w:rsidRPr="002213B5">
        <w:rPr>
          <w:i/>
        </w:rPr>
        <w:t xml:space="preserve"> association scans. Bioinformatics (Oxford, England), 26(17), pp.2190–1.</w:t>
      </w:r>
    </w:p>
  </w:footnote>
  <w:footnote w:id="4">
    <w:p w14:paraId="5081FB01" w14:textId="77777777" w:rsidR="00751939" w:rsidRDefault="000448BD" w:rsidP="00751939">
      <w:pPr>
        <w:rPr>
          <w:i/>
          <w:sz w:val="20"/>
          <w:szCs w:val="20"/>
        </w:rPr>
      </w:pPr>
      <w:r w:rsidRPr="008A50F0">
        <w:rPr>
          <w:rStyle w:val="FootnoteReference"/>
        </w:rPr>
        <w:footnoteRef/>
      </w:r>
      <w:r>
        <w:t xml:space="preserve"> </w:t>
      </w:r>
      <w:r w:rsidRPr="000448BD">
        <w:rPr>
          <w:i/>
          <w:sz w:val="20"/>
          <w:szCs w:val="20"/>
        </w:rPr>
        <w:t xml:space="preserve">Acevedo, N. et al., 2015. Age-associated DNA methylation changes in immune genes, histone modifiers and chromatin </w:t>
      </w:r>
      <w:proofErr w:type="spellStart"/>
      <w:r w:rsidRPr="000448BD">
        <w:rPr>
          <w:i/>
          <w:sz w:val="20"/>
          <w:szCs w:val="20"/>
        </w:rPr>
        <w:t>remodeling</w:t>
      </w:r>
      <w:proofErr w:type="spellEnd"/>
      <w:r w:rsidRPr="000448BD">
        <w:rPr>
          <w:i/>
          <w:sz w:val="20"/>
          <w:szCs w:val="20"/>
        </w:rPr>
        <w:t xml:space="preserve"> factors within 5 years after birth in human blood leukocytes. Clinical epigenetics, 7(1), p.34.</w:t>
      </w:r>
    </w:p>
    <w:p w14:paraId="16D084F5" w14:textId="4F1664F5" w:rsidR="00751939" w:rsidRPr="00751939" w:rsidRDefault="00751939" w:rsidP="00751939">
      <w:pPr>
        <w:rPr>
          <w:sz w:val="20"/>
          <w:szCs w:val="20"/>
        </w:rPr>
      </w:pPr>
      <w:r w:rsidRPr="00751939">
        <w:rPr>
          <w:i/>
          <w:sz w:val="20"/>
          <w:szCs w:val="20"/>
          <w:vertAlign w:val="superscript"/>
        </w:rPr>
        <w:t>5</w:t>
      </w:r>
      <w:r>
        <w:rPr>
          <w:i/>
          <w:sz w:val="20"/>
          <w:szCs w:val="20"/>
        </w:rPr>
        <w:t xml:space="preserve"> </w:t>
      </w:r>
      <w:r w:rsidRPr="00751939">
        <w:rPr>
          <w:i/>
          <w:sz w:val="20"/>
          <w:szCs w:val="20"/>
        </w:rPr>
        <w:t xml:space="preserve">Sen A, Heredia N, </w:t>
      </w:r>
      <w:proofErr w:type="spellStart"/>
      <w:r w:rsidRPr="00751939">
        <w:rPr>
          <w:i/>
          <w:sz w:val="20"/>
          <w:szCs w:val="20"/>
        </w:rPr>
        <w:t>Senut</w:t>
      </w:r>
      <w:proofErr w:type="spellEnd"/>
      <w:r w:rsidRPr="00751939">
        <w:rPr>
          <w:i/>
          <w:sz w:val="20"/>
          <w:szCs w:val="20"/>
        </w:rPr>
        <w:t xml:space="preserve"> M-C, et al. Multigenerational epigenetic inheritance in humans: DNA methylation changes associated with maternal exposure to lead can be transmitted to the grandchildren. Sci. Rep. 5(January), 14466 (2015).</w:t>
      </w:r>
    </w:p>
    <w:p w14:paraId="199DD464" w14:textId="618F15E2" w:rsidR="000448BD" w:rsidRDefault="000448BD">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74A"/>
    <w:rsid w:val="00034CD0"/>
    <w:rsid w:val="000434D7"/>
    <w:rsid w:val="000448BD"/>
    <w:rsid w:val="00063C24"/>
    <w:rsid w:val="00066EC6"/>
    <w:rsid w:val="00070484"/>
    <w:rsid w:val="00101F76"/>
    <w:rsid w:val="001F19BB"/>
    <w:rsid w:val="001F2326"/>
    <w:rsid w:val="0021474A"/>
    <w:rsid w:val="002213B5"/>
    <w:rsid w:val="002459EE"/>
    <w:rsid w:val="00265198"/>
    <w:rsid w:val="003A243B"/>
    <w:rsid w:val="00441A82"/>
    <w:rsid w:val="0045195D"/>
    <w:rsid w:val="004B1533"/>
    <w:rsid w:val="004B2B62"/>
    <w:rsid w:val="005101AF"/>
    <w:rsid w:val="00525889"/>
    <w:rsid w:val="00553348"/>
    <w:rsid w:val="00575D62"/>
    <w:rsid w:val="005C2FF3"/>
    <w:rsid w:val="00640878"/>
    <w:rsid w:val="00724AA5"/>
    <w:rsid w:val="00751939"/>
    <w:rsid w:val="007D01EC"/>
    <w:rsid w:val="007E2689"/>
    <w:rsid w:val="00893756"/>
    <w:rsid w:val="0089753C"/>
    <w:rsid w:val="008A50F0"/>
    <w:rsid w:val="008B43ED"/>
    <w:rsid w:val="009837C0"/>
    <w:rsid w:val="009F7733"/>
    <w:rsid w:val="00A32C27"/>
    <w:rsid w:val="00A90FFD"/>
    <w:rsid w:val="00A91980"/>
    <w:rsid w:val="00A91A90"/>
    <w:rsid w:val="00AA3774"/>
    <w:rsid w:val="00BD2047"/>
    <w:rsid w:val="00C35B38"/>
    <w:rsid w:val="00C62ECE"/>
    <w:rsid w:val="00C706B6"/>
    <w:rsid w:val="00C71709"/>
    <w:rsid w:val="00C734D5"/>
    <w:rsid w:val="00D02108"/>
    <w:rsid w:val="00D06BA7"/>
    <w:rsid w:val="00D22318"/>
    <w:rsid w:val="00D41DB4"/>
    <w:rsid w:val="00E76121"/>
    <w:rsid w:val="00E820C2"/>
    <w:rsid w:val="00EB354E"/>
    <w:rsid w:val="00ED66F8"/>
    <w:rsid w:val="00F01FA1"/>
    <w:rsid w:val="00FE2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CD99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F01FA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1FA1"/>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F01FA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01FA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01FA1"/>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rsid w:val="00F01FA1"/>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D021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91980"/>
    <w:pPr>
      <w:tabs>
        <w:tab w:val="center" w:pos="4513"/>
        <w:tab w:val="right" w:pos="9026"/>
      </w:tabs>
    </w:pPr>
  </w:style>
  <w:style w:type="character" w:customStyle="1" w:styleId="HeaderChar">
    <w:name w:val="Header Char"/>
    <w:basedOn w:val="DefaultParagraphFont"/>
    <w:link w:val="Header"/>
    <w:uiPriority w:val="99"/>
    <w:rsid w:val="00A91980"/>
  </w:style>
  <w:style w:type="paragraph" w:styleId="Footer">
    <w:name w:val="footer"/>
    <w:basedOn w:val="Normal"/>
    <w:link w:val="FooterChar"/>
    <w:uiPriority w:val="99"/>
    <w:unhideWhenUsed/>
    <w:rsid w:val="00A91980"/>
    <w:pPr>
      <w:tabs>
        <w:tab w:val="center" w:pos="4513"/>
        <w:tab w:val="right" w:pos="9026"/>
      </w:tabs>
    </w:pPr>
  </w:style>
  <w:style w:type="character" w:customStyle="1" w:styleId="FooterChar">
    <w:name w:val="Footer Char"/>
    <w:basedOn w:val="DefaultParagraphFont"/>
    <w:link w:val="Footer"/>
    <w:uiPriority w:val="99"/>
    <w:rsid w:val="00A91980"/>
  </w:style>
  <w:style w:type="paragraph" w:styleId="FootnoteText">
    <w:name w:val="footnote text"/>
    <w:basedOn w:val="Normal"/>
    <w:link w:val="FootnoteTextChar"/>
    <w:uiPriority w:val="99"/>
    <w:semiHidden/>
    <w:unhideWhenUsed/>
    <w:rsid w:val="002213B5"/>
    <w:rPr>
      <w:sz w:val="20"/>
      <w:szCs w:val="20"/>
    </w:rPr>
  </w:style>
  <w:style w:type="character" w:customStyle="1" w:styleId="FootnoteTextChar">
    <w:name w:val="Footnote Text Char"/>
    <w:basedOn w:val="DefaultParagraphFont"/>
    <w:link w:val="FootnoteText"/>
    <w:uiPriority w:val="99"/>
    <w:semiHidden/>
    <w:rsid w:val="002213B5"/>
    <w:rPr>
      <w:sz w:val="20"/>
      <w:szCs w:val="20"/>
    </w:rPr>
  </w:style>
  <w:style w:type="character" w:styleId="FootnoteReference">
    <w:name w:val="footnote reference"/>
    <w:basedOn w:val="DefaultParagraphFont"/>
    <w:uiPriority w:val="99"/>
    <w:semiHidden/>
    <w:unhideWhenUsed/>
    <w:rsid w:val="002213B5"/>
    <w:rPr>
      <w:vertAlign w:val="superscript"/>
    </w:rPr>
  </w:style>
  <w:style w:type="character" w:styleId="EndnoteReference">
    <w:name w:val="endnote reference"/>
    <w:basedOn w:val="DefaultParagraphFont"/>
    <w:uiPriority w:val="99"/>
    <w:semiHidden/>
    <w:unhideWhenUsed/>
    <w:rsid w:val="008A50F0"/>
    <w:rPr>
      <w:vertAlign w:val="superscript"/>
    </w:rPr>
  </w:style>
  <w:style w:type="paragraph" w:styleId="NormalWeb">
    <w:name w:val="Normal (Web)"/>
    <w:basedOn w:val="Normal"/>
    <w:uiPriority w:val="99"/>
    <w:semiHidden/>
    <w:unhideWhenUsed/>
    <w:rsid w:val="00751939"/>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15827">
      <w:bodyDiv w:val="1"/>
      <w:marLeft w:val="0"/>
      <w:marRight w:val="0"/>
      <w:marTop w:val="0"/>
      <w:marBottom w:val="0"/>
      <w:divBdr>
        <w:top w:val="none" w:sz="0" w:space="0" w:color="auto"/>
        <w:left w:val="none" w:sz="0" w:space="0" w:color="auto"/>
        <w:bottom w:val="none" w:sz="0" w:space="0" w:color="auto"/>
        <w:right w:val="none" w:sz="0" w:space="0" w:color="auto"/>
      </w:divBdr>
    </w:div>
    <w:div w:id="359745626">
      <w:bodyDiv w:val="1"/>
      <w:marLeft w:val="0"/>
      <w:marRight w:val="0"/>
      <w:marTop w:val="0"/>
      <w:marBottom w:val="0"/>
      <w:divBdr>
        <w:top w:val="none" w:sz="0" w:space="0" w:color="auto"/>
        <w:left w:val="none" w:sz="0" w:space="0" w:color="auto"/>
        <w:bottom w:val="none" w:sz="0" w:space="0" w:color="auto"/>
        <w:right w:val="none" w:sz="0" w:space="0" w:color="auto"/>
      </w:divBdr>
    </w:div>
    <w:div w:id="8005423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7ED36-BA04-D940-8861-AA3C2DC13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Pages>
  <Words>1254</Words>
  <Characters>7150</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8388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Sharp</dc:creator>
  <cp:keywords/>
  <dc:description/>
  <cp:lastModifiedBy>Gemma Sharp</cp:lastModifiedBy>
  <cp:revision>15</cp:revision>
  <dcterms:created xsi:type="dcterms:W3CDTF">2017-03-02T17:45:00Z</dcterms:created>
  <dcterms:modified xsi:type="dcterms:W3CDTF">2017-05-10T12:19:00Z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16th edition (author-date)</vt:lpwstr>
  </property>
  <property fmtid="{D5CDD505-2E9C-101B-9397-08002B2CF9AE}" pid="6" name="Mendeley Recent Style Id 2_1">
    <vt:lpwstr>http://www.zotero.org/styles/clinical-epigenetics</vt:lpwstr>
  </property>
  <property fmtid="{D5CDD505-2E9C-101B-9397-08002B2CF9AE}" pid="7" name="Mendeley Recent Style Name 2_1">
    <vt:lpwstr>Clinical Epigenetics</vt:lpwstr>
  </property>
  <property fmtid="{D5CDD505-2E9C-101B-9397-08002B2CF9AE}" pid="8" name="Mendeley Recent Style Id 3_1">
    <vt:lpwstr>http://www.zotero.org/styles/genome-biology</vt:lpwstr>
  </property>
  <property fmtid="{D5CDD505-2E9C-101B-9397-08002B2CF9AE}" pid="9" name="Mendeley Recent Style Name 3_1">
    <vt:lpwstr>Genome Biology</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http://www.zotero.org/styles/nature-communications</vt:lpwstr>
  </property>
  <property fmtid="{D5CDD505-2E9C-101B-9397-08002B2CF9AE}" pid="19" name="Mendeley Recent Style Name 8_1">
    <vt:lpwstr>Nature Communications</vt:lpwstr>
  </property>
  <property fmtid="{D5CDD505-2E9C-101B-9397-08002B2CF9AE}" pid="20" name="Mendeley Recent Style Id 9_1">
    <vt:lpwstr>http://www.zotero.org/styles/plos-one</vt:lpwstr>
  </property>
  <property fmtid="{D5CDD505-2E9C-101B-9397-08002B2CF9AE}" pid="21" name="Mendeley Recent Style Name 9_1">
    <vt:lpwstr>PLOS ONE</vt:lpwstr>
  </property>
  <property fmtid="{D5CDD505-2E9C-101B-9397-08002B2CF9AE}" pid="22" name="Mendeley Document_1">
    <vt:lpwstr>True</vt:lpwstr>
  </property>
  <property fmtid="{D5CDD505-2E9C-101B-9397-08002B2CF9AE}" pid="23" name="Mendeley Unique User Id_1">
    <vt:lpwstr>7da191f2-757c-3304-a587-3f1c18b96a9c</vt:lpwstr>
  </property>
  <property fmtid="{D5CDD505-2E9C-101B-9397-08002B2CF9AE}" pid="24" name="Mendeley Citation Style_1">
    <vt:lpwstr>http://www.zotero.org/styles/harvard1</vt:lpwstr>
  </property>
</Properties>
</file>