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CBC3" w14:textId="77777777" w:rsidR="004A3A9E" w:rsidRPr="00641837" w:rsidRDefault="004A3A9E" w:rsidP="004A3A9E">
      <w:pPr>
        <w:suppressLineNumbers/>
        <w:spacing w:line="480" w:lineRule="auto"/>
        <w:contextualSpacing/>
        <w:rPr>
          <w:rFonts w:cs="Times New Roman"/>
          <w:b/>
          <w:color w:val="FF0000"/>
        </w:rPr>
      </w:pPr>
      <w:r w:rsidRPr="00641837">
        <w:rPr>
          <w:rFonts w:cs="Times New Roman"/>
          <w:b/>
          <w:color w:val="FF0000"/>
        </w:rPr>
        <w:t xml:space="preserve">Self-reported prenatal tobacco smoke exposure, </w:t>
      </w:r>
      <w:r w:rsidRPr="00641837">
        <w:rPr>
          <w:rFonts w:cs="Times New Roman"/>
          <w:b/>
          <w:i/>
          <w:color w:val="FF0000"/>
        </w:rPr>
        <w:t>AXL</w:t>
      </w:r>
      <w:r w:rsidRPr="00641837">
        <w:rPr>
          <w:rFonts w:cs="Times New Roman"/>
          <w:b/>
          <w:color w:val="FF0000"/>
        </w:rPr>
        <w:t xml:space="preserve"> </w:t>
      </w:r>
      <w:r>
        <w:rPr>
          <w:rFonts w:cs="Times New Roman"/>
          <w:b/>
          <w:color w:val="FF0000"/>
        </w:rPr>
        <w:t xml:space="preserve">gene-body </w:t>
      </w:r>
      <w:r w:rsidRPr="00641837">
        <w:rPr>
          <w:rFonts w:cs="Times New Roman"/>
          <w:b/>
          <w:color w:val="FF0000"/>
        </w:rPr>
        <w:t>methylation and childhood asthma phenotypes</w:t>
      </w:r>
    </w:p>
    <w:p w14:paraId="05456EA6" w14:textId="77777777" w:rsidR="003239C3" w:rsidRPr="003239C3" w:rsidRDefault="003239C3" w:rsidP="00CA1052">
      <w:pPr>
        <w:spacing w:line="360" w:lineRule="auto"/>
        <w:rPr>
          <w:b/>
        </w:rPr>
      </w:pPr>
    </w:p>
    <w:p w14:paraId="53B29B2A" w14:textId="77777777" w:rsidR="003239C3" w:rsidRDefault="003239C3" w:rsidP="00CA1052">
      <w:pPr>
        <w:spacing w:line="360" w:lineRule="auto"/>
        <w:rPr>
          <w:bCs/>
        </w:rPr>
      </w:pPr>
      <w:r w:rsidRPr="003239C3">
        <w:t xml:space="preserve">Lu Gao, </w:t>
      </w:r>
      <w:proofErr w:type="spellStart"/>
      <w:r w:rsidRPr="003239C3">
        <w:rPr>
          <w:rFonts w:hint="eastAsia"/>
        </w:rPr>
        <w:t>Xi</w:t>
      </w:r>
      <w:r>
        <w:t>aochen</w:t>
      </w:r>
      <w:proofErr w:type="spellEnd"/>
      <w:r>
        <w:t xml:space="preserve"> Liu</w:t>
      </w:r>
      <w:r w:rsidRPr="003239C3">
        <w:t xml:space="preserve">, </w:t>
      </w:r>
      <w:r w:rsidRPr="003239C3">
        <w:rPr>
          <w:bCs/>
        </w:rPr>
        <w:t xml:space="preserve">Joshua Millstein, Kimberly D. </w:t>
      </w:r>
      <w:proofErr w:type="spellStart"/>
      <w:r w:rsidRPr="003239C3">
        <w:rPr>
          <w:bCs/>
        </w:rPr>
        <w:t>Siegmund</w:t>
      </w:r>
      <w:proofErr w:type="spellEnd"/>
      <w:r w:rsidRPr="003239C3">
        <w:rPr>
          <w:bCs/>
        </w:rPr>
        <w:t xml:space="preserve">, Louis </w:t>
      </w:r>
      <w:proofErr w:type="spellStart"/>
      <w:r w:rsidRPr="003239C3">
        <w:rPr>
          <w:bCs/>
        </w:rPr>
        <w:t>Dubeau</w:t>
      </w:r>
      <w:proofErr w:type="spellEnd"/>
      <w:r w:rsidRPr="003239C3">
        <w:rPr>
          <w:bCs/>
        </w:rPr>
        <w:t xml:space="preserve">, Rachel L. Maguire, </w:t>
      </w:r>
      <w:proofErr w:type="spellStart"/>
      <w:r w:rsidRPr="003239C3">
        <w:rPr>
          <w:bCs/>
        </w:rPr>
        <w:t>Junfeng</w:t>
      </w:r>
      <w:proofErr w:type="spellEnd"/>
      <w:r w:rsidRPr="003239C3">
        <w:rPr>
          <w:bCs/>
        </w:rPr>
        <w:t xml:space="preserve"> (Jim) Zhang, Bernard F. </w:t>
      </w:r>
      <w:proofErr w:type="spellStart"/>
      <w:r w:rsidRPr="003239C3">
        <w:rPr>
          <w:bCs/>
        </w:rPr>
        <w:t>Fuemmeler</w:t>
      </w:r>
      <w:proofErr w:type="spellEnd"/>
      <w:r w:rsidRPr="003239C3">
        <w:rPr>
          <w:bCs/>
        </w:rPr>
        <w:t xml:space="preserve">, Scott H. </w:t>
      </w:r>
      <w:proofErr w:type="spellStart"/>
      <w:r w:rsidRPr="003239C3">
        <w:rPr>
          <w:bCs/>
        </w:rPr>
        <w:t>Kollins</w:t>
      </w:r>
      <w:proofErr w:type="spellEnd"/>
      <w:r w:rsidRPr="003239C3">
        <w:rPr>
          <w:bCs/>
        </w:rPr>
        <w:t xml:space="preserve">, </w:t>
      </w:r>
      <w:proofErr w:type="spellStart"/>
      <w:r w:rsidRPr="003239C3">
        <w:rPr>
          <w:bCs/>
        </w:rPr>
        <w:t>Cathrine</w:t>
      </w:r>
      <w:proofErr w:type="spellEnd"/>
      <w:r w:rsidRPr="003239C3">
        <w:rPr>
          <w:bCs/>
        </w:rPr>
        <w:t xml:space="preserve"> </w:t>
      </w:r>
      <w:proofErr w:type="spellStart"/>
      <w:r w:rsidRPr="003239C3">
        <w:rPr>
          <w:bCs/>
        </w:rPr>
        <w:t>Hoyo</w:t>
      </w:r>
      <w:proofErr w:type="spellEnd"/>
      <w:r w:rsidRPr="003239C3">
        <w:rPr>
          <w:bCs/>
        </w:rPr>
        <w:t>, Susan K. Murphy, Carrie V. Breton</w:t>
      </w:r>
    </w:p>
    <w:p w14:paraId="05F77154" w14:textId="77777777" w:rsidR="003239C3" w:rsidRDefault="003239C3" w:rsidP="00CA1052">
      <w:pPr>
        <w:spacing w:line="360" w:lineRule="auto"/>
        <w:rPr>
          <w:bCs/>
        </w:rPr>
      </w:pPr>
    </w:p>
    <w:p w14:paraId="7A33264A" w14:textId="2C8114FB" w:rsidR="00580434" w:rsidRPr="00580434" w:rsidRDefault="00581FD4" w:rsidP="00CA1052">
      <w:pPr>
        <w:spacing w:line="360" w:lineRule="auto"/>
        <w:rPr>
          <w:b/>
          <w:bCs/>
        </w:rPr>
      </w:pPr>
      <w:r>
        <w:rPr>
          <w:b/>
          <w:bCs/>
        </w:rPr>
        <w:t>Additional F</w:t>
      </w:r>
      <w:r w:rsidR="00580434" w:rsidRPr="00580434">
        <w:rPr>
          <w:b/>
          <w:bCs/>
        </w:rPr>
        <w:t>ile 1</w:t>
      </w:r>
    </w:p>
    <w:p w14:paraId="0FDC5C63" w14:textId="77777777" w:rsidR="00B9292D" w:rsidRDefault="00B9292D" w:rsidP="00CA1052">
      <w:pPr>
        <w:spacing w:line="360" w:lineRule="auto"/>
        <w:rPr>
          <w:bCs/>
        </w:rPr>
      </w:pPr>
      <w:r>
        <w:rPr>
          <w:bCs/>
        </w:rPr>
        <w:br w:type="page"/>
      </w:r>
    </w:p>
    <w:p w14:paraId="527B5AF4" w14:textId="35285923" w:rsidR="00B9292D" w:rsidRPr="00B9292D" w:rsidRDefault="00B9292D" w:rsidP="00B9292D">
      <w:pPr>
        <w:spacing w:line="480" w:lineRule="auto"/>
        <w:contextualSpacing/>
        <w:rPr>
          <w:rFonts w:cs="Times New Roman"/>
          <w:b/>
        </w:rPr>
      </w:pPr>
      <w:r w:rsidRPr="00B9292D">
        <w:rPr>
          <w:rFonts w:cs="Times New Roman"/>
          <w:b/>
        </w:rPr>
        <w:lastRenderedPageBreak/>
        <w:t>Supplemental methods</w:t>
      </w:r>
    </w:p>
    <w:p w14:paraId="13D0F405" w14:textId="77777777" w:rsidR="00B9292D" w:rsidRPr="001E10E6" w:rsidRDefault="00B9292D" w:rsidP="00B9292D">
      <w:pPr>
        <w:spacing w:line="480" w:lineRule="auto"/>
        <w:contextualSpacing/>
        <w:rPr>
          <w:rFonts w:cs="Times New Roman"/>
          <w:i/>
        </w:rPr>
      </w:pPr>
      <w:r w:rsidRPr="001E10E6">
        <w:rPr>
          <w:rFonts w:cs="Times New Roman"/>
          <w:i/>
        </w:rPr>
        <w:t>mRNA expression in NEST</w:t>
      </w:r>
    </w:p>
    <w:p w14:paraId="522E242E" w14:textId="77777777" w:rsidR="00B9292D" w:rsidRPr="001E10E6" w:rsidRDefault="00B9292D" w:rsidP="00B9292D">
      <w:pPr>
        <w:autoSpaceDE w:val="0"/>
        <w:autoSpaceDN w:val="0"/>
        <w:adjustRightInd w:val="0"/>
        <w:spacing w:line="480" w:lineRule="auto"/>
        <w:ind w:firstLine="432"/>
        <w:contextualSpacing/>
        <w:rPr>
          <w:rFonts w:cs="Times New Roman"/>
        </w:rPr>
      </w:pPr>
      <w:r w:rsidRPr="001E10E6">
        <w:rPr>
          <w:rFonts w:cs="Times New Roman"/>
        </w:rPr>
        <w:t xml:space="preserve">Total </w:t>
      </w:r>
      <w:r w:rsidRPr="001E10E6">
        <w:rPr>
          <w:rFonts w:cs="Times New Roman"/>
          <w:i/>
        </w:rPr>
        <w:t>AXL</w:t>
      </w:r>
      <w:r w:rsidRPr="001E10E6">
        <w:rPr>
          <w:rFonts w:cs="Times New Roman"/>
        </w:rPr>
        <w:t xml:space="preserve"> mRNA was isolated from stored </w:t>
      </w:r>
      <w:proofErr w:type="spellStart"/>
      <w:r w:rsidRPr="001E10E6">
        <w:rPr>
          <w:rFonts w:cs="Times New Roman"/>
        </w:rPr>
        <w:t>PAXgene</w:t>
      </w:r>
      <w:proofErr w:type="spellEnd"/>
      <w:r w:rsidRPr="001E10E6">
        <w:rPr>
          <w:rFonts w:cs="Times New Roman"/>
        </w:rPr>
        <w:t xml:space="preserve"> tubes of cord blood using the </w:t>
      </w:r>
      <w:proofErr w:type="spellStart"/>
      <w:r w:rsidRPr="001E10E6">
        <w:rPr>
          <w:rFonts w:cs="Times New Roman"/>
        </w:rPr>
        <w:t>PAXgene</w:t>
      </w:r>
      <w:proofErr w:type="spellEnd"/>
      <w:r w:rsidRPr="001E10E6">
        <w:rPr>
          <w:rFonts w:cs="Times New Roman"/>
        </w:rPr>
        <w:t xml:space="preserve"> blood miRNA isolation kit (</w:t>
      </w:r>
      <w:proofErr w:type="spellStart"/>
      <w:r w:rsidRPr="001E10E6">
        <w:rPr>
          <w:rFonts w:cs="Times New Roman"/>
        </w:rPr>
        <w:t>Qiagen</w:t>
      </w:r>
      <w:proofErr w:type="spellEnd"/>
      <w:r w:rsidRPr="001E10E6">
        <w:rPr>
          <w:rFonts w:cs="Times New Roman"/>
        </w:rPr>
        <w:t xml:space="preserve">, Valencia, CA). First strand cDNA conversion from 1 µg mRNA was performed using the </w:t>
      </w:r>
      <w:proofErr w:type="spellStart"/>
      <w:r w:rsidRPr="001E10E6">
        <w:rPr>
          <w:rFonts w:cs="Times New Roman"/>
        </w:rPr>
        <w:t>Origene’s</w:t>
      </w:r>
      <w:proofErr w:type="spellEnd"/>
      <w:r w:rsidRPr="001E10E6">
        <w:rPr>
          <w:rFonts w:cs="Times New Roman"/>
        </w:rPr>
        <w:t xml:space="preserve"> cDNA synthesis kit (#HP100042). The </w:t>
      </w:r>
      <w:proofErr w:type="spellStart"/>
      <w:r w:rsidRPr="001E10E6">
        <w:rPr>
          <w:rFonts w:cs="Times New Roman"/>
        </w:rPr>
        <w:t>Origene</w:t>
      </w:r>
      <w:proofErr w:type="spellEnd"/>
      <w:r w:rsidRPr="001E10E6">
        <w:rPr>
          <w:rFonts w:cs="Times New Roman"/>
        </w:rPr>
        <w:t xml:space="preserve"> system’s approach takes into consideration that miRNAs are poor targets in qPCR detection due to their small </w:t>
      </w:r>
      <w:r>
        <w:rPr>
          <w:rFonts w:cs="Times New Roman"/>
        </w:rPr>
        <w:t>sizes</w:t>
      </w:r>
      <w:r w:rsidRPr="001E10E6">
        <w:rPr>
          <w:rFonts w:cs="Times New Roman"/>
        </w:rPr>
        <w:t xml:space="preserve"> (21-23 </w:t>
      </w:r>
      <w:proofErr w:type="spellStart"/>
      <w:r w:rsidRPr="001E10E6">
        <w:rPr>
          <w:rFonts w:cs="Times New Roman"/>
        </w:rPr>
        <w:t>nt</w:t>
      </w:r>
      <w:proofErr w:type="spellEnd"/>
      <w:r w:rsidRPr="001E10E6">
        <w:rPr>
          <w:rFonts w:cs="Times New Roman"/>
        </w:rPr>
        <w:t xml:space="preserve">) and </w:t>
      </w:r>
      <w:r>
        <w:rPr>
          <w:rFonts w:cs="Times New Roman"/>
        </w:rPr>
        <w:t>to the lack of</w:t>
      </w:r>
      <w:r w:rsidRPr="001E10E6">
        <w:rPr>
          <w:rFonts w:cs="Times New Roman"/>
        </w:rPr>
        <w:t xml:space="preserve"> a poly A tail at the 3’ end, a feature that is essential in oligo </w:t>
      </w:r>
      <w:proofErr w:type="spellStart"/>
      <w:r w:rsidRPr="001E10E6">
        <w:rPr>
          <w:rFonts w:cs="Times New Roman"/>
        </w:rPr>
        <w:t>dT</w:t>
      </w:r>
      <w:proofErr w:type="spellEnd"/>
      <w:r w:rsidRPr="001E10E6">
        <w:rPr>
          <w:rFonts w:cs="Times New Roman"/>
        </w:rPr>
        <w:t xml:space="preserve"> primed cDNA synthesis. To overcome these obstacles, a protocol to add poly A tail to each miRNA was adopted, followed by the use of an anchor linker oligo </w:t>
      </w:r>
      <w:proofErr w:type="spellStart"/>
      <w:r w:rsidRPr="001E10E6">
        <w:rPr>
          <w:rFonts w:cs="Times New Roman"/>
        </w:rPr>
        <w:t>dT</w:t>
      </w:r>
      <w:proofErr w:type="spellEnd"/>
      <w:r w:rsidRPr="001E10E6">
        <w:rPr>
          <w:rFonts w:cs="Times New Roman"/>
        </w:rPr>
        <w:t xml:space="preserve"> to synthesize miRNA cDNA. Using 3 µl of cDNA stock (25 ng/µl), qPCR reactions were run with Kappa </w:t>
      </w:r>
      <w:proofErr w:type="spellStart"/>
      <w:r w:rsidRPr="001E10E6">
        <w:rPr>
          <w:rFonts w:cs="Times New Roman"/>
        </w:rPr>
        <w:t>Sybr</w:t>
      </w:r>
      <w:proofErr w:type="spellEnd"/>
      <w:r w:rsidRPr="001E10E6">
        <w:rPr>
          <w:rFonts w:cs="Times New Roman"/>
        </w:rPr>
        <w:t xml:space="preserve"> Fast qPCR kit (# KK4604; </w:t>
      </w:r>
      <w:proofErr w:type="spellStart"/>
      <w:r w:rsidRPr="001E10E6">
        <w:rPr>
          <w:rFonts w:cs="Times New Roman"/>
        </w:rPr>
        <w:t>KapaBiosystems</w:t>
      </w:r>
      <w:proofErr w:type="spellEnd"/>
      <w:r w:rsidRPr="001E10E6">
        <w:rPr>
          <w:rFonts w:cs="Times New Roman"/>
        </w:rPr>
        <w:t>, Boston, MA) in the ABI 7900HT thermocycler (</w:t>
      </w:r>
      <w:proofErr w:type="spellStart"/>
      <w:r w:rsidRPr="001E10E6">
        <w:rPr>
          <w:rFonts w:cs="Times New Roman"/>
        </w:rPr>
        <w:t>Thermofisher</w:t>
      </w:r>
      <w:proofErr w:type="spellEnd"/>
      <w:r w:rsidRPr="001E10E6">
        <w:rPr>
          <w:rFonts w:cs="Times New Roman"/>
        </w:rPr>
        <w:t xml:space="preserve">). </w:t>
      </w:r>
    </w:p>
    <w:p w14:paraId="4F2ED3AC" w14:textId="6F9A9E11" w:rsidR="00B9292D" w:rsidRDefault="00B9292D" w:rsidP="00B9292D">
      <w:pPr>
        <w:autoSpaceDE w:val="0"/>
        <w:autoSpaceDN w:val="0"/>
        <w:adjustRightInd w:val="0"/>
        <w:spacing w:line="480" w:lineRule="auto"/>
        <w:ind w:firstLine="432"/>
        <w:contextualSpacing/>
        <w:rPr>
          <w:rFonts w:cs="Times New Roman"/>
        </w:rPr>
      </w:pPr>
      <w:proofErr w:type="spellStart"/>
      <w:r w:rsidRPr="001E10E6">
        <w:rPr>
          <w:rFonts w:cs="Times New Roman"/>
        </w:rPr>
        <w:t>Origene’s</w:t>
      </w:r>
      <w:proofErr w:type="spellEnd"/>
      <w:r w:rsidRPr="001E10E6">
        <w:rPr>
          <w:rFonts w:cs="Times New Roman"/>
        </w:rPr>
        <w:t xml:space="preserve"> </w:t>
      </w:r>
      <w:proofErr w:type="spellStart"/>
      <w:r w:rsidRPr="001E10E6">
        <w:rPr>
          <w:rFonts w:cs="Times New Roman"/>
        </w:rPr>
        <w:t>qStar</w:t>
      </w:r>
      <w:proofErr w:type="spellEnd"/>
      <w:r w:rsidRPr="001E10E6">
        <w:rPr>
          <w:rFonts w:cs="Times New Roman"/>
        </w:rPr>
        <w:t xml:space="preserve"> mRNA detection system (</w:t>
      </w:r>
      <w:proofErr w:type="spellStart"/>
      <w:r w:rsidRPr="001E10E6">
        <w:rPr>
          <w:rFonts w:cs="Times New Roman"/>
        </w:rPr>
        <w:t>Origene</w:t>
      </w:r>
      <w:proofErr w:type="spellEnd"/>
      <w:r w:rsidRPr="001E10E6">
        <w:rPr>
          <w:rFonts w:cs="Times New Roman"/>
        </w:rPr>
        <w:t xml:space="preserve">, Rockville, MD) was used in the quantification of </w:t>
      </w:r>
      <w:r w:rsidRPr="001E10E6">
        <w:rPr>
          <w:rFonts w:cs="Times New Roman"/>
          <w:i/>
        </w:rPr>
        <w:t>AXL</w:t>
      </w:r>
      <w:r w:rsidRPr="001E10E6">
        <w:rPr>
          <w:rFonts w:cs="Times New Roman"/>
        </w:rPr>
        <w:t xml:space="preserve"> mRNA in cord blood in NEST subjects. qPCR primers for the major </w:t>
      </w:r>
      <w:r w:rsidRPr="001E10E6">
        <w:rPr>
          <w:rFonts w:cs="Times New Roman"/>
          <w:i/>
        </w:rPr>
        <w:t>AXL</w:t>
      </w:r>
      <w:r w:rsidRPr="001E10E6">
        <w:rPr>
          <w:rFonts w:cs="Times New Roman"/>
        </w:rPr>
        <w:t xml:space="preserve"> transcript (#HK228780) and its corresponding copy number standard (#HK201002) were designed by </w:t>
      </w:r>
      <w:proofErr w:type="spellStart"/>
      <w:r w:rsidRPr="001E10E6">
        <w:rPr>
          <w:rFonts w:cs="Times New Roman"/>
        </w:rPr>
        <w:t>qStar</w:t>
      </w:r>
      <w:proofErr w:type="spellEnd"/>
      <w:r w:rsidRPr="001E10E6">
        <w:rPr>
          <w:rFonts w:cs="Times New Roman"/>
        </w:rPr>
        <w:t xml:space="preserve">. </w:t>
      </w:r>
      <w:r w:rsidRPr="001E10E6">
        <w:rPr>
          <w:rFonts w:cs="Times New Roman"/>
          <w:i/>
        </w:rPr>
        <w:t>AXL</w:t>
      </w:r>
      <w:r w:rsidRPr="001E10E6">
        <w:rPr>
          <w:rFonts w:cs="Times New Roman"/>
        </w:rPr>
        <w:t xml:space="preserve"> mRNA was isolated from stored </w:t>
      </w:r>
      <w:proofErr w:type="spellStart"/>
      <w:r w:rsidRPr="001E10E6">
        <w:rPr>
          <w:rFonts w:cs="Times New Roman"/>
        </w:rPr>
        <w:t>PAXgene</w:t>
      </w:r>
      <w:proofErr w:type="spellEnd"/>
      <w:r w:rsidRPr="001E10E6">
        <w:rPr>
          <w:rFonts w:cs="Times New Roman"/>
        </w:rPr>
        <w:t xml:space="preserve"> tubes of cord blood using the </w:t>
      </w:r>
      <w:proofErr w:type="spellStart"/>
      <w:r w:rsidRPr="001E10E6">
        <w:rPr>
          <w:rFonts w:cs="Times New Roman"/>
        </w:rPr>
        <w:t>PAXgene</w:t>
      </w:r>
      <w:proofErr w:type="spellEnd"/>
      <w:r w:rsidRPr="001E10E6">
        <w:rPr>
          <w:rFonts w:cs="Times New Roman"/>
        </w:rPr>
        <w:t xml:space="preserve"> blood mRNA isolation kit (</w:t>
      </w:r>
      <w:proofErr w:type="spellStart"/>
      <w:r w:rsidRPr="001E10E6">
        <w:rPr>
          <w:rFonts w:cs="Times New Roman"/>
        </w:rPr>
        <w:t>Qiagen</w:t>
      </w:r>
      <w:proofErr w:type="spellEnd"/>
      <w:r w:rsidRPr="001E10E6">
        <w:rPr>
          <w:rFonts w:cs="Times New Roman"/>
        </w:rPr>
        <w:t xml:space="preserve">, Valencia, CA). First strand cDNA conversion of mRNA was performed using </w:t>
      </w:r>
      <w:proofErr w:type="spellStart"/>
      <w:r w:rsidRPr="001E10E6">
        <w:rPr>
          <w:rFonts w:cs="Times New Roman"/>
        </w:rPr>
        <w:t>Origene’s</w:t>
      </w:r>
      <w:proofErr w:type="spellEnd"/>
      <w:r w:rsidRPr="001E10E6">
        <w:rPr>
          <w:rFonts w:cs="Times New Roman"/>
        </w:rPr>
        <w:t xml:space="preserve"> cDNA synthesis kit (#NP100042). qPCR reactions were run with Kappa </w:t>
      </w:r>
      <w:proofErr w:type="spellStart"/>
      <w:r w:rsidRPr="001E10E6">
        <w:rPr>
          <w:rFonts w:cs="Times New Roman"/>
        </w:rPr>
        <w:t>Sybr</w:t>
      </w:r>
      <w:proofErr w:type="spellEnd"/>
      <w:r w:rsidRPr="001E10E6">
        <w:rPr>
          <w:rFonts w:cs="Times New Roman"/>
        </w:rPr>
        <w:t xml:space="preserve"> Fast qPCR kit (# KK4604; </w:t>
      </w:r>
      <w:proofErr w:type="spellStart"/>
      <w:r w:rsidRPr="001E10E6">
        <w:rPr>
          <w:rFonts w:cs="Times New Roman"/>
        </w:rPr>
        <w:t>KapaBiosystems</w:t>
      </w:r>
      <w:proofErr w:type="spellEnd"/>
      <w:r w:rsidRPr="001E10E6">
        <w:rPr>
          <w:rFonts w:cs="Times New Roman"/>
        </w:rPr>
        <w:t>, Boston, MA) in the ABI 7900HT thermocycler (</w:t>
      </w:r>
      <w:proofErr w:type="spellStart"/>
      <w:r w:rsidRPr="001E10E6">
        <w:rPr>
          <w:rFonts w:cs="Times New Roman"/>
        </w:rPr>
        <w:t>Thermofisher</w:t>
      </w:r>
      <w:proofErr w:type="spellEnd"/>
      <w:r w:rsidRPr="001E10E6">
        <w:rPr>
          <w:rFonts w:cs="Times New Roman"/>
        </w:rPr>
        <w:t xml:space="preserve">). </w:t>
      </w:r>
      <w:r>
        <w:rPr>
          <w:rFonts w:cs="Times New Roman"/>
        </w:rPr>
        <w:t xml:space="preserve">To evaluate reproducibility, </w:t>
      </w:r>
      <w:r w:rsidRPr="00A80BE6">
        <w:rPr>
          <w:rFonts w:cs="Times New Roman"/>
        </w:rPr>
        <w:t>10%</w:t>
      </w:r>
      <w:r w:rsidRPr="001E10E6">
        <w:rPr>
          <w:rFonts w:cs="Times New Roman"/>
        </w:rPr>
        <w:t xml:space="preserve"> repeats were</w:t>
      </w:r>
      <w:r>
        <w:rPr>
          <w:rFonts w:cs="Times New Roman"/>
        </w:rPr>
        <w:t xml:space="preserve"> included</w:t>
      </w:r>
      <w:r w:rsidRPr="001E10E6">
        <w:rPr>
          <w:rFonts w:cs="Times New Roman"/>
        </w:rPr>
        <w:t>.</w:t>
      </w:r>
    </w:p>
    <w:p w14:paraId="0B7F76B3" w14:textId="77777777" w:rsidR="00BB6860" w:rsidRDefault="00BB6860">
      <w:pPr>
        <w:rPr>
          <w:rFonts w:cs="Times New Roman"/>
        </w:rPr>
        <w:sectPr w:rsidR="00BB6860" w:rsidSect="00A96694">
          <w:footerReference w:type="even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W w:w="14811" w:type="dxa"/>
        <w:tblInd w:w="-711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8"/>
        <w:gridCol w:w="963"/>
        <w:gridCol w:w="1170"/>
        <w:gridCol w:w="540"/>
        <w:gridCol w:w="630"/>
        <w:gridCol w:w="1080"/>
        <w:gridCol w:w="900"/>
        <w:gridCol w:w="630"/>
        <w:gridCol w:w="720"/>
        <w:gridCol w:w="270"/>
        <w:gridCol w:w="568"/>
        <w:gridCol w:w="655"/>
        <w:gridCol w:w="1554"/>
        <w:gridCol w:w="823"/>
        <w:gridCol w:w="900"/>
        <w:gridCol w:w="990"/>
      </w:tblGrid>
      <w:tr w:rsidR="0024128B" w:rsidRPr="0024128B" w14:paraId="093EE354" w14:textId="77777777" w:rsidTr="0024128B">
        <w:tc>
          <w:tcPr>
            <w:tcW w:w="14811" w:type="dxa"/>
            <w:gridSpan w:val="16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99F992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Table S1. Summary statistics for miR-199a1 and </w:t>
            </w:r>
            <w:r w:rsidRPr="0024128B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AXL</w:t>
            </w:r>
            <w:r w:rsidRPr="0024128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mRNA expression, cotinine concentration and </w:t>
            </w:r>
            <w:r w:rsidRPr="0024128B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AXL</w:t>
            </w:r>
            <w:r w:rsidRPr="0024128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methylation levels in CHS and NEST subjects</w:t>
            </w:r>
          </w:p>
        </w:tc>
      </w:tr>
      <w:tr w:rsidR="0024128B" w:rsidRPr="0024128B" w14:paraId="339DD5A6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CA3C2D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1777EB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044F19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gridSpan w:val="6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FF445A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CHS 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8B589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90" w:type="dxa"/>
            <w:gridSpan w:val="6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8D23E2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NEST </w:t>
            </w:r>
          </w:p>
        </w:tc>
      </w:tr>
      <w:tr w:rsidR="0024128B" w:rsidRPr="0024128B" w14:paraId="35D22EE8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491A0FD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7DE1FA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Distance from TSS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F70B86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Genomic region</w:t>
            </w:r>
          </w:p>
        </w:tc>
        <w:tc>
          <w:tcPr>
            <w:tcW w:w="54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2605CB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5D1524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A4DAB4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Mean ± SD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0AFD16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402234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IQR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10F5AB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518F49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96CA00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655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743D09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1554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4FA5CC2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Mean ± SD</w:t>
            </w:r>
          </w:p>
        </w:tc>
        <w:tc>
          <w:tcPr>
            <w:tcW w:w="823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694EC5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A3AF9E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IQR</w:t>
            </w:r>
          </w:p>
        </w:tc>
        <w:tc>
          <w:tcPr>
            <w:tcW w:w="99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392E7C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Max</w:t>
            </w:r>
          </w:p>
        </w:tc>
      </w:tr>
      <w:tr w:rsidR="0024128B" w:rsidRPr="0024128B" w14:paraId="68C877C1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B5E58EA" w14:textId="62E57279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MiR-</w:t>
            </w:r>
            <w:r w:rsidR="00D17502">
              <w:rPr>
                <w:rFonts w:cs="Times New Roman"/>
                <w:color w:val="000000"/>
                <w:sz w:val="20"/>
                <w:szCs w:val="20"/>
              </w:rPr>
              <w:t>199a1 expression (copies/µg RNA</w:t>
            </w:r>
            <w:r w:rsidRPr="0024128B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D85F2A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6BAF53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D5E252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FC54C9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F1953C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B0590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D5449E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A4973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48C59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0D1BBD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9206D4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C0D9A9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257192 ± 225369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0F012C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184098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0D558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258974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B96F1D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1187455</w:t>
            </w:r>
          </w:p>
        </w:tc>
      </w:tr>
      <w:tr w:rsidR="0024128B" w:rsidRPr="0024128B" w14:paraId="2BE2386F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DA71F3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AXL</w:t>
            </w:r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mRNA expression in cord blood (copies/µg cDNA)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F65AE1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D38C6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0BF320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1EEF6C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77D3D8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AAD4D3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577F82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678648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3B4B5C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AF6CD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F029A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27A136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4479 ± 7279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047317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3503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41239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1965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FEDFF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96141</w:t>
            </w:r>
          </w:p>
        </w:tc>
      </w:tr>
      <w:tr w:rsidR="0024128B" w:rsidRPr="0024128B" w14:paraId="29426592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09BB4F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Cotinine concentration (ng/ml)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07B56B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BB115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194DC1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6CB717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5CD7EC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786A01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B88AD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B336F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4F977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736B6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0EB417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3BCC0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32.8 ± 66.5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D0FC35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0C50E6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2C6A20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371.0</w:t>
            </w:r>
          </w:p>
        </w:tc>
      </w:tr>
      <w:tr w:rsidR="0024128B" w:rsidRPr="0024128B" w14:paraId="05E67649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33F5E0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AXL</w:t>
            </w:r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methylation levels (%)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106A05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41D7D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702095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2DAF0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7A006D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1325C0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00C1F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C1F247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1C7828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DE6B0C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618D6A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1EF910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E9B4A2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7986A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F2E7FB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1D55924B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5548A1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1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742575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71D8D6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3C7933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67B88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81E6C6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230A99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FE601D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E1204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89FEA6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EF79F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3277DD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D14151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793D9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43B97F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D42236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46F7EBA5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6DA199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814A79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-508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B6E683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5-Upstream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A17C7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31DE8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7333C2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43.0 ± 8.0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396C2B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9B7A7B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A9DFC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66.9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0FB06B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3DC5D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1DBB2D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68542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43.6 ± 9.8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171D7B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76CFC5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B1886C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79.7</w:t>
            </w:r>
          </w:p>
        </w:tc>
      </w:tr>
      <w:tr w:rsidR="0024128B" w:rsidRPr="0024128B" w14:paraId="20B72375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017E0E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F1AB33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-492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E5AF80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5-Upstream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2EA590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366EAC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E4A218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50.1 ± 7.5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F4D8D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8305F3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2C0AA9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45D9A9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00084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A4AE7B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6A7E90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51.2 ± 8.7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2A3054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30DA7D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DECCE6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83.5</w:t>
            </w:r>
          </w:p>
        </w:tc>
      </w:tr>
      <w:tr w:rsidR="0024128B" w:rsidRPr="0024128B" w14:paraId="006B1183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D7F16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354FB9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-479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E43F33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5-Upstream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FD77E3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912FFD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8EEBE5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20.1 ± 4.4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A08EF9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3DC417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3C8EC6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E228B7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4CBF0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14939F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140E0E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20.9 ± 5.4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1014F5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A4DB0B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18257B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44.3</w:t>
            </w:r>
          </w:p>
        </w:tc>
      </w:tr>
      <w:tr w:rsidR="0024128B" w:rsidRPr="0024128B" w14:paraId="6A7201FE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68B6F2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Average of </w:t>
            </w: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23-25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E33D40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558ECF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F87F8A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E5B039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4A5D1C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37.7 ± 6.2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86CDCC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35E042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8D2017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54.1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B8E2B8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82803C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226A6B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D5984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38.5 ± 7.1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03F128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B6133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A0C06E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60.6</w:t>
            </w:r>
          </w:p>
        </w:tc>
      </w:tr>
      <w:tr w:rsidR="0024128B" w:rsidRPr="0024128B" w14:paraId="4DCEAF93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2C355F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2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AC51B9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C0B1F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794F5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DE49B6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62BD65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ACA28A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886B4A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2CC918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F6D5D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477242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9B2ADB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BFB64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3C17A0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072E7B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32F048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20AD2E0D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D32869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62808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-55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E8EEC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5-Upstream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21CB27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1F844C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74025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11.7 ± 3.7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98B120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73FBDD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3636BA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824B6A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37F591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788B07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1E60C5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12.6 ± 4.9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175046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137D61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61CF9F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61.3</w:t>
            </w:r>
          </w:p>
        </w:tc>
      </w:tr>
      <w:tr w:rsidR="0024128B" w:rsidRPr="0024128B" w14:paraId="7BCE29C1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ECC759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4C8565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4A5D0D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5-Upstream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84A155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D214B6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1575D8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11.2 ± 3.3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FAAED9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69778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81B15F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22666E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646219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83020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BF2C46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13.0 ± 5.4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B64894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AF3C3B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4A8D3B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82.0</w:t>
            </w:r>
          </w:p>
        </w:tc>
      </w:tr>
      <w:tr w:rsidR="0024128B" w:rsidRPr="0024128B" w14:paraId="75C8113D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F24C60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Average of </w:t>
            </w: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8-9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0CCD5A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D2C3CF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52C4B9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5BC01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DE5C21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11.4 ± 3.4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254F1E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D1388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8729EC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04255B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BDF3F5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E8EFCF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E8ABD2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12.8 ± 4.6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B87A17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D4933D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C564CA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59.6</w:t>
            </w:r>
          </w:p>
        </w:tc>
      </w:tr>
      <w:tr w:rsidR="0024128B" w:rsidRPr="0024128B" w14:paraId="369AF3CA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74A383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3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5A59F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3AFC8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FF5A02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D0ECAD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889AE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AB996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C2936F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42EC29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0EC671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83C7CD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38EB5A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4DC78B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90F568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C782BC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35235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3D53D357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187650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111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3B6C7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4518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BC468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Intron 4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DEA7F4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821F00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9032F7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36.6 ± 3.6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A3FBA5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36.5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DBC57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F3237E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51.6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964C3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4F6AA8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5F8E10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7DC7C7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37.6 ± 6.8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09FB54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FB1D2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19ADE6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24128B" w:rsidRPr="0024128B" w14:paraId="71D79864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3DF7EF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4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0173CE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87211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0E10C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BA77C5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358DBD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2F755B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A15D8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A8DAF0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881699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7BD17A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41524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0FE949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196FED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8BBF28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D53C5C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3781EA24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6FE358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112 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157756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4550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33F944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Intron 4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2974C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671436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71.0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2342CE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83.8 ± 3.1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AB42E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3327F7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350F97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47FCA3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57C597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82309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38F91A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82.8 ± 5.3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D2E03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EFD10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32E4D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99.9</w:t>
            </w:r>
          </w:p>
        </w:tc>
      </w:tr>
      <w:tr w:rsidR="0024128B" w:rsidRPr="0024128B" w14:paraId="377FB99C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E003F5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5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8AEBC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E8354A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F5483E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85630E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D9E056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241F5D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781268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0AEDDD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F810C5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4C36F4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88FC30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3A39D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AC9B37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6F6A53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F2CDF4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1D8A6E7F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005C5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160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E2E75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6813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DD2EDB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Intron 4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FF68D4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095AF3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96E7D3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2.4 ± 1.0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EC7347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35DF5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CC5DDC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DD9042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9818AF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BBDE3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748092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2.6 ± 2.0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1948AC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A9C5A5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43A7D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26.5</w:t>
            </w:r>
          </w:p>
        </w:tc>
      </w:tr>
      <w:tr w:rsidR="0024128B" w:rsidRPr="0024128B" w14:paraId="464CB02F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2BDC8F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161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5D47D5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6827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3D9F80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Intron 4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C0D1AE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DCEF60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7C03A29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4.6 ± 1.8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48420C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E9F24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901011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6937AB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2D8850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773DAE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2A25BD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4.8 ± 2.2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9AAF5B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A2464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26FCE5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28.5</w:t>
            </w:r>
          </w:p>
        </w:tc>
      </w:tr>
      <w:tr w:rsidR="0024128B" w:rsidRPr="0024128B" w14:paraId="1F3439B0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70FD23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162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5006B5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6834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C22968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Intron 4</w:t>
            </w: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F5ECD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8CFE74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A0A810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5.9 ± 2.1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003ED8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1BC897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8F1AAB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A2FF18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C51E0E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2F0FF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85046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6.4 ± 3.1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E068C6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C4532F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5C12EF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41.7</w:t>
            </w:r>
          </w:p>
        </w:tc>
      </w:tr>
      <w:tr w:rsidR="0024128B" w:rsidRPr="0024128B" w14:paraId="4135247F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195DAF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Average of </w:t>
            </w: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160-162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CFF3C1B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6B1BEF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BF8A7F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D5036B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95127F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4.3 ± 1.5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975E10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A4798C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7BCB0B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CD4D6B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3F049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89F552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3931D5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4.6 ± 2.0</w:t>
            </w: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DD8D6A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2B0059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D400F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27.2</w:t>
            </w:r>
          </w:p>
        </w:tc>
      </w:tr>
      <w:tr w:rsidR="0024128B" w:rsidRPr="0024128B" w14:paraId="10872472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EC5FB2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i/>
                <w:iCs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Region 6</w:t>
            </w:r>
          </w:p>
        </w:tc>
        <w:tc>
          <w:tcPr>
            <w:tcW w:w="96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C40A09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65CCA9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0D5F7A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B89820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4D21C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B1598C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693AB3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1C466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9C5CD0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458AB0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8A587E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15A8AE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98F49F5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1522E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AE7FAA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4128B" w:rsidRPr="0024128B" w14:paraId="4DBF07EC" w14:textId="77777777" w:rsidTr="0024128B">
        <w:tblPrEx>
          <w:tblBorders>
            <w:top w:val="none" w:sz="0" w:space="0" w:color="auto"/>
          </w:tblBorders>
        </w:tblPrEx>
        <w:tc>
          <w:tcPr>
            <w:tcW w:w="241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B8DEC1A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24128B">
              <w:rPr>
                <w:rFonts w:cs="Times New Roman"/>
                <w:color w:val="000000"/>
                <w:sz w:val="20"/>
                <w:szCs w:val="20"/>
              </w:rPr>
              <w:t>CpG</w:t>
            </w:r>
            <w:proofErr w:type="spellEnd"/>
            <w:r w:rsidRPr="0024128B">
              <w:rPr>
                <w:rFonts w:cs="Times New Roman"/>
                <w:color w:val="000000"/>
                <w:sz w:val="20"/>
                <w:szCs w:val="20"/>
              </w:rPr>
              <w:t xml:space="preserve"> 754</w:t>
            </w:r>
          </w:p>
        </w:tc>
        <w:tc>
          <w:tcPr>
            <w:tcW w:w="963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EA76E3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42562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83D47B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3-UTR</w:t>
            </w:r>
          </w:p>
        </w:tc>
        <w:tc>
          <w:tcPr>
            <w:tcW w:w="54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1F44537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31028D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4DFAD1F6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58.5 ± 3.5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A55A3E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27DD77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0BEF3ED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69.0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8A097D3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3ED537E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655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2A8DA72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554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2D120CF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56.1 ± 7.3</w:t>
            </w:r>
          </w:p>
        </w:tc>
        <w:tc>
          <w:tcPr>
            <w:tcW w:w="823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BE44D10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06D2A91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9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706DFA8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24128B" w:rsidRPr="0024128B" w14:paraId="262972FE" w14:textId="77777777" w:rsidTr="0024128B">
        <w:tc>
          <w:tcPr>
            <w:tcW w:w="14811" w:type="dxa"/>
            <w:gridSpan w:val="16"/>
            <w:tcBorders>
              <w:top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49FC50C" w14:textId="77777777" w:rsidR="0024128B" w:rsidRPr="0024128B" w:rsidRDefault="0024128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24128B">
              <w:rPr>
                <w:rFonts w:cs="Times New Roman"/>
                <w:color w:val="000000"/>
                <w:sz w:val="20"/>
                <w:szCs w:val="20"/>
              </w:rPr>
              <w:t>TSS: transcription start site; UTR: untranslated region.</w:t>
            </w:r>
          </w:p>
        </w:tc>
      </w:tr>
    </w:tbl>
    <w:p w14:paraId="2CECFC02" w14:textId="77777777" w:rsidR="00D17502" w:rsidRDefault="0024128B">
      <w:pPr>
        <w:rPr>
          <w:rFonts w:cs="Times New Roman"/>
        </w:rPr>
        <w:sectPr w:rsidR="00D17502" w:rsidSect="00BB686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Times New Roman"/>
        </w:rPr>
        <w:t xml:space="preserve"> </w:t>
      </w:r>
    </w:p>
    <w:tbl>
      <w:tblPr>
        <w:tblW w:w="9828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890"/>
        <w:gridCol w:w="1080"/>
        <w:gridCol w:w="1890"/>
        <w:gridCol w:w="900"/>
        <w:gridCol w:w="1890"/>
        <w:gridCol w:w="1080"/>
      </w:tblGrid>
      <w:tr w:rsidR="0008489C" w:rsidRPr="00CE322E" w14:paraId="56AF8D9E" w14:textId="77777777" w:rsidTr="0008489C">
        <w:tc>
          <w:tcPr>
            <w:tcW w:w="9828" w:type="dxa"/>
            <w:gridSpan w:val="7"/>
            <w:tcBorders>
              <w:bottom w:val="single" w:sz="8" w:space="0" w:color="000000"/>
            </w:tcBorders>
            <w:vAlign w:val="center"/>
          </w:tcPr>
          <w:p w14:paraId="7DA24EA2" w14:textId="061238D4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</w:rPr>
              <w:lastRenderedPageBreak/>
              <w:t>Table S</w:t>
            </w: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 xml:space="preserve">2. Association between PTS exposure and </w:t>
            </w:r>
            <w:r w:rsidRPr="00CE322E">
              <w:rPr>
                <w:rFonts w:eastAsia="SimSun"/>
                <w:b/>
                <w:bCs/>
                <w:i/>
                <w:iCs/>
                <w:color w:val="000000"/>
                <w:sz w:val="22"/>
                <w:szCs w:val="22"/>
              </w:rPr>
              <w:t>AXL</w:t>
            </w: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 xml:space="preserve"> DNA methylation at each </w:t>
            </w:r>
            <w:proofErr w:type="spellStart"/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 xml:space="preserve"> site at birth in CHS and NEST </w:t>
            </w:r>
            <w:proofErr w:type="spellStart"/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subjects</w:t>
            </w: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08489C" w:rsidRPr="00CE322E" w14:paraId="2721A39C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27D8CE7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</w:tcBorders>
            <w:vAlign w:val="center"/>
          </w:tcPr>
          <w:p w14:paraId="4375DD4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CHS (N=799)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</w:tcBorders>
            <w:vAlign w:val="center"/>
          </w:tcPr>
          <w:p w14:paraId="1BB61CFF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NEST (N=592)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</w:tcBorders>
            <w:vAlign w:val="center"/>
          </w:tcPr>
          <w:p w14:paraId="34832B5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Pooled analysis (N=</w:t>
            </w:r>
            <w:proofErr w:type="gramStart"/>
            <w:r w:rsidRPr="00CE322E">
              <w:rPr>
                <w:rFonts w:eastAsia="SimSun"/>
                <w:color w:val="000000"/>
                <w:sz w:val="22"/>
                <w:szCs w:val="22"/>
              </w:rPr>
              <w:t>1294)</w:t>
            </w:r>
            <w:r w:rsidRPr="00CE322E">
              <w:rPr>
                <w:rFonts w:eastAsia="SimSun"/>
                <w:color w:val="000000"/>
                <w:sz w:val="22"/>
                <w:szCs w:val="22"/>
                <w:vertAlign w:val="superscript"/>
              </w:rPr>
              <w:t>b</w:t>
            </w:r>
            <w:proofErr w:type="gramEnd"/>
          </w:p>
        </w:tc>
      </w:tr>
      <w:tr w:rsidR="0008489C" w:rsidRPr="00CE322E" w14:paraId="0381CA50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bottom w:val="single" w:sz="8" w:space="0" w:color="000000"/>
            </w:tcBorders>
            <w:vAlign w:val="center"/>
          </w:tcPr>
          <w:p w14:paraId="508E61B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  <w:r w:rsidRPr="00CE322E">
              <w:rPr>
                <w:rFonts w:ascii="Calibri" w:eastAsia="SimSu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0146FB8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  <w:t>𝛽</w:t>
            </w:r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(95% CI)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vAlign w:val="center"/>
          </w:tcPr>
          <w:p w14:paraId="1B2D1CC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2CB6B06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  <w:t>𝛽</w:t>
            </w:r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(95% CI)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vAlign w:val="center"/>
          </w:tcPr>
          <w:p w14:paraId="7799384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4C11562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  <w:t>𝛽</w:t>
            </w:r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(95% CI)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vAlign w:val="center"/>
          </w:tcPr>
          <w:p w14:paraId="5023ABC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P-value</w:t>
            </w:r>
          </w:p>
        </w:tc>
      </w:tr>
      <w:tr w:rsidR="0008489C" w:rsidRPr="00CE322E" w14:paraId="56E45508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253B0A7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1</w:t>
            </w:r>
          </w:p>
        </w:tc>
        <w:tc>
          <w:tcPr>
            <w:tcW w:w="1890" w:type="dxa"/>
            <w:vAlign w:val="center"/>
          </w:tcPr>
          <w:p w14:paraId="650C97C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F275109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125C926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4691B8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4F513CD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A98E70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2AA34DD8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109EEB0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25</w:t>
            </w:r>
          </w:p>
        </w:tc>
        <w:tc>
          <w:tcPr>
            <w:tcW w:w="1890" w:type="dxa"/>
            <w:vAlign w:val="center"/>
          </w:tcPr>
          <w:p w14:paraId="3BAC0EB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-0.77 (-2.15, 0.61)</w:t>
            </w:r>
          </w:p>
        </w:tc>
        <w:tc>
          <w:tcPr>
            <w:tcW w:w="1080" w:type="dxa"/>
            <w:vAlign w:val="center"/>
          </w:tcPr>
          <w:p w14:paraId="52BD56C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890" w:type="dxa"/>
            <w:vAlign w:val="center"/>
          </w:tcPr>
          <w:p w14:paraId="44B6D10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0.42 (-1.32, 2.16)</w:t>
            </w:r>
          </w:p>
        </w:tc>
        <w:tc>
          <w:tcPr>
            <w:tcW w:w="900" w:type="dxa"/>
            <w:vAlign w:val="center"/>
          </w:tcPr>
          <w:p w14:paraId="347DF759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890" w:type="dxa"/>
            <w:vAlign w:val="center"/>
          </w:tcPr>
          <w:p w14:paraId="5F86EA32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-0.38 (-1.46, 0.70)</w:t>
            </w:r>
          </w:p>
        </w:tc>
        <w:tc>
          <w:tcPr>
            <w:tcW w:w="1080" w:type="dxa"/>
            <w:vAlign w:val="center"/>
          </w:tcPr>
          <w:p w14:paraId="55D36A5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0.49</w:t>
            </w:r>
          </w:p>
        </w:tc>
      </w:tr>
      <w:tr w:rsidR="0008489C" w:rsidRPr="00CE322E" w14:paraId="34B8FECE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55EE20D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1890" w:type="dxa"/>
            <w:vAlign w:val="center"/>
          </w:tcPr>
          <w:p w14:paraId="2B6E11D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-0.99 (-2.28, 0.30)</w:t>
            </w:r>
          </w:p>
        </w:tc>
        <w:tc>
          <w:tcPr>
            <w:tcW w:w="1080" w:type="dxa"/>
            <w:vAlign w:val="center"/>
          </w:tcPr>
          <w:p w14:paraId="38AE96F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890" w:type="dxa"/>
            <w:vAlign w:val="center"/>
          </w:tcPr>
          <w:p w14:paraId="1CE1FD89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-0.33 (-1.90, 1.24)</w:t>
            </w:r>
          </w:p>
        </w:tc>
        <w:tc>
          <w:tcPr>
            <w:tcW w:w="900" w:type="dxa"/>
            <w:vAlign w:val="center"/>
          </w:tcPr>
          <w:p w14:paraId="24C8440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890" w:type="dxa"/>
            <w:vAlign w:val="center"/>
          </w:tcPr>
          <w:p w14:paraId="31E61FB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-0.78 (-1.77, 0.21)</w:t>
            </w:r>
          </w:p>
        </w:tc>
        <w:tc>
          <w:tcPr>
            <w:tcW w:w="1080" w:type="dxa"/>
            <w:vAlign w:val="center"/>
          </w:tcPr>
          <w:p w14:paraId="645BE6F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0.12</w:t>
            </w:r>
          </w:p>
        </w:tc>
      </w:tr>
      <w:tr w:rsidR="0008489C" w:rsidRPr="00CE322E" w14:paraId="4C3C6A59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3813F39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1890" w:type="dxa"/>
            <w:vAlign w:val="center"/>
          </w:tcPr>
          <w:p w14:paraId="707497A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0.30 (-0.46, 1.06)</w:t>
            </w:r>
          </w:p>
        </w:tc>
        <w:tc>
          <w:tcPr>
            <w:tcW w:w="1080" w:type="dxa"/>
            <w:vAlign w:val="center"/>
          </w:tcPr>
          <w:p w14:paraId="43EB03E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890" w:type="dxa"/>
            <w:vAlign w:val="center"/>
          </w:tcPr>
          <w:p w14:paraId="2A00FF0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0.23 (-0.74, 1.21)</w:t>
            </w:r>
          </w:p>
        </w:tc>
        <w:tc>
          <w:tcPr>
            <w:tcW w:w="900" w:type="dxa"/>
            <w:vAlign w:val="center"/>
          </w:tcPr>
          <w:p w14:paraId="0345323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890" w:type="dxa"/>
            <w:vAlign w:val="center"/>
          </w:tcPr>
          <w:p w14:paraId="10A382E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0.27 (-0.34, 0.87)</w:t>
            </w:r>
          </w:p>
        </w:tc>
        <w:tc>
          <w:tcPr>
            <w:tcW w:w="1080" w:type="dxa"/>
            <w:vAlign w:val="center"/>
          </w:tcPr>
          <w:p w14:paraId="6BE1B07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0.39</w:t>
            </w:r>
          </w:p>
        </w:tc>
      </w:tr>
      <w:tr w:rsidR="0008489C" w:rsidRPr="00CE322E" w14:paraId="59825041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44C8C85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2</w:t>
            </w:r>
          </w:p>
        </w:tc>
        <w:tc>
          <w:tcPr>
            <w:tcW w:w="1890" w:type="dxa"/>
            <w:vAlign w:val="center"/>
          </w:tcPr>
          <w:p w14:paraId="65BAED6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F315D0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33CBD27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D567DD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6A26940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50A5C4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4E6E4455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774DA64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890" w:type="dxa"/>
            <w:vAlign w:val="center"/>
          </w:tcPr>
          <w:p w14:paraId="78EFE0E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0.02 (-0.62, 0.66)</w:t>
            </w:r>
          </w:p>
        </w:tc>
        <w:tc>
          <w:tcPr>
            <w:tcW w:w="1080" w:type="dxa"/>
            <w:vAlign w:val="center"/>
          </w:tcPr>
          <w:p w14:paraId="25930CD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890" w:type="dxa"/>
            <w:vAlign w:val="center"/>
          </w:tcPr>
          <w:p w14:paraId="1560DD7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0.18 (-0.71, 1.06)</w:t>
            </w:r>
          </w:p>
        </w:tc>
        <w:tc>
          <w:tcPr>
            <w:tcW w:w="900" w:type="dxa"/>
            <w:vAlign w:val="center"/>
          </w:tcPr>
          <w:p w14:paraId="401BEE2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890" w:type="dxa"/>
            <w:vAlign w:val="center"/>
          </w:tcPr>
          <w:p w14:paraId="0A8C073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0.06 (-0.47, 0.59)</w:t>
            </w:r>
          </w:p>
        </w:tc>
        <w:tc>
          <w:tcPr>
            <w:tcW w:w="1080" w:type="dxa"/>
            <w:vAlign w:val="center"/>
          </w:tcPr>
          <w:p w14:paraId="38FC9F0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0.82</w:t>
            </w:r>
          </w:p>
        </w:tc>
      </w:tr>
      <w:tr w:rsidR="0008489C" w:rsidRPr="00CE322E" w14:paraId="26766B3E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77405AD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1890" w:type="dxa"/>
            <w:vAlign w:val="center"/>
          </w:tcPr>
          <w:p w14:paraId="7AE94AB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0.00 (-0.56, 0.57)</w:t>
            </w:r>
          </w:p>
        </w:tc>
        <w:tc>
          <w:tcPr>
            <w:tcW w:w="1080" w:type="dxa"/>
            <w:vAlign w:val="center"/>
          </w:tcPr>
          <w:p w14:paraId="62E3FDE9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890" w:type="dxa"/>
            <w:vAlign w:val="center"/>
          </w:tcPr>
          <w:p w14:paraId="5F90ACB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1.01 (0.04, 1.98)</w:t>
            </w:r>
          </w:p>
        </w:tc>
        <w:tc>
          <w:tcPr>
            <w:tcW w:w="900" w:type="dxa"/>
            <w:vAlign w:val="center"/>
          </w:tcPr>
          <w:p w14:paraId="4C3F810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890" w:type="dxa"/>
            <w:vAlign w:val="center"/>
          </w:tcPr>
          <w:p w14:paraId="3B452C5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0.41 (-0.07, 0.88)</w:t>
            </w:r>
          </w:p>
        </w:tc>
        <w:tc>
          <w:tcPr>
            <w:tcW w:w="1080" w:type="dxa"/>
            <w:vAlign w:val="center"/>
          </w:tcPr>
          <w:p w14:paraId="67C25CF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0.10</w:t>
            </w:r>
          </w:p>
        </w:tc>
      </w:tr>
      <w:tr w:rsidR="0008489C" w:rsidRPr="00CE322E" w14:paraId="6D40EDF9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27FD03B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3</w:t>
            </w:r>
          </w:p>
        </w:tc>
        <w:tc>
          <w:tcPr>
            <w:tcW w:w="1890" w:type="dxa"/>
            <w:vAlign w:val="center"/>
          </w:tcPr>
          <w:p w14:paraId="308537D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1BAEB5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7AE3856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582AD7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0145C3B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C72054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07D0528E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6EF660F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111</w:t>
            </w:r>
          </w:p>
        </w:tc>
        <w:tc>
          <w:tcPr>
            <w:tcW w:w="1890" w:type="dxa"/>
            <w:vAlign w:val="center"/>
          </w:tcPr>
          <w:p w14:paraId="7CF2D92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0.58 (-0.06, 1.22)</w:t>
            </w:r>
          </w:p>
        </w:tc>
        <w:tc>
          <w:tcPr>
            <w:tcW w:w="1080" w:type="dxa"/>
            <w:vAlign w:val="center"/>
          </w:tcPr>
          <w:p w14:paraId="0B812C3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890" w:type="dxa"/>
            <w:vAlign w:val="center"/>
          </w:tcPr>
          <w:p w14:paraId="7589463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-0.22 (-1.48, 1.04)</w:t>
            </w:r>
          </w:p>
        </w:tc>
        <w:tc>
          <w:tcPr>
            <w:tcW w:w="900" w:type="dxa"/>
            <w:vAlign w:val="center"/>
          </w:tcPr>
          <w:p w14:paraId="2E5793D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890" w:type="dxa"/>
            <w:vAlign w:val="center"/>
          </w:tcPr>
          <w:p w14:paraId="70CF22E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0.24 (-0.40, 0.88)</w:t>
            </w:r>
          </w:p>
        </w:tc>
        <w:tc>
          <w:tcPr>
            <w:tcW w:w="1080" w:type="dxa"/>
            <w:vAlign w:val="center"/>
          </w:tcPr>
          <w:p w14:paraId="557BC20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0.47</w:t>
            </w:r>
          </w:p>
        </w:tc>
      </w:tr>
      <w:tr w:rsidR="0008489C" w:rsidRPr="00CE322E" w14:paraId="45B044A4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5DFBBF4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4</w:t>
            </w:r>
          </w:p>
        </w:tc>
        <w:tc>
          <w:tcPr>
            <w:tcW w:w="1890" w:type="dxa"/>
            <w:vAlign w:val="center"/>
          </w:tcPr>
          <w:p w14:paraId="1DE67272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CC13CD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0C48754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52C8D959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7E47050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05987AE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25F34FA8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1646150F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112</w:t>
            </w:r>
          </w:p>
        </w:tc>
        <w:tc>
          <w:tcPr>
            <w:tcW w:w="1890" w:type="dxa"/>
            <w:vAlign w:val="center"/>
          </w:tcPr>
          <w:p w14:paraId="19A28CE2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-0.12 (-0.67, 0.43)</w:t>
            </w:r>
          </w:p>
        </w:tc>
        <w:tc>
          <w:tcPr>
            <w:tcW w:w="1080" w:type="dxa"/>
            <w:vAlign w:val="center"/>
          </w:tcPr>
          <w:p w14:paraId="0C0388E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890" w:type="dxa"/>
            <w:vAlign w:val="center"/>
          </w:tcPr>
          <w:p w14:paraId="7EA8C93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0.55 (-0.45, 1.54)</w:t>
            </w:r>
          </w:p>
        </w:tc>
        <w:tc>
          <w:tcPr>
            <w:tcW w:w="900" w:type="dxa"/>
            <w:vAlign w:val="center"/>
          </w:tcPr>
          <w:p w14:paraId="2C3CD42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890" w:type="dxa"/>
            <w:vAlign w:val="center"/>
          </w:tcPr>
          <w:p w14:paraId="34A459A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0.14 (-0.41, 0.69)</w:t>
            </w:r>
          </w:p>
        </w:tc>
        <w:tc>
          <w:tcPr>
            <w:tcW w:w="1080" w:type="dxa"/>
            <w:vAlign w:val="center"/>
          </w:tcPr>
          <w:p w14:paraId="201021F4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0.61</w:t>
            </w:r>
          </w:p>
        </w:tc>
      </w:tr>
      <w:tr w:rsidR="0008489C" w:rsidRPr="00CE322E" w14:paraId="404F4AB9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0243947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5</w:t>
            </w:r>
          </w:p>
        </w:tc>
        <w:tc>
          <w:tcPr>
            <w:tcW w:w="1890" w:type="dxa"/>
            <w:vAlign w:val="center"/>
          </w:tcPr>
          <w:p w14:paraId="75A4123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25BB88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03C2D6D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64B951C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3483C87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EAE506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64853E5D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3CF263B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160</w:t>
            </w:r>
          </w:p>
        </w:tc>
        <w:tc>
          <w:tcPr>
            <w:tcW w:w="1890" w:type="dxa"/>
            <w:vAlign w:val="center"/>
          </w:tcPr>
          <w:p w14:paraId="39E91CE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0.31 (0.13, 0.50)</w:t>
            </w:r>
          </w:p>
        </w:tc>
        <w:tc>
          <w:tcPr>
            <w:tcW w:w="1080" w:type="dxa"/>
            <w:vAlign w:val="center"/>
          </w:tcPr>
          <w:p w14:paraId="3F06C28E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8.43E-04</w:t>
            </w:r>
          </w:p>
        </w:tc>
        <w:tc>
          <w:tcPr>
            <w:tcW w:w="1890" w:type="dxa"/>
            <w:vAlign w:val="center"/>
          </w:tcPr>
          <w:p w14:paraId="0162860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0.26 (-0.13, 0.65)</w:t>
            </w:r>
          </w:p>
        </w:tc>
        <w:tc>
          <w:tcPr>
            <w:tcW w:w="900" w:type="dxa"/>
            <w:vAlign w:val="center"/>
          </w:tcPr>
          <w:p w14:paraId="3BBB5B42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890" w:type="dxa"/>
            <w:vAlign w:val="center"/>
          </w:tcPr>
          <w:p w14:paraId="1DA8C1B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0.34 (0.13, 0.54)</w:t>
            </w:r>
          </w:p>
        </w:tc>
        <w:tc>
          <w:tcPr>
            <w:tcW w:w="1080" w:type="dxa"/>
            <w:vAlign w:val="center"/>
          </w:tcPr>
          <w:p w14:paraId="6E1CDE3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1.47E-03</w:t>
            </w:r>
          </w:p>
        </w:tc>
      </w:tr>
      <w:tr w:rsidR="0008489C" w:rsidRPr="00CE322E" w14:paraId="25D2807A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66B66F1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161</w:t>
            </w:r>
          </w:p>
        </w:tc>
        <w:tc>
          <w:tcPr>
            <w:tcW w:w="1890" w:type="dxa"/>
            <w:vAlign w:val="center"/>
          </w:tcPr>
          <w:p w14:paraId="7FD0C87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0.44 (0.13, 0.75)</w:t>
            </w:r>
          </w:p>
        </w:tc>
        <w:tc>
          <w:tcPr>
            <w:tcW w:w="1080" w:type="dxa"/>
            <w:vAlign w:val="center"/>
          </w:tcPr>
          <w:p w14:paraId="07A7EB9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890" w:type="dxa"/>
            <w:vAlign w:val="center"/>
          </w:tcPr>
          <w:p w14:paraId="50055EF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0.11 (-0.30, 0.53)</w:t>
            </w:r>
          </w:p>
        </w:tc>
        <w:tc>
          <w:tcPr>
            <w:tcW w:w="900" w:type="dxa"/>
            <w:vAlign w:val="center"/>
          </w:tcPr>
          <w:p w14:paraId="7918E72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890" w:type="dxa"/>
            <w:vAlign w:val="center"/>
          </w:tcPr>
          <w:p w14:paraId="4B695AB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0.32 (0.06, 0.58)</w:t>
            </w:r>
          </w:p>
        </w:tc>
        <w:tc>
          <w:tcPr>
            <w:tcW w:w="1080" w:type="dxa"/>
            <w:vAlign w:val="center"/>
          </w:tcPr>
          <w:p w14:paraId="23CA6006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0.01</w:t>
            </w:r>
          </w:p>
        </w:tc>
      </w:tr>
      <w:tr w:rsidR="0008489C" w:rsidRPr="00CE322E" w14:paraId="1A7CB6B0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179787F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162</w:t>
            </w:r>
          </w:p>
        </w:tc>
        <w:tc>
          <w:tcPr>
            <w:tcW w:w="1890" w:type="dxa"/>
            <w:vAlign w:val="center"/>
          </w:tcPr>
          <w:p w14:paraId="2B46BDD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0.76 (0.40, 1.11)</w:t>
            </w:r>
          </w:p>
        </w:tc>
        <w:tc>
          <w:tcPr>
            <w:tcW w:w="1080" w:type="dxa"/>
            <w:vAlign w:val="center"/>
          </w:tcPr>
          <w:p w14:paraId="53ED5E5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3.22E-05</w:t>
            </w:r>
          </w:p>
        </w:tc>
        <w:tc>
          <w:tcPr>
            <w:tcW w:w="1890" w:type="dxa"/>
            <w:vAlign w:val="center"/>
          </w:tcPr>
          <w:p w14:paraId="5448C76F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0.56 (-0.01, 1.14)</w:t>
            </w:r>
          </w:p>
        </w:tc>
        <w:tc>
          <w:tcPr>
            <w:tcW w:w="900" w:type="dxa"/>
            <w:vAlign w:val="center"/>
          </w:tcPr>
          <w:p w14:paraId="0717BE07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890" w:type="dxa"/>
            <w:vAlign w:val="center"/>
          </w:tcPr>
          <w:p w14:paraId="34E1B7B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0.76 (0.43, 1.08)</w:t>
            </w:r>
          </w:p>
        </w:tc>
        <w:tc>
          <w:tcPr>
            <w:tcW w:w="1080" w:type="dxa"/>
            <w:vAlign w:val="center"/>
          </w:tcPr>
          <w:p w14:paraId="5251783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5.86E-06</w:t>
            </w:r>
          </w:p>
        </w:tc>
      </w:tr>
      <w:tr w:rsidR="0008489C" w:rsidRPr="00CE322E" w14:paraId="4CCA0149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vAlign w:val="center"/>
          </w:tcPr>
          <w:p w14:paraId="3D792AF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b/>
                <w:bCs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b/>
                <w:bCs/>
                <w:color w:val="000000"/>
                <w:sz w:val="22"/>
                <w:szCs w:val="22"/>
              </w:rPr>
              <w:t>Region 6</w:t>
            </w:r>
          </w:p>
        </w:tc>
        <w:tc>
          <w:tcPr>
            <w:tcW w:w="1890" w:type="dxa"/>
            <w:vAlign w:val="center"/>
          </w:tcPr>
          <w:p w14:paraId="6C724C4D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77E60880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4EE1114F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B61D27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62D35BF1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17B286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="SimSun" w:hAnsi="Calibri" w:cs="Calibri"/>
                <w:color w:val="000000"/>
                <w:sz w:val="22"/>
                <w:szCs w:val="22"/>
              </w:rPr>
            </w:pPr>
          </w:p>
        </w:tc>
      </w:tr>
      <w:tr w:rsidR="0008489C" w:rsidRPr="00CE322E" w14:paraId="50E0F927" w14:textId="77777777" w:rsidTr="0008489C">
        <w:tblPrEx>
          <w:tblBorders>
            <w:top w:val="none" w:sz="0" w:space="0" w:color="auto"/>
          </w:tblBorders>
        </w:tblPrEx>
        <w:tc>
          <w:tcPr>
            <w:tcW w:w="1098" w:type="dxa"/>
            <w:tcBorders>
              <w:bottom w:val="single" w:sz="8" w:space="0" w:color="000000"/>
            </w:tcBorders>
            <w:vAlign w:val="center"/>
          </w:tcPr>
          <w:p w14:paraId="7CA02FBF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r w:rsidRPr="00CE322E">
              <w:rPr>
                <w:rFonts w:eastAsia="SimSun"/>
                <w:color w:val="000000"/>
                <w:sz w:val="22"/>
                <w:szCs w:val="22"/>
              </w:rPr>
              <w:t>CpG</w:t>
            </w:r>
            <w:proofErr w:type="spellEnd"/>
            <w:r w:rsidRPr="00CE322E">
              <w:rPr>
                <w:rFonts w:eastAsia="SimSun"/>
                <w:color w:val="000000"/>
                <w:sz w:val="22"/>
                <w:szCs w:val="22"/>
              </w:rPr>
              <w:t xml:space="preserve"> 754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2854B79C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0.46 (-0.16, 1.09)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vAlign w:val="center"/>
          </w:tcPr>
          <w:p w14:paraId="5514B40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164AB6D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-0.53 (-1.88, 0.81)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vAlign w:val="center"/>
          </w:tcPr>
          <w:p w14:paraId="4B5581E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2A65DB1B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-0.10 (-0.78, 0.57)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vAlign w:val="center"/>
          </w:tcPr>
          <w:p w14:paraId="20936045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0.77</w:t>
            </w:r>
          </w:p>
        </w:tc>
      </w:tr>
      <w:tr w:rsidR="0008489C" w:rsidRPr="00CE322E" w14:paraId="17ECFBB1" w14:textId="77777777" w:rsidTr="0008489C">
        <w:tblPrEx>
          <w:tblBorders>
            <w:top w:val="none" w:sz="0" w:space="0" w:color="auto"/>
          </w:tblBorders>
        </w:tblPrEx>
        <w:tc>
          <w:tcPr>
            <w:tcW w:w="9828" w:type="dxa"/>
            <w:gridSpan w:val="7"/>
            <w:tcBorders>
              <w:top w:val="single" w:sz="8" w:space="0" w:color="000000"/>
            </w:tcBorders>
            <w:vAlign w:val="center"/>
          </w:tcPr>
          <w:p w14:paraId="61C32EF3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CE322E">
              <w:rPr>
                <w:rFonts w:eastAsia="SimSun"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  <w:proofErr w:type="gramEnd"/>
            <w:r w:rsidRPr="00CE322E">
              <w:rPr>
                <w:rFonts w:eastAsia="SimSun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Pr="00CE322E">
              <w:rPr>
                <w:rFonts w:eastAsia="SimSun"/>
                <w:color w:val="000000"/>
                <w:sz w:val="22"/>
                <w:szCs w:val="22"/>
              </w:rPr>
              <w:t>Adjusted for child's sex, ethnicity (of child in CHS and of mother in NEST), gestational age, maternal age at delivery, and parental education level</w:t>
            </w:r>
          </w:p>
        </w:tc>
      </w:tr>
      <w:tr w:rsidR="0008489C" w:rsidRPr="00CE322E" w14:paraId="51B5C422" w14:textId="77777777" w:rsidTr="0008489C">
        <w:tblPrEx>
          <w:tblBorders>
            <w:top w:val="none" w:sz="0" w:space="0" w:color="auto"/>
          </w:tblBorders>
        </w:tblPrEx>
        <w:tc>
          <w:tcPr>
            <w:tcW w:w="9828" w:type="dxa"/>
            <w:gridSpan w:val="7"/>
            <w:vAlign w:val="center"/>
          </w:tcPr>
          <w:p w14:paraId="79807FDA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  <w:vertAlign w:val="superscript"/>
              </w:rPr>
              <w:t xml:space="preserve">b </w:t>
            </w:r>
            <w:r w:rsidRPr="00CE322E">
              <w:rPr>
                <w:rFonts w:eastAsia="SimSun"/>
                <w:color w:val="000000"/>
                <w:sz w:val="22"/>
                <w:szCs w:val="22"/>
              </w:rPr>
              <w:t>Pooled analysis only included black, Hispanic and non-Hispanic white subjects </w:t>
            </w:r>
          </w:p>
        </w:tc>
      </w:tr>
      <w:tr w:rsidR="0008489C" w:rsidRPr="00CE322E" w14:paraId="2F65FDAE" w14:textId="77777777" w:rsidTr="0008489C">
        <w:tc>
          <w:tcPr>
            <w:tcW w:w="9828" w:type="dxa"/>
            <w:gridSpan w:val="7"/>
            <w:vAlign w:val="center"/>
          </w:tcPr>
          <w:p w14:paraId="45322298" w14:textId="77777777" w:rsidR="0008489C" w:rsidRPr="00CE322E" w:rsidRDefault="0008489C" w:rsidP="000848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SimSun"/>
                <w:color w:val="000000"/>
                <w:sz w:val="22"/>
                <w:szCs w:val="22"/>
              </w:rPr>
            </w:pPr>
            <w:r w:rsidRPr="00CE322E">
              <w:rPr>
                <w:rFonts w:eastAsia="SimSun"/>
                <w:color w:val="000000"/>
                <w:sz w:val="22"/>
                <w:szCs w:val="22"/>
              </w:rPr>
              <w:t>Estimates are showing percent changes in methylation. </w:t>
            </w:r>
          </w:p>
        </w:tc>
      </w:tr>
    </w:tbl>
    <w:p w14:paraId="6CFA5338" w14:textId="77777777" w:rsidR="0008489C" w:rsidRDefault="0008489C">
      <w:r>
        <w:br w:type="page"/>
      </w:r>
    </w:p>
    <w:tbl>
      <w:tblPr>
        <w:tblW w:w="9090" w:type="dxa"/>
        <w:tblInd w:w="27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1439"/>
        <w:gridCol w:w="1980"/>
        <w:gridCol w:w="1080"/>
        <w:gridCol w:w="2160"/>
        <w:gridCol w:w="1170"/>
      </w:tblGrid>
      <w:tr w:rsidR="00D17502" w:rsidRPr="00D17502" w14:paraId="60542539" w14:textId="77777777" w:rsidTr="00D17502">
        <w:tc>
          <w:tcPr>
            <w:tcW w:w="9090" w:type="dxa"/>
            <w:gridSpan w:val="6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4985872F" w14:textId="229FF157" w:rsidR="0008489C" w:rsidRDefault="0008489C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b/>
                <w:bCs/>
                <w:color w:val="000000"/>
              </w:rPr>
            </w:pPr>
          </w:p>
          <w:p w14:paraId="3E588776" w14:textId="7C518B9D" w:rsidR="00D17502" w:rsidRPr="00D17502" w:rsidRDefault="0008489C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Table S3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. Association between plasma cotinine level and </w:t>
            </w:r>
            <w:r w:rsidR="00D17502" w:rsidRPr="00D17502">
              <w:rPr>
                <w:rFonts w:cs="Times New Roman"/>
                <w:b/>
                <w:bCs/>
                <w:i/>
                <w:iCs/>
                <w:color w:val="000000"/>
              </w:rPr>
              <w:t>AXL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 methylation in NEST subjects (N=</w:t>
            </w:r>
            <w:proofErr w:type="gramStart"/>
            <w:r w:rsidR="00D17502" w:rsidRPr="00D17502">
              <w:rPr>
                <w:rFonts w:cs="Times New Roman"/>
                <w:b/>
                <w:bCs/>
                <w:color w:val="000000"/>
              </w:rPr>
              <w:t>242)</w:t>
            </w:r>
            <w:r w:rsidR="00D17502" w:rsidRPr="00D17502">
              <w:rPr>
                <w:rFonts w:cs="Times New Roman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</w:tr>
      <w:tr w:rsidR="00D17502" w:rsidRPr="00D17502" w14:paraId="6ACA3F68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724F2B2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F7F5B3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Nonsmoker</w:t>
            </w:r>
          </w:p>
        </w:tc>
        <w:tc>
          <w:tcPr>
            <w:tcW w:w="3060" w:type="dxa"/>
            <w:gridSpan w:val="2"/>
            <w:tcMar>
              <w:top w:w="20" w:type="nil"/>
              <w:left w:w="20" w:type="nil"/>
              <w:right w:w="20" w:type="nil"/>
            </w:tcMar>
            <w:vAlign w:val="center"/>
          </w:tcPr>
          <w:p w14:paraId="53DB7B4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Passive smoker</w:t>
            </w:r>
          </w:p>
        </w:tc>
        <w:tc>
          <w:tcPr>
            <w:tcW w:w="3330" w:type="dxa"/>
            <w:gridSpan w:val="2"/>
            <w:tcMar>
              <w:top w:w="20" w:type="nil"/>
              <w:left w:w="20" w:type="nil"/>
              <w:right w:w="20" w:type="nil"/>
            </w:tcMar>
            <w:vAlign w:val="center"/>
          </w:tcPr>
          <w:p w14:paraId="013EFC4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Active smoker</w:t>
            </w:r>
          </w:p>
        </w:tc>
      </w:tr>
      <w:tr w:rsidR="00D17502" w:rsidRPr="00D17502" w14:paraId="11790348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6BEF632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9BCB2D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72638A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ascii="Cambria Math" w:eastAsia="Cambria Math" w:hAnsi="Cambria Math" w:cs="Cambria Math"/>
                <w:color w:val="000000"/>
              </w:rPr>
              <w:t>𝛽</w:t>
            </w:r>
            <w:r w:rsidRPr="00D17502">
              <w:rPr>
                <w:rFonts w:cs="Times New Roman"/>
                <w:color w:val="000000"/>
              </w:rPr>
              <w:t xml:space="preserve"> (95% CI)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0572D6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P-value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B7511F2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ascii="Cambria Math" w:eastAsia="Cambria Math" w:hAnsi="Cambria Math" w:cs="Cambria Math"/>
                <w:color w:val="000000"/>
              </w:rPr>
              <w:t>𝛽</w:t>
            </w:r>
            <w:r w:rsidRPr="00D17502">
              <w:rPr>
                <w:rFonts w:cs="Times New Roman"/>
                <w:color w:val="000000"/>
              </w:rPr>
              <w:t xml:space="preserve"> (95% CI)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153E48B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P-value</w:t>
            </w:r>
          </w:p>
        </w:tc>
      </w:tr>
      <w:tr w:rsidR="00D17502" w:rsidRPr="00D17502" w14:paraId="239D2302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A7F905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1</w:t>
            </w: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D203E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5EC464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1.94 (-0.34, 4.22)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451D73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0.09</w:t>
            </w:r>
          </w:p>
        </w:tc>
        <w:tc>
          <w:tcPr>
            <w:tcW w:w="216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2B9E0E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1.06 (-1.07, 3.19)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FF6A17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0.33</w:t>
            </w:r>
          </w:p>
        </w:tc>
      </w:tr>
      <w:tr w:rsidR="00D17502" w:rsidRPr="00D17502" w14:paraId="57866CC1" w14:textId="77777777" w:rsidTr="00D17502">
        <w:tblPrEx>
          <w:tblBorders>
            <w:top w:val="none" w:sz="0" w:space="0" w:color="auto"/>
          </w:tblBorders>
        </w:tblPrEx>
        <w:trPr>
          <w:trHeight w:val="405"/>
        </w:trPr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E54C6D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2</w:t>
            </w: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55DDC8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E23BD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0.71 (-0.67, 2.08)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E1EEA2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0.31</w:t>
            </w:r>
          </w:p>
        </w:tc>
        <w:tc>
          <w:tcPr>
            <w:tcW w:w="216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309600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-0.004(-1.29, 1.28)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9B5338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0.99</w:t>
            </w:r>
          </w:p>
        </w:tc>
      </w:tr>
      <w:tr w:rsidR="00D17502" w:rsidRPr="00D17502" w14:paraId="4FBAAD9F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B07071F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3</w:t>
            </w: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7A9166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CCCC3E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0.70 (-1.31, 2.71)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684835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0.49</w:t>
            </w:r>
          </w:p>
        </w:tc>
        <w:tc>
          <w:tcPr>
            <w:tcW w:w="216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4B01F7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0.54 (-1.34, 2.42)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3B2DC5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0.57</w:t>
            </w:r>
          </w:p>
        </w:tc>
      </w:tr>
      <w:tr w:rsidR="00D17502" w:rsidRPr="00D17502" w14:paraId="33895CF0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7A38E5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4</w:t>
            </w: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897A64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CD3888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0.94 (-1.44, 3.32)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A29717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0.44</w:t>
            </w:r>
          </w:p>
        </w:tc>
        <w:tc>
          <w:tcPr>
            <w:tcW w:w="216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2F3CF6F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1.08 (-1.14, 3.31)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E69951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0.34</w:t>
            </w:r>
          </w:p>
        </w:tc>
      </w:tr>
      <w:tr w:rsidR="00D17502" w:rsidRPr="00D17502" w14:paraId="6DC87C80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7BF250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5</w:t>
            </w:r>
          </w:p>
        </w:tc>
        <w:tc>
          <w:tcPr>
            <w:tcW w:w="1439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AFD309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E3E455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0.16 (-0.55, 0.87)</w:t>
            </w:r>
          </w:p>
        </w:tc>
        <w:tc>
          <w:tcPr>
            <w:tcW w:w="10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5F7A3D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0.65</w:t>
            </w:r>
          </w:p>
        </w:tc>
        <w:tc>
          <w:tcPr>
            <w:tcW w:w="216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855BC5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0.17 (-0.49, 0.83)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C26F66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0.61</w:t>
            </w:r>
          </w:p>
        </w:tc>
      </w:tr>
      <w:tr w:rsidR="00D17502" w:rsidRPr="00D17502" w14:paraId="29D10F32" w14:textId="77777777" w:rsidTr="00D17502">
        <w:tblPrEx>
          <w:tblBorders>
            <w:top w:val="none" w:sz="0" w:space="0" w:color="auto"/>
          </w:tblBorders>
        </w:tblPrEx>
        <w:tc>
          <w:tcPr>
            <w:tcW w:w="1261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F5D309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6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51DCE8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Ref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1388B0F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-1.37 (-3.46, 0.72)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DF9B5E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0.20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FC3D49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0.99 (-0.96, 2.94)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46BF093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0.32</w:t>
            </w:r>
          </w:p>
        </w:tc>
      </w:tr>
      <w:tr w:rsidR="00D17502" w:rsidRPr="00D17502" w14:paraId="2B51CC4D" w14:textId="77777777" w:rsidTr="00D17502">
        <w:tc>
          <w:tcPr>
            <w:tcW w:w="9090" w:type="dxa"/>
            <w:gridSpan w:val="6"/>
            <w:tcBorders>
              <w:top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5440BBF1" w14:textId="096E0E0B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/>
              </w:rPr>
            </w:pPr>
            <w:proofErr w:type="spellStart"/>
            <w:proofErr w:type="gramStart"/>
            <w:r w:rsidRPr="00D17502">
              <w:rPr>
                <w:rFonts w:cs="Times New Roman"/>
                <w:color w:val="000000"/>
                <w:vertAlign w:val="superscript"/>
              </w:rPr>
              <w:t>a</w:t>
            </w:r>
            <w:proofErr w:type="spellEnd"/>
            <w:proofErr w:type="gramEnd"/>
            <w:r>
              <w:rPr>
                <w:rFonts w:cs="Times New Roman"/>
                <w:color w:val="000000"/>
                <w:vertAlign w:val="superscript"/>
              </w:rPr>
              <w:t xml:space="preserve"> </w:t>
            </w:r>
            <w:r w:rsidRPr="00D17502">
              <w:rPr>
                <w:rFonts w:cs="Times New Roman"/>
                <w:color w:val="000000"/>
              </w:rPr>
              <w:t>Adjusted for child's sex, maternal ethnicity, gestational age, maternal age at delivery, parental education level and maternal BMI during pregnancy. Cotinine was categorized as nonsmoker (0-1 ng/ml, N=119), passive smoker (1-10 ng/ml, N=47), and active smoker (&gt;10 ng/ml, N=76). Estimates are showing percent changes in methylation. </w:t>
            </w:r>
          </w:p>
        </w:tc>
      </w:tr>
    </w:tbl>
    <w:p w14:paraId="19AED6A8" w14:textId="7C175DF1" w:rsidR="00B9292D" w:rsidRDefault="00D17502">
      <w:pPr>
        <w:rPr>
          <w:rFonts w:cs="Times New Roman"/>
        </w:rPr>
      </w:pPr>
      <w:r>
        <w:rPr>
          <w:rFonts w:cs="Times New Roman"/>
        </w:rPr>
        <w:t xml:space="preserve"> </w:t>
      </w:r>
      <w:r w:rsidR="00B9292D">
        <w:rPr>
          <w:rFonts w:cs="Times New Roman"/>
        </w:rPr>
        <w:br w:type="page"/>
      </w:r>
    </w:p>
    <w:tbl>
      <w:tblPr>
        <w:tblW w:w="5571" w:type="dxa"/>
        <w:tblInd w:w="369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21"/>
        <w:gridCol w:w="1890"/>
        <w:gridCol w:w="1260"/>
      </w:tblGrid>
      <w:tr w:rsidR="00D17502" w:rsidRPr="00D17502" w14:paraId="044730EE" w14:textId="77777777" w:rsidTr="00D17502">
        <w:tc>
          <w:tcPr>
            <w:tcW w:w="5571" w:type="dxa"/>
            <w:gridSpan w:val="3"/>
            <w:tcBorders>
              <w:bottom w:val="single" w:sz="8" w:space="0" w:color="000000"/>
            </w:tcBorders>
            <w:vAlign w:val="center"/>
          </w:tcPr>
          <w:p w14:paraId="5A86EED2" w14:textId="676C0AF1" w:rsidR="00D17502" w:rsidRPr="00D17502" w:rsidRDefault="0008489C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lastRenderedPageBreak/>
              <w:t>Table S4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. Association between </w:t>
            </w:r>
            <w:r w:rsidR="00D17502" w:rsidRPr="00D17502">
              <w:rPr>
                <w:rFonts w:cs="Times New Roman"/>
                <w:b/>
                <w:bCs/>
                <w:i/>
                <w:iCs/>
                <w:color w:val="000000"/>
              </w:rPr>
              <w:t>AXL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 mRNA expression and </w:t>
            </w:r>
            <w:r w:rsidR="00D17502" w:rsidRPr="00D17502">
              <w:rPr>
                <w:rFonts w:cs="Times New Roman"/>
                <w:b/>
                <w:bCs/>
                <w:i/>
                <w:iCs/>
                <w:color w:val="000000"/>
              </w:rPr>
              <w:t>AXL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 methylation, PTS exposure and miR-199a1 expression in NEST subjects (N=</w:t>
            </w:r>
            <w:proofErr w:type="gramStart"/>
            <w:r w:rsidR="00D17502" w:rsidRPr="00D17502">
              <w:rPr>
                <w:rFonts w:cs="Times New Roman"/>
                <w:b/>
                <w:bCs/>
                <w:color w:val="000000"/>
              </w:rPr>
              <w:t>236)</w:t>
            </w:r>
            <w:r w:rsidR="00D17502" w:rsidRPr="00D17502">
              <w:rPr>
                <w:rFonts w:cs="Times New Roman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</w:tr>
      <w:tr w:rsidR="00D17502" w:rsidRPr="00D17502" w14:paraId="5550A004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tcBorders>
              <w:bottom w:val="single" w:sz="8" w:space="0" w:color="000000"/>
            </w:tcBorders>
            <w:vAlign w:val="center"/>
          </w:tcPr>
          <w:p w14:paraId="3A2CBBB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612AC14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 xml:space="preserve">Percent change in </w:t>
            </w:r>
            <w:r w:rsidRPr="00D17502">
              <w:rPr>
                <w:rFonts w:cs="Times New Roman"/>
                <w:i/>
                <w:iCs/>
                <w:color w:val="000000"/>
              </w:rPr>
              <w:t>AXL</w:t>
            </w:r>
            <w:r w:rsidRPr="00D17502">
              <w:rPr>
                <w:rFonts w:cs="Times New Roman"/>
                <w:color w:val="000000"/>
              </w:rPr>
              <w:t xml:space="preserve"> mRNA (95% CI)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4045EAE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P-value</w:t>
            </w:r>
          </w:p>
        </w:tc>
      </w:tr>
      <w:tr w:rsidR="00D17502" w:rsidRPr="00D17502" w14:paraId="1B48FDC8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111790F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i/>
                <w:iCs/>
                <w:color w:val="000000"/>
              </w:rPr>
            </w:pPr>
            <w:r w:rsidRPr="00D17502">
              <w:rPr>
                <w:rFonts w:cs="Times New Roman"/>
                <w:i/>
                <w:iCs/>
                <w:color w:val="000000"/>
              </w:rPr>
              <w:t>AXL methylation</w:t>
            </w:r>
          </w:p>
        </w:tc>
        <w:tc>
          <w:tcPr>
            <w:tcW w:w="1890" w:type="dxa"/>
            <w:vAlign w:val="center"/>
          </w:tcPr>
          <w:p w14:paraId="502159E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260" w:type="dxa"/>
            <w:vAlign w:val="center"/>
          </w:tcPr>
          <w:p w14:paraId="2A83BF2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</w:tr>
      <w:tr w:rsidR="00D17502" w:rsidRPr="00D17502" w14:paraId="18ED76F2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5A3CA77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1</w:t>
            </w:r>
          </w:p>
        </w:tc>
        <w:tc>
          <w:tcPr>
            <w:tcW w:w="1890" w:type="dxa"/>
            <w:vAlign w:val="center"/>
          </w:tcPr>
          <w:p w14:paraId="63F24B5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0.4 (-0.7, 1.6)</w:t>
            </w:r>
          </w:p>
        </w:tc>
        <w:tc>
          <w:tcPr>
            <w:tcW w:w="1260" w:type="dxa"/>
            <w:vAlign w:val="center"/>
          </w:tcPr>
          <w:p w14:paraId="614115C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0.46</w:t>
            </w:r>
          </w:p>
        </w:tc>
      </w:tr>
      <w:tr w:rsidR="00D17502" w:rsidRPr="00D17502" w14:paraId="4BEE655B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68F8DAD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2</w:t>
            </w:r>
          </w:p>
        </w:tc>
        <w:tc>
          <w:tcPr>
            <w:tcW w:w="1890" w:type="dxa"/>
            <w:vAlign w:val="center"/>
          </w:tcPr>
          <w:p w14:paraId="2DF1059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1.5 (-0.3, 3.3)</w:t>
            </w:r>
          </w:p>
        </w:tc>
        <w:tc>
          <w:tcPr>
            <w:tcW w:w="1260" w:type="dxa"/>
            <w:vAlign w:val="center"/>
          </w:tcPr>
          <w:p w14:paraId="126F1E6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0.11</w:t>
            </w:r>
          </w:p>
        </w:tc>
      </w:tr>
      <w:tr w:rsidR="00D17502" w:rsidRPr="00D17502" w14:paraId="5DABD9FE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13B32B4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3</w:t>
            </w:r>
          </w:p>
        </w:tc>
        <w:tc>
          <w:tcPr>
            <w:tcW w:w="1890" w:type="dxa"/>
            <w:vAlign w:val="center"/>
          </w:tcPr>
          <w:p w14:paraId="5B9006C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-0.6 (-1.6, 0.3)</w:t>
            </w:r>
          </w:p>
        </w:tc>
        <w:tc>
          <w:tcPr>
            <w:tcW w:w="1260" w:type="dxa"/>
            <w:vAlign w:val="center"/>
          </w:tcPr>
          <w:p w14:paraId="3F5FEA4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0.20</w:t>
            </w:r>
          </w:p>
        </w:tc>
      </w:tr>
      <w:tr w:rsidR="00D17502" w:rsidRPr="00D17502" w14:paraId="48A846F7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24D6DF8F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4</w:t>
            </w:r>
          </w:p>
        </w:tc>
        <w:tc>
          <w:tcPr>
            <w:tcW w:w="1890" w:type="dxa"/>
            <w:vAlign w:val="center"/>
          </w:tcPr>
          <w:p w14:paraId="624B353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-1.0 (-2.1, 0.1)</w:t>
            </w:r>
          </w:p>
        </w:tc>
        <w:tc>
          <w:tcPr>
            <w:tcW w:w="1260" w:type="dxa"/>
            <w:vAlign w:val="center"/>
          </w:tcPr>
          <w:p w14:paraId="7A451E4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0.07</w:t>
            </w:r>
          </w:p>
        </w:tc>
      </w:tr>
      <w:tr w:rsidR="00D17502" w:rsidRPr="00D17502" w14:paraId="50D799B1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7AB7473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5</w:t>
            </w:r>
          </w:p>
        </w:tc>
        <w:tc>
          <w:tcPr>
            <w:tcW w:w="1890" w:type="dxa"/>
            <w:vAlign w:val="center"/>
          </w:tcPr>
          <w:p w14:paraId="6434393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2.8 (-0.7, 6.5)</w:t>
            </w:r>
          </w:p>
        </w:tc>
        <w:tc>
          <w:tcPr>
            <w:tcW w:w="1260" w:type="dxa"/>
            <w:vAlign w:val="center"/>
          </w:tcPr>
          <w:p w14:paraId="4283AED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0.12</w:t>
            </w:r>
          </w:p>
        </w:tc>
      </w:tr>
      <w:tr w:rsidR="00D17502" w:rsidRPr="00D17502" w14:paraId="24BE40D8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tcBorders>
              <w:bottom w:val="single" w:sz="8" w:space="0" w:color="000000"/>
            </w:tcBorders>
            <w:vAlign w:val="center"/>
          </w:tcPr>
          <w:p w14:paraId="7A2FF37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6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1C9CFA9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-0.9 (-2.0, 0.2)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4D46808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0.10</w:t>
            </w:r>
          </w:p>
        </w:tc>
      </w:tr>
      <w:tr w:rsidR="00D17502" w:rsidRPr="00D17502" w14:paraId="0F2C890E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31CA6AF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i/>
                <w:iCs/>
                <w:color w:val="000000"/>
              </w:rPr>
            </w:pPr>
            <w:r w:rsidRPr="00D17502">
              <w:rPr>
                <w:rFonts w:cs="Times New Roman"/>
                <w:i/>
                <w:iCs/>
                <w:color w:val="000000"/>
              </w:rPr>
              <w:t>Maternal smoking</w:t>
            </w:r>
          </w:p>
        </w:tc>
        <w:tc>
          <w:tcPr>
            <w:tcW w:w="1890" w:type="dxa"/>
            <w:vAlign w:val="center"/>
          </w:tcPr>
          <w:p w14:paraId="3D76976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260" w:type="dxa"/>
            <w:vAlign w:val="center"/>
          </w:tcPr>
          <w:p w14:paraId="099AB55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</w:tr>
      <w:tr w:rsidR="00D17502" w:rsidRPr="00D17502" w14:paraId="08463094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3A92908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Self-reported PTS</w:t>
            </w:r>
          </w:p>
        </w:tc>
        <w:tc>
          <w:tcPr>
            <w:tcW w:w="1890" w:type="dxa"/>
            <w:vAlign w:val="center"/>
          </w:tcPr>
          <w:p w14:paraId="23BED4C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-7.4 (-22.5, 10.6)</w:t>
            </w:r>
          </w:p>
        </w:tc>
        <w:tc>
          <w:tcPr>
            <w:tcW w:w="1260" w:type="dxa"/>
            <w:vAlign w:val="center"/>
          </w:tcPr>
          <w:p w14:paraId="6AF65C77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0.39</w:t>
            </w:r>
          </w:p>
        </w:tc>
      </w:tr>
      <w:tr w:rsidR="00D17502" w:rsidRPr="00D17502" w14:paraId="269EB9B4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tcBorders>
              <w:bottom w:val="single" w:sz="8" w:space="0" w:color="000000"/>
            </w:tcBorders>
            <w:vAlign w:val="center"/>
          </w:tcPr>
          <w:p w14:paraId="07C24E3F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 xml:space="preserve">Plasma cotinine </w:t>
            </w:r>
            <w:proofErr w:type="spellStart"/>
            <w:r w:rsidRPr="00D17502">
              <w:rPr>
                <w:rFonts w:cs="Times New Roman"/>
                <w:color w:val="000000"/>
              </w:rPr>
              <w:t>level</w:t>
            </w:r>
            <w:r w:rsidRPr="00D17502">
              <w:rPr>
                <w:rFonts w:cs="Times New Roman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44408E5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 (-0.4, 0.4) 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7BA290E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0.91</w:t>
            </w:r>
          </w:p>
        </w:tc>
      </w:tr>
      <w:tr w:rsidR="00D17502" w:rsidRPr="00D17502" w14:paraId="467FF491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vAlign w:val="center"/>
          </w:tcPr>
          <w:p w14:paraId="3246ED8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i/>
                <w:iCs/>
                <w:color w:val="000000"/>
              </w:rPr>
            </w:pPr>
            <w:proofErr w:type="spellStart"/>
            <w:r w:rsidRPr="00D17502">
              <w:rPr>
                <w:rFonts w:cs="Times New Roman"/>
                <w:i/>
                <w:iCs/>
                <w:color w:val="000000"/>
              </w:rPr>
              <w:t>microRNA</w:t>
            </w:r>
            <w:r w:rsidRPr="00D17502">
              <w:rPr>
                <w:rFonts w:cs="Times New Roman"/>
                <w:i/>
                <w:iCs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1890" w:type="dxa"/>
            <w:vAlign w:val="center"/>
          </w:tcPr>
          <w:p w14:paraId="66143F2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1C7512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D17502" w:rsidRPr="00D17502" w14:paraId="140196B3" w14:textId="77777777" w:rsidTr="00D17502">
        <w:tblPrEx>
          <w:tblBorders>
            <w:top w:val="none" w:sz="0" w:space="0" w:color="auto"/>
          </w:tblBorders>
        </w:tblPrEx>
        <w:tc>
          <w:tcPr>
            <w:tcW w:w="2421" w:type="dxa"/>
            <w:tcBorders>
              <w:bottom w:val="single" w:sz="8" w:space="0" w:color="000000"/>
            </w:tcBorders>
            <w:vAlign w:val="center"/>
          </w:tcPr>
          <w:p w14:paraId="35D6448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miR-199a1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14:paraId="780EDCE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-0.8 (-1.8, 0.2)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6D3E8F0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0.10</w:t>
            </w:r>
          </w:p>
        </w:tc>
      </w:tr>
      <w:tr w:rsidR="00D17502" w:rsidRPr="00D17502" w14:paraId="39ACC781" w14:textId="77777777" w:rsidTr="00D17502">
        <w:tblPrEx>
          <w:tblBorders>
            <w:top w:val="none" w:sz="0" w:space="0" w:color="auto"/>
          </w:tblBorders>
        </w:tblPrEx>
        <w:tc>
          <w:tcPr>
            <w:tcW w:w="5571" w:type="dxa"/>
            <w:gridSpan w:val="3"/>
            <w:tcBorders>
              <w:top w:val="single" w:sz="8" w:space="0" w:color="000000"/>
            </w:tcBorders>
            <w:vAlign w:val="center"/>
          </w:tcPr>
          <w:p w14:paraId="1BFF097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/>
              </w:rPr>
            </w:pPr>
            <w:proofErr w:type="spellStart"/>
            <w:proofErr w:type="gramStart"/>
            <w:r w:rsidRPr="00D17502">
              <w:rPr>
                <w:rFonts w:cs="Times New Roman"/>
                <w:color w:val="000000"/>
                <w:vertAlign w:val="superscript"/>
              </w:rPr>
              <w:t>a</w:t>
            </w:r>
            <w:proofErr w:type="spellEnd"/>
            <w:proofErr w:type="gramEnd"/>
            <w:r w:rsidRPr="00D17502">
              <w:rPr>
                <w:rFonts w:cs="Times New Roman"/>
                <w:color w:val="000000"/>
                <w:vertAlign w:val="superscript"/>
              </w:rPr>
              <w:t xml:space="preserve"> </w:t>
            </w:r>
            <w:r w:rsidRPr="00D17502">
              <w:rPr>
                <w:rFonts w:cs="Times New Roman"/>
                <w:color w:val="000000"/>
              </w:rPr>
              <w:t>All models were adjust for child's sex, maternal ethnicity, gestational age, maternal age at delivery, maternal education level and maternal BMI during pregnancy; additionally adjusted for miRNA plate number for model with miR-199a1</w:t>
            </w:r>
          </w:p>
        </w:tc>
      </w:tr>
      <w:tr w:rsidR="00D17502" w:rsidRPr="00D17502" w14:paraId="1BC9EFEA" w14:textId="77777777" w:rsidTr="00D17502">
        <w:tblPrEx>
          <w:tblBorders>
            <w:top w:val="none" w:sz="0" w:space="0" w:color="auto"/>
          </w:tblBorders>
        </w:tblPrEx>
        <w:tc>
          <w:tcPr>
            <w:tcW w:w="5571" w:type="dxa"/>
            <w:gridSpan w:val="3"/>
            <w:vAlign w:val="center"/>
          </w:tcPr>
          <w:p w14:paraId="346E695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ᵇ N=98; results showing for per 10% increase in cotinine level</w:t>
            </w:r>
          </w:p>
        </w:tc>
      </w:tr>
      <w:tr w:rsidR="00D17502" w:rsidRPr="00D17502" w14:paraId="07CE1458" w14:textId="77777777" w:rsidTr="00D17502">
        <w:tc>
          <w:tcPr>
            <w:tcW w:w="5571" w:type="dxa"/>
            <w:gridSpan w:val="3"/>
            <w:vAlign w:val="center"/>
          </w:tcPr>
          <w:p w14:paraId="2D05B05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  <w:vertAlign w:val="superscript"/>
              </w:rPr>
              <w:t>c</w:t>
            </w:r>
            <w:r w:rsidRPr="00D17502">
              <w:rPr>
                <w:rFonts w:cs="Times New Roman"/>
                <w:color w:val="000000"/>
              </w:rPr>
              <w:t xml:space="preserve"> N=202; results showing for per 10% increase in miR-199a1 level</w:t>
            </w:r>
          </w:p>
        </w:tc>
      </w:tr>
    </w:tbl>
    <w:p w14:paraId="309ACDD6" w14:textId="77777777" w:rsidR="00BB6860" w:rsidRDefault="00BB6860" w:rsidP="00B9292D">
      <w:pPr>
        <w:autoSpaceDE w:val="0"/>
        <w:autoSpaceDN w:val="0"/>
        <w:adjustRightInd w:val="0"/>
        <w:spacing w:line="480" w:lineRule="auto"/>
        <w:ind w:firstLine="432"/>
        <w:contextualSpacing/>
        <w:rPr>
          <w:rFonts w:cs="Times New Roman"/>
        </w:rPr>
      </w:pPr>
    </w:p>
    <w:p w14:paraId="37792120" w14:textId="77777777" w:rsidR="00D17502" w:rsidRDefault="00D17502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W w:w="5508" w:type="dxa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980"/>
        <w:gridCol w:w="1170"/>
      </w:tblGrid>
      <w:tr w:rsidR="00D17502" w:rsidRPr="00D17502" w14:paraId="1DDF5772" w14:textId="77777777" w:rsidTr="00D17502">
        <w:tc>
          <w:tcPr>
            <w:tcW w:w="5508" w:type="dxa"/>
            <w:gridSpan w:val="3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6F724BED" w14:textId="32ECC7A4" w:rsidR="00D17502" w:rsidRPr="00D17502" w:rsidRDefault="0008489C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lastRenderedPageBreak/>
              <w:t>Table S5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. Association between miR-199a1 expression and </w:t>
            </w:r>
            <w:r w:rsidR="00D17502" w:rsidRPr="00D17502">
              <w:rPr>
                <w:rFonts w:cs="Times New Roman"/>
                <w:b/>
                <w:bCs/>
                <w:i/>
                <w:iCs/>
                <w:color w:val="000000"/>
              </w:rPr>
              <w:t>AXL</w:t>
            </w:r>
            <w:r w:rsidR="00D17502" w:rsidRPr="00D17502">
              <w:rPr>
                <w:rFonts w:cs="Times New Roman"/>
                <w:b/>
                <w:bCs/>
                <w:color w:val="000000"/>
              </w:rPr>
              <w:t xml:space="preserve"> methylation and PTS exposure in NEST subjects (N=</w:t>
            </w:r>
            <w:proofErr w:type="gramStart"/>
            <w:r w:rsidR="00D17502" w:rsidRPr="00D17502">
              <w:rPr>
                <w:rFonts w:cs="Times New Roman"/>
                <w:b/>
                <w:bCs/>
                <w:color w:val="000000"/>
              </w:rPr>
              <w:t>210)</w:t>
            </w:r>
            <w:r w:rsidR="00D17502" w:rsidRPr="00D17502">
              <w:rPr>
                <w:rFonts w:cs="Times New Roman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</w:tr>
      <w:tr w:rsidR="00D17502" w:rsidRPr="00D17502" w14:paraId="2586C89B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1C2A6D5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2B1233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Percent change in miR-199a1 (95% CI)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00A06D1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P-value</w:t>
            </w:r>
          </w:p>
        </w:tc>
      </w:tr>
      <w:tr w:rsidR="00D17502" w:rsidRPr="00D17502" w14:paraId="452BE5DA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ECA985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i/>
                <w:iCs/>
                <w:color w:val="000000"/>
              </w:rPr>
            </w:pPr>
            <w:r w:rsidRPr="00D17502">
              <w:rPr>
                <w:rFonts w:cs="Times New Roman"/>
                <w:i/>
                <w:iCs/>
                <w:color w:val="000000"/>
              </w:rPr>
              <w:t>AXL methylation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D42D8C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883D916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D17502" w:rsidRPr="00D17502" w14:paraId="485C3A46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01DB34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1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E72EDB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1.0 (-0.5, 2.5)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A16D0F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0.21</w:t>
            </w:r>
          </w:p>
        </w:tc>
      </w:tr>
      <w:tr w:rsidR="00D17502" w:rsidRPr="00D17502" w14:paraId="63C8E4FD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5346A6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2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6E26BC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-0.3 (-3.0, 2.4)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74E596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0.81</w:t>
            </w:r>
          </w:p>
        </w:tc>
      </w:tr>
      <w:tr w:rsidR="00D17502" w:rsidRPr="00D17502" w14:paraId="59243CE9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2D05A19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3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4C14017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1.0 (-0.5, 2.4)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689A24D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0.20</w:t>
            </w:r>
          </w:p>
        </w:tc>
      </w:tr>
      <w:tr w:rsidR="00D17502" w:rsidRPr="00D17502" w14:paraId="4E3F5D15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E41A7C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4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7CEAE8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2.1 (0.7, 3.5)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092E3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0.004</w:t>
            </w:r>
          </w:p>
        </w:tc>
      </w:tr>
      <w:tr w:rsidR="00D17502" w:rsidRPr="00D17502" w14:paraId="1E446E9C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FE2CBC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5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6AAFEF93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-2.2 (-8.8, 4.9)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A86BE6E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0.53</w:t>
            </w:r>
          </w:p>
        </w:tc>
      </w:tr>
      <w:tr w:rsidR="00D17502" w:rsidRPr="00D17502" w14:paraId="757E8615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425418D5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Region 6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2F498C2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1.5 (-0.3, 3.4)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3391A548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0.10</w:t>
            </w:r>
          </w:p>
        </w:tc>
      </w:tr>
      <w:tr w:rsidR="00D17502" w:rsidRPr="00D17502" w14:paraId="493D8B7E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1EAC60C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i/>
                <w:iCs/>
                <w:color w:val="000000"/>
              </w:rPr>
            </w:pPr>
            <w:r w:rsidRPr="00D17502">
              <w:rPr>
                <w:rFonts w:cs="Times New Roman"/>
                <w:i/>
                <w:iCs/>
                <w:color w:val="000000"/>
              </w:rPr>
              <w:t>Maternal smoking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76BC7BEB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7EAE41A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</w:p>
        </w:tc>
      </w:tr>
      <w:tr w:rsidR="00D17502" w:rsidRPr="00D17502" w14:paraId="66246DEB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91D36A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Self-reported PTS</w:t>
            </w:r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0C6119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-21.2 (-37.9, -0.1)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599C8EF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0.05</w:t>
            </w:r>
          </w:p>
        </w:tc>
      </w:tr>
      <w:tr w:rsidR="00D17502" w:rsidRPr="00D17502" w14:paraId="17ADA25D" w14:textId="77777777" w:rsidTr="00D17502">
        <w:tblPrEx>
          <w:tblBorders>
            <w:top w:val="none" w:sz="0" w:space="0" w:color="auto"/>
          </w:tblBorders>
        </w:tblPrEx>
        <w:tc>
          <w:tcPr>
            <w:tcW w:w="2358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1E99BD52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 xml:space="preserve">Plasma cotinine </w:t>
            </w:r>
            <w:proofErr w:type="spellStart"/>
            <w:r w:rsidRPr="00D17502">
              <w:rPr>
                <w:rFonts w:cs="Times New Roman"/>
                <w:color w:val="000000"/>
              </w:rPr>
              <w:t>level</w:t>
            </w:r>
            <w:r w:rsidRPr="00D17502">
              <w:rPr>
                <w:rFonts w:cs="Times New Roman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98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0B00AA51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-0.8 (-1.3, -0.2)</w:t>
            </w:r>
          </w:p>
        </w:tc>
        <w:tc>
          <w:tcPr>
            <w:tcW w:w="1170" w:type="dxa"/>
            <w:tcMar>
              <w:top w:w="20" w:type="nil"/>
              <w:left w:w="20" w:type="nil"/>
              <w:right w:w="20" w:type="nil"/>
            </w:tcMar>
            <w:vAlign w:val="center"/>
          </w:tcPr>
          <w:p w14:paraId="33928964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0.006</w:t>
            </w:r>
          </w:p>
        </w:tc>
      </w:tr>
      <w:tr w:rsidR="00D17502" w:rsidRPr="00D17502" w14:paraId="4DB1ED19" w14:textId="77777777" w:rsidTr="00D17502">
        <w:tblPrEx>
          <w:tblBorders>
            <w:top w:val="none" w:sz="0" w:space="0" w:color="auto"/>
          </w:tblBorders>
        </w:tblPrEx>
        <w:tc>
          <w:tcPr>
            <w:tcW w:w="5508" w:type="dxa"/>
            <w:gridSpan w:val="3"/>
            <w:tcBorders>
              <w:top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center"/>
          </w:tcPr>
          <w:p w14:paraId="7B3A85E0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60" w:lineRule="atLeast"/>
              <w:rPr>
                <w:rFonts w:cs="Times New Roman"/>
                <w:color w:val="000000"/>
              </w:rPr>
            </w:pPr>
            <w:r w:rsidRPr="00D17502">
              <w:rPr>
                <w:rFonts w:cs="Times New Roman"/>
                <w:color w:val="000000"/>
              </w:rPr>
              <w:t>ᵃ All models were adjusted for miRNA plate number, child's sex, maternal ethnicity, gestational age, maternal age at delivery, maternal education level and maternal BMI during pregnancy</w:t>
            </w:r>
          </w:p>
        </w:tc>
      </w:tr>
      <w:tr w:rsidR="00D17502" w:rsidRPr="00D17502" w14:paraId="5F5511F7" w14:textId="77777777" w:rsidTr="00D17502">
        <w:tc>
          <w:tcPr>
            <w:tcW w:w="5508" w:type="dxa"/>
            <w:gridSpan w:val="3"/>
            <w:tcMar>
              <w:top w:w="20" w:type="nil"/>
              <w:left w:w="20" w:type="nil"/>
              <w:right w:w="20" w:type="nil"/>
            </w:tcMar>
            <w:vAlign w:val="bottom"/>
          </w:tcPr>
          <w:p w14:paraId="3DE1B0B9" w14:textId="77777777" w:rsidR="00D17502" w:rsidRPr="00D17502" w:rsidRDefault="00D17502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cs="Times New Roman"/>
                <w:color w:val="000000"/>
              </w:rPr>
            </w:pPr>
            <w:r w:rsidRPr="00D17502"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r w:rsidRPr="00D17502">
              <w:rPr>
                <w:rFonts w:ascii="Calibri" w:hAnsi="Calibri" w:cs="Calibri"/>
                <w:color w:val="000000"/>
              </w:rPr>
              <w:t xml:space="preserve"> </w:t>
            </w:r>
            <w:r w:rsidRPr="00D17502">
              <w:rPr>
                <w:rFonts w:cs="Times New Roman"/>
                <w:color w:val="000000"/>
              </w:rPr>
              <w:t>N=90; results showing for per 10% increase in cotinine level</w:t>
            </w:r>
          </w:p>
        </w:tc>
      </w:tr>
    </w:tbl>
    <w:p w14:paraId="692F9E1E" w14:textId="77777777" w:rsidR="00D17502" w:rsidRDefault="00D17502">
      <w:pPr>
        <w:rPr>
          <w:rFonts w:cs="Times New Roman"/>
        </w:rPr>
        <w:sectPr w:rsidR="00D17502" w:rsidSect="00D1750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Times New Roman"/>
        </w:rPr>
        <w:t xml:space="preserve"> </w:t>
      </w:r>
    </w:p>
    <w:tbl>
      <w:tblPr>
        <w:tblW w:w="17190" w:type="dxa"/>
        <w:tblInd w:w="-27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1177"/>
        <w:gridCol w:w="744"/>
        <w:gridCol w:w="1204"/>
        <w:gridCol w:w="790"/>
        <w:gridCol w:w="1088"/>
        <w:gridCol w:w="355"/>
        <w:gridCol w:w="1384"/>
        <w:gridCol w:w="810"/>
        <w:gridCol w:w="1260"/>
        <w:gridCol w:w="720"/>
        <w:gridCol w:w="1170"/>
        <w:gridCol w:w="236"/>
        <w:gridCol w:w="1294"/>
        <w:gridCol w:w="810"/>
        <w:gridCol w:w="1260"/>
        <w:gridCol w:w="720"/>
        <w:gridCol w:w="1170"/>
      </w:tblGrid>
      <w:tr w:rsidR="00354D25" w:rsidRPr="00354D25" w14:paraId="3EB7D600" w14:textId="77777777" w:rsidTr="009D30AB">
        <w:tc>
          <w:tcPr>
            <w:tcW w:w="17190" w:type="dxa"/>
            <w:gridSpan w:val="18"/>
            <w:vAlign w:val="center"/>
          </w:tcPr>
          <w:p w14:paraId="7F260D9D" w14:textId="47E2279F" w:rsidR="00354D25" w:rsidRPr="00354D25" w:rsidRDefault="0008489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Table S6</w:t>
            </w:r>
            <w:r w:rsidR="00354D25"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. Interaction between </w:t>
            </w:r>
            <w:r w:rsidR="00354D25" w:rsidRPr="00354D25"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</w:rPr>
              <w:t>AXL</w:t>
            </w:r>
            <w:r w:rsidR="00354D25"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DNA methylation at birth and PTS exposure in relation to risk of asthma and related symptoms at age 10 years in CHS subjects (N=</w:t>
            </w:r>
            <w:proofErr w:type="gramStart"/>
            <w:r w:rsidR="00354D25"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799)</w:t>
            </w:r>
            <w:r w:rsidR="0086632B" w:rsidRPr="0086632B">
              <w:rPr>
                <w:rFonts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9D30AB" w:rsidRPr="00354D25" w14:paraId="282BCCE4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tcBorders>
              <w:top w:val="single" w:sz="8" w:space="0" w:color="000000"/>
            </w:tcBorders>
            <w:vAlign w:val="center"/>
          </w:tcPr>
          <w:p w14:paraId="2D999AD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54D25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3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D5DF9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Ever MD-diagnosed asthma</w:t>
            </w:r>
          </w:p>
        </w:tc>
        <w:tc>
          <w:tcPr>
            <w:tcW w:w="355" w:type="dxa"/>
            <w:tcBorders>
              <w:top w:val="single" w:sz="8" w:space="0" w:color="000000"/>
            </w:tcBorders>
            <w:vAlign w:val="center"/>
          </w:tcPr>
          <w:p w14:paraId="606EE29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4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F8D75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Ever wheezing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14:paraId="56D0C75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54" w:type="dxa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7B2DE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Wheezing in the previous 12 months</w:t>
            </w:r>
          </w:p>
        </w:tc>
      </w:tr>
      <w:tr w:rsidR="00354D25" w:rsidRPr="00354D25" w14:paraId="332FFDFA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vAlign w:val="center"/>
          </w:tcPr>
          <w:p w14:paraId="3360208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9CC520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Unexposed to PTS</w:t>
            </w:r>
          </w:p>
        </w:tc>
        <w:tc>
          <w:tcPr>
            <w:tcW w:w="1994" w:type="dxa"/>
            <w:gridSpan w:val="2"/>
            <w:vAlign w:val="center"/>
          </w:tcPr>
          <w:p w14:paraId="5AEBD68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Exposed to PTS</w:t>
            </w:r>
          </w:p>
        </w:tc>
        <w:tc>
          <w:tcPr>
            <w:tcW w:w="1088" w:type="dxa"/>
            <w:vMerge w:val="restart"/>
            <w:tcBorders>
              <w:bottom w:val="single" w:sz="8" w:space="0" w:color="000000"/>
            </w:tcBorders>
            <w:vAlign w:val="center"/>
          </w:tcPr>
          <w:p w14:paraId="13CB013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Interaction P-value</w:t>
            </w:r>
          </w:p>
        </w:tc>
        <w:tc>
          <w:tcPr>
            <w:tcW w:w="355" w:type="dxa"/>
            <w:vAlign w:val="center"/>
          </w:tcPr>
          <w:p w14:paraId="6DFB7C6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3E0E6F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Unexposed to PTS</w:t>
            </w:r>
          </w:p>
        </w:tc>
        <w:tc>
          <w:tcPr>
            <w:tcW w:w="1980" w:type="dxa"/>
            <w:gridSpan w:val="2"/>
            <w:vAlign w:val="center"/>
          </w:tcPr>
          <w:p w14:paraId="1B21BD0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Exposed to PTS</w:t>
            </w:r>
          </w:p>
        </w:tc>
        <w:tc>
          <w:tcPr>
            <w:tcW w:w="1170" w:type="dxa"/>
            <w:vMerge w:val="restart"/>
            <w:tcBorders>
              <w:bottom w:val="single" w:sz="8" w:space="0" w:color="000000"/>
            </w:tcBorders>
            <w:vAlign w:val="center"/>
          </w:tcPr>
          <w:p w14:paraId="420BC44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Interaction P-value</w:t>
            </w:r>
          </w:p>
        </w:tc>
        <w:tc>
          <w:tcPr>
            <w:tcW w:w="236" w:type="dxa"/>
            <w:vAlign w:val="center"/>
          </w:tcPr>
          <w:p w14:paraId="5875B02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35F2E81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Unexposed to PTS</w:t>
            </w:r>
          </w:p>
        </w:tc>
        <w:tc>
          <w:tcPr>
            <w:tcW w:w="1980" w:type="dxa"/>
            <w:gridSpan w:val="2"/>
            <w:vAlign w:val="center"/>
          </w:tcPr>
          <w:p w14:paraId="41CFFFB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Exposed to PTS</w:t>
            </w:r>
          </w:p>
        </w:tc>
        <w:tc>
          <w:tcPr>
            <w:tcW w:w="1170" w:type="dxa"/>
            <w:vMerge w:val="restart"/>
            <w:tcBorders>
              <w:bottom w:val="single" w:sz="8" w:space="0" w:color="000000"/>
            </w:tcBorders>
            <w:vAlign w:val="center"/>
          </w:tcPr>
          <w:p w14:paraId="66E325D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Interaction P-value</w:t>
            </w:r>
          </w:p>
        </w:tc>
      </w:tr>
      <w:tr w:rsidR="009D30AB" w:rsidRPr="00354D25" w14:paraId="5AFE9893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tcBorders>
              <w:bottom w:val="single" w:sz="8" w:space="0" w:color="000000"/>
            </w:tcBorders>
            <w:vAlign w:val="center"/>
          </w:tcPr>
          <w:p w14:paraId="532F3B3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bottom w:val="single" w:sz="8" w:space="0" w:color="000000"/>
            </w:tcBorders>
            <w:vAlign w:val="center"/>
          </w:tcPr>
          <w:p w14:paraId="5600375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6158474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744" w:type="dxa"/>
            <w:tcBorders>
              <w:bottom w:val="single" w:sz="8" w:space="0" w:color="000000"/>
            </w:tcBorders>
            <w:vAlign w:val="center"/>
          </w:tcPr>
          <w:p w14:paraId="12B2F82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  <w:vAlign w:val="center"/>
          </w:tcPr>
          <w:p w14:paraId="76E70B6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18ADEF8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790" w:type="dxa"/>
            <w:tcBorders>
              <w:bottom w:val="single" w:sz="8" w:space="0" w:color="000000"/>
            </w:tcBorders>
            <w:vAlign w:val="center"/>
          </w:tcPr>
          <w:p w14:paraId="63C9BD1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088" w:type="dxa"/>
            <w:vMerge/>
            <w:tcBorders>
              <w:bottom w:val="single" w:sz="8" w:space="0" w:color="000000"/>
            </w:tcBorders>
            <w:vAlign w:val="center"/>
          </w:tcPr>
          <w:p w14:paraId="4D671E8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5" w:type="dxa"/>
            <w:vAlign w:val="center"/>
          </w:tcPr>
          <w:p w14:paraId="080AE35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8" w:space="0" w:color="000000"/>
            </w:tcBorders>
            <w:vAlign w:val="center"/>
          </w:tcPr>
          <w:p w14:paraId="24C0EA6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17EC80A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6710525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7833E55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79F21F9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58B377D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0" w:type="dxa"/>
            <w:vMerge/>
            <w:tcBorders>
              <w:bottom w:val="single" w:sz="8" w:space="0" w:color="000000"/>
            </w:tcBorders>
            <w:vAlign w:val="center"/>
          </w:tcPr>
          <w:p w14:paraId="7808662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5443FE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tcBorders>
              <w:bottom w:val="single" w:sz="8" w:space="0" w:color="000000"/>
            </w:tcBorders>
            <w:vAlign w:val="center"/>
          </w:tcPr>
          <w:p w14:paraId="5654A1C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07CF9BA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4292096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777FFB8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OR</w:t>
            </w:r>
          </w:p>
          <w:p w14:paraId="03E04F1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(95% CI)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4F470D4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0" w:type="dxa"/>
            <w:vMerge/>
            <w:tcBorders>
              <w:bottom w:val="single" w:sz="8" w:space="0" w:color="000000"/>
            </w:tcBorders>
            <w:vAlign w:val="center"/>
          </w:tcPr>
          <w:p w14:paraId="73D55A8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D30AB" w:rsidRPr="00354D25" w14:paraId="5A207305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vAlign w:val="center"/>
          </w:tcPr>
          <w:p w14:paraId="74302DC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1</w:t>
            </w:r>
          </w:p>
        </w:tc>
        <w:tc>
          <w:tcPr>
            <w:tcW w:w="1177" w:type="dxa"/>
            <w:vAlign w:val="center"/>
          </w:tcPr>
          <w:p w14:paraId="7758CDC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  <w:p w14:paraId="24DA7A9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(0.48, 1.16)</w:t>
            </w:r>
          </w:p>
        </w:tc>
        <w:tc>
          <w:tcPr>
            <w:tcW w:w="744" w:type="dxa"/>
            <w:vAlign w:val="center"/>
          </w:tcPr>
          <w:p w14:paraId="6C9E017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04" w:type="dxa"/>
            <w:vAlign w:val="center"/>
          </w:tcPr>
          <w:p w14:paraId="04AA3F4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0.51 </w:t>
            </w:r>
          </w:p>
          <w:p w14:paraId="124AE1D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(0.24, 1.07)</w:t>
            </w:r>
          </w:p>
        </w:tc>
        <w:tc>
          <w:tcPr>
            <w:tcW w:w="790" w:type="dxa"/>
            <w:vAlign w:val="center"/>
          </w:tcPr>
          <w:p w14:paraId="5DC5999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88" w:type="dxa"/>
            <w:vAlign w:val="center"/>
          </w:tcPr>
          <w:p w14:paraId="00A1219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355" w:type="dxa"/>
            <w:vAlign w:val="center"/>
          </w:tcPr>
          <w:p w14:paraId="4091CC5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3458C11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1.06 </w:t>
            </w:r>
          </w:p>
          <w:p w14:paraId="4BF5012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(0.73, 1.55)</w:t>
            </w:r>
          </w:p>
        </w:tc>
        <w:tc>
          <w:tcPr>
            <w:tcW w:w="810" w:type="dxa"/>
            <w:vAlign w:val="center"/>
          </w:tcPr>
          <w:p w14:paraId="1139EE9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vAlign w:val="center"/>
          </w:tcPr>
          <w:p w14:paraId="7681E96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0.85</w:t>
            </w:r>
          </w:p>
          <w:p w14:paraId="70E3B4C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(0.49, 1.49)</w:t>
            </w:r>
          </w:p>
        </w:tc>
        <w:tc>
          <w:tcPr>
            <w:tcW w:w="720" w:type="dxa"/>
            <w:vAlign w:val="center"/>
          </w:tcPr>
          <w:p w14:paraId="6A9B6ED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70" w:type="dxa"/>
            <w:vAlign w:val="center"/>
          </w:tcPr>
          <w:p w14:paraId="67F816A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36" w:type="dxa"/>
            <w:vAlign w:val="center"/>
          </w:tcPr>
          <w:p w14:paraId="3389073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2AE7867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1.03 </w:t>
            </w:r>
          </w:p>
          <w:p w14:paraId="0F1DDB1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(0.65, 1.64)</w:t>
            </w:r>
          </w:p>
        </w:tc>
        <w:tc>
          <w:tcPr>
            <w:tcW w:w="810" w:type="dxa"/>
            <w:vAlign w:val="center"/>
          </w:tcPr>
          <w:p w14:paraId="076A0D9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0" w:type="dxa"/>
            <w:vAlign w:val="center"/>
          </w:tcPr>
          <w:p w14:paraId="0A9841B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0.69 </w:t>
            </w:r>
          </w:p>
          <w:p w14:paraId="0E1D8D2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(0.36, 1.30)</w:t>
            </w:r>
          </w:p>
        </w:tc>
        <w:tc>
          <w:tcPr>
            <w:tcW w:w="720" w:type="dxa"/>
            <w:vAlign w:val="center"/>
          </w:tcPr>
          <w:p w14:paraId="1EBCE73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70" w:type="dxa"/>
            <w:vAlign w:val="center"/>
          </w:tcPr>
          <w:p w14:paraId="4FFDE3F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9D30AB" w:rsidRPr="00354D25" w14:paraId="3D4DA94E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vAlign w:val="center"/>
          </w:tcPr>
          <w:p w14:paraId="29E9684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2</w:t>
            </w:r>
          </w:p>
        </w:tc>
        <w:tc>
          <w:tcPr>
            <w:tcW w:w="1177" w:type="dxa"/>
            <w:vAlign w:val="center"/>
          </w:tcPr>
          <w:p w14:paraId="7A53118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0.90</w:t>
            </w:r>
          </w:p>
          <w:p w14:paraId="5FD3A9A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(0.58, 1.41)</w:t>
            </w:r>
          </w:p>
        </w:tc>
        <w:tc>
          <w:tcPr>
            <w:tcW w:w="744" w:type="dxa"/>
            <w:vAlign w:val="center"/>
          </w:tcPr>
          <w:p w14:paraId="561F53A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04" w:type="dxa"/>
            <w:vAlign w:val="center"/>
          </w:tcPr>
          <w:p w14:paraId="0AD87F5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0.60 </w:t>
            </w:r>
          </w:p>
          <w:p w14:paraId="2E9AE2E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(0.27, 1.33)</w:t>
            </w:r>
          </w:p>
        </w:tc>
        <w:tc>
          <w:tcPr>
            <w:tcW w:w="790" w:type="dxa"/>
            <w:vAlign w:val="center"/>
          </w:tcPr>
          <w:p w14:paraId="06FED89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088" w:type="dxa"/>
            <w:vAlign w:val="center"/>
          </w:tcPr>
          <w:p w14:paraId="79C8B0B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355" w:type="dxa"/>
            <w:vAlign w:val="center"/>
          </w:tcPr>
          <w:p w14:paraId="2330205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08567F8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0.80 </w:t>
            </w:r>
          </w:p>
          <w:p w14:paraId="79664B0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(0.54, 1.17)</w:t>
            </w:r>
          </w:p>
        </w:tc>
        <w:tc>
          <w:tcPr>
            <w:tcW w:w="810" w:type="dxa"/>
            <w:vAlign w:val="center"/>
          </w:tcPr>
          <w:p w14:paraId="6459639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60" w:type="dxa"/>
            <w:vAlign w:val="center"/>
          </w:tcPr>
          <w:p w14:paraId="544DC70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  <w:p w14:paraId="46D871F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(0.53, 1.66)</w:t>
            </w:r>
          </w:p>
        </w:tc>
        <w:tc>
          <w:tcPr>
            <w:tcW w:w="720" w:type="dxa"/>
            <w:vAlign w:val="center"/>
          </w:tcPr>
          <w:p w14:paraId="7897F8B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70" w:type="dxa"/>
            <w:vAlign w:val="center"/>
          </w:tcPr>
          <w:p w14:paraId="792CD62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236" w:type="dxa"/>
            <w:vAlign w:val="center"/>
          </w:tcPr>
          <w:p w14:paraId="48214C9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408451B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1.09 </w:t>
            </w:r>
          </w:p>
          <w:p w14:paraId="2F40966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(0.69, 1.73)</w:t>
            </w:r>
          </w:p>
        </w:tc>
        <w:tc>
          <w:tcPr>
            <w:tcW w:w="810" w:type="dxa"/>
            <w:vAlign w:val="center"/>
          </w:tcPr>
          <w:p w14:paraId="5BD7BA7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60" w:type="dxa"/>
            <w:vAlign w:val="center"/>
          </w:tcPr>
          <w:p w14:paraId="7E199CD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0.79 </w:t>
            </w:r>
          </w:p>
          <w:p w14:paraId="37A362C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(0.40, 1.54)</w:t>
            </w:r>
          </w:p>
        </w:tc>
        <w:tc>
          <w:tcPr>
            <w:tcW w:w="720" w:type="dxa"/>
            <w:vAlign w:val="center"/>
          </w:tcPr>
          <w:p w14:paraId="1211A22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170" w:type="dxa"/>
            <w:vAlign w:val="center"/>
          </w:tcPr>
          <w:p w14:paraId="4986393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9D30AB" w:rsidRPr="00354D25" w14:paraId="72FB69A4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vAlign w:val="center"/>
          </w:tcPr>
          <w:p w14:paraId="6764E34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3</w:t>
            </w:r>
          </w:p>
        </w:tc>
        <w:tc>
          <w:tcPr>
            <w:tcW w:w="1177" w:type="dxa"/>
            <w:vAlign w:val="center"/>
          </w:tcPr>
          <w:p w14:paraId="246F579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  <w:p w14:paraId="5E7FCB9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(0.49, 1.16)</w:t>
            </w:r>
          </w:p>
        </w:tc>
        <w:tc>
          <w:tcPr>
            <w:tcW w:w="744" w:type="dxa"/>
            <w:vAlign w:val="center"/>
          </w:tcPr>
          <w:p w14:paraId="67B23F3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04" w:type="dxa"/>
            <w:vAlign w:val="center"/>
          </w:tcPr>
          <w:p w14:paraId="3C30E9C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0.64 </w:t>
            </w:r>
          </w:p>
          <w:p w14:paraId="3B84DF8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(0.30, 1.35)</w:t>
            </w:r>
          </w:p>
        </w:tc>
        <w:tc>
          <w:tcPr>
            <w:tcW w:w="790" w:type="dxa"/>
            <w:vAlign w:val="center"/>
          </w:tcPr>
          <w:p w14:paraId="73809B1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88" w:type="dxa"/>
            <w:vAlign w:val="center"/>
          </w:tcPr>
          <w:p w14:paraId="27CA485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355" w:type="dxa"/>
            <w:vAlign w:val="center"/>
          </w:tcPr>
          <w:p w14:paraId="16456DF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0097B5E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0.68 </w:t>
            </w:r>
          </w:p>
          <w:p w14:paraId="572B3D3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(0.46, 0.99)</w:t>
            </w:r>
          </w:p>
        </w:tc>
        <w:tc>
          <w:tcPr>
            <w:tcW w:w="810" w:type="dxa"/>
            <w:vAlign w:val="center"/>
          </w:tcPr>
          <w:p w14:paraId="30D7FA9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260" w:type="dxa"/>
            <w:vAlign w:val="center"/>
          </w:tcPr>
          <w:p w14:paraId="68B62E9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1.12</w:t>
            </w:r>
          </w:p>
          <w:p w14:paraId="3026B46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(0.63, 1.99)</w:t>
            </w:r>
          </w:p>
        </w:tc>
        <w:tc>
          <w:tcPr>
            <w:tcW w:w="720" w:type="dxa"/>
            <w:vAlign w:val="center"/>
          </w:tcPr>
          <w:p w14:paraId="57E44AF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70" w:type="dxa"/>
            <w:vAlign w:val="center"/>
          </w:tcPr>
          <w:p w14:paraId="6C1D5E6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36" w:type="dxa"/>
            <w:vAlign w:val="center"/>
          </w:tcPr>
          <w:p w14:paraId="3DBC038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70E0A8D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0.95 </w:t>
            </w:r>
          </w:p>
          <w:p w14:paraId="75BAF70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(0.60, 1.51)</w:t>
            </w:r>
          </w:p>
        </w:tc>
        <w:tc>
          <w:tcPr>
            <w:tcW w:w="810" w:type="dxa"/>
            <w:vAlign w:val="center"/>
          </w:tcPr>
          <w:p w14:paraId="20A4CD1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0" w:type="dxa"/>
            <w:vAlign w:val="center"/>
          </w:tcPr>
          <w:p w14:paraId="6D5CF90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1.11 </w:t>
            </w:r>
          </w:p>
          <w:p w14:paraId="22CB075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(0.57, 2.19)</w:t>
            </w:r>
          </w:p>
        </w:tc>
        <w:tc>
          <w:tcPr>
            <w:tcW w:w="720" w:type="dxa"/>
            <w:vAlign w:val="center"/>
          </w:tcPr>
          <w:p w14:paraId="61E5879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70" w:type="dxa"/>
            <w:vAlign w:val="center"/>
          </w:tcPr>
          <w:p w14:paraId="3D90B1A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9D30AB" w:rsidRPr="00354D25" w14:paraId="1CE1E387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vAlign w:val="center"/>
          </w:tcPr>
          <w:p w14:paraId="3210B7F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4</w:t>
            </w:r>
          </w:p>
        </w:tc>
        <w:tc>
          <w:tcPr>
            <w:tcW w:w="1177" w:type="dxa"/>
            <w:vAlign w:val="center"/>
          </w:tcPr>
          <w:p w14:paraId="466E03C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0.76</w:t>
            </w:r>
          </w:p>
          <w:p w14:paraId="0592BD1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(0.50, 1.16)</w:t>
            </w:r>
          </w:p>
        </w:tc>
        <w:tc>
          <w:tcPr>
            <w:tcW w:w="744" w:type="dxa"/>
            <w:vAlign w:val="center"/>
          </w:tcPr>
          <w:p w14:paraId="696DA54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04" w:type="dxa"/>
            <w:vAlign w:val="center"/>
          </w:tcPr>
          <w:p w14:paraId="2E6A60E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1.18 </w:t>
            </w:r>
          </w:p>
          <w:p w14:paraId="4215063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(0.55, 2.55)</w:t>
            </w:r>
          </w:p>
        </w:tc>
        <w:tc>
          <w:tcPr>
            <w:tcW w:w="790" w:type="dxa"/>
            <w:vAlign w:val="center"/>
          </w:tcPr>
          <w:p w14:paraId="3B9B521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088" w:type="dxa"/>
            <w:vAlign w:val="center"/>
          </w:tcPr>
          <w:p w14:paraId="50A89FA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355" w:type="dxa"/>
            <w:vAlign w:val="center"/>
          </w:tcPr>
          <w:p w14:paraId="7001DA6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1225851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0.87 </w:t>
            </w:r>
          </w:p>
          <w:p w14:paraId="447019E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(0.60, 1.26)</w:t>
            </w:r>
          </w:p>
        </w:tc>
        <w:tc>
          <w:tcPr>
            <w:tcW w:w="810" w:type="dxa"/>
            <w:vAlign w:val="center"/>
          </w:tcPr>
          <w:p w14:paraId="1B9D81A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0" w:type="dxa"/>
            <w:vAlign w:val="center"/>
          </w:tcPr>
          <w:p w14:paraId="04832D3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1.32</w:t>
            </w:r>
          </w:p>
          <w:p w14:paraId="3769AEFB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(0.72, 2.42)</w:t>
            </w:r>
          </w:p>
        </w:tc>
        <w:tc>
          <w:tcPr>
            <w:tcW w:w="720" w:type="dxa"/>
            <w:vAlign w:val="center"/>
          </w:tcPr>
          <w:p w14:paraId="6C6AA88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70" w:type="dxa"/>
            <w:vAlign w:val="center"/>
          </w:tcPr>
          <w:p w14:paraId="52D0189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236" w:type="dxa"/>
            <w:vAlign w:val="center"/>
          </w:tcPr>
          <w:p w14:paraId="144D034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6984404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0.74 </w:t>
            </w:r>
          </w:p>
          <w:p w14:paraId="11A3543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(0.47, 1.16)</w:t>
            </w:r>
          </w:p>
        </w:tc>
        <w:tc>
          <w:tcPr>
            <w:tcW w:w="810" w:type="dxa"/>
            <w:vAlign w:val="center"/>
          </w:tcPr>
          <w:p w14:paraId="41E37D9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260" w:type="dxa"/>
            <w:vAlign w:val="center"/>
          </w:tcPr>
          <w:p w14:paraId="4F55734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1.27 </w:t>
            </w:r>
          </w:p>
          <w:p w14:paraId="1C35375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(0.63, 2.59)</w:t>
            </w:r>
          </w:p>
        </w:tc>
        <w:tc>
          <w:tcPr>
            <w:tcW w:w="720" w:type="dxa"/>
            <w:vAlign w:val="center"/>
          </w:tcPr>
          <w:p w14:paraId="409849A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70" w:type="dxa"/>
            <w:vAlign w:val="center"/>
          </w:tcPr>
          <w:p w14:paraId="2D4DCDE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9D30AB" w:rsidRPr="00354D25" w14:paraId="273A94FD" w14:textId="77777777" w:rsidTr="009D30AB">
        <w:tblPrEx>
          <w:tblBorders>
            <w:top w:val="none" w:sz="0" w:space="0" w:color="auto"/>
          </w:tblBorders>
        </w:tblPrEx>
        <w:trPr>
          <w:trHeight w:val="711"/>
        </w:trPr>
        <w:tc>
          <w:tcPr>
            <w:tcW w:w="998" w:type="dxa"/>
            <w:vAlign w:val="center"/>
          </w:tcPr>
          <w:p w14:paraId="20E2712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5</w:t>
            </w:r>
          </w:p>
        </w:tc>
        <w:tc>
          <w:tcPr>
            <w:tcW w:w="1177" w:type="dxa"/>
            <w:vAlign w:val="center"/>
          </w:tcPr>
          <w:p w14:paraId="2A1AFCF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0.81</w:t>
            </w:r>
          </w:p>
          <w:p w14:paraId="6866905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(0.51, 1.29)</w:t>
            </w:r>
          </w:p>
        </w:tc>
        <w:tc>
          <w:tcPr>
            <w:tcW w:w="744" w:type="dxa"/>
            <w:vAlign w:val="center"/>
          </w:tcPr>
          <w:p w14:paraId="41BCAEA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04" w:type="dxa"/>
            <w:vAlign w:val="center"/>
          </w:tcPr>
          <w:p w14:paraId="7E84197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0.79 </w:t>
            </w:r>
          </w:p>
          <w:p w14:paraId="2CD21FA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(0.37, 1.70)</w:t>
            </w:r>
          </w:p>
        </w:tc>
        <w:tc>
          <w:tcPr>
            <w:tcW w:w="790" w:type="dxa"/>
            <w:vAlign w:val="center"/>
          </w:tcPr>
          <w:p w14:paraId="14145A4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088" w:type="dxa"/>
            <w:vAlign w:val="center"/>
          </w:tcPr>
          <w:p w14:paraId="6BD71F4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355" w:type="dxa"/>
            <w:vAlign w:val="center"/>
          </w:tcPr>
          <w:p w14:paraId="36D761A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14:paraId="7FC8FC9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0.61 </w:t>
            </w:r>
          </w:p>
          <w:p w14:paraId="5C8EC89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(0.41, 0.92)</w:t>
            </w:r>
          </w:p>
        </w:tc>
        <w:tc>
          <w:tcPr>
            <w:tcW w:w="810" w:type="dxa"/>
            <w:vAlign w:val="center"/>
          </w:tcPr>
          <w:p w14:paraId="6CB1B7B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60" w:type="dxa"/>
            <w:vAlign w:val="center"/>
          </w:tcPr>
          <w:p w14:paraId="78E1110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  <w:p w14:paraId="6D5688E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(0.49, 1.55)</w:t>
            </w:r>
          </w:p>
        </w:tc>
        <w:tc>
          <w:tcPr>
            <w:tcW w:w="720" w:type="dxa"/>
            <w:vAlign w:val="center"/>
          </w:tcPr>
          <w:p w14:paraId="2BCF575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70" w:type="dxa"/>
            <w:vAlign w:val="center"/>
          </w:tcPr>
          <w:p w14:paraId="4C5698D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36" w:type="dxa"/>
            <w:vAlign w:val="center"/>
          </w:tcPr>
          <w:p w14:paraId="31317F9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52F797E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0.85 </w:t>
            </w:r>
          </w:p>
          <w:p w14:paraId="7F8B0B3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(0.53, 1.37)</w:t>
            </w:r>
          </w:p>
        </w:tc>
        <w:tc>
          <w:tcPr>
            <w:tcW w:w="810" w:type="dxa"/>
            <w:vAlign w:val="center"/>
          </w:tcPr>
          <w:p w14:paraId="143989A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260" w:type="dxa"/>
            <w:vAlign w:val="center"/>
          </w:tcPr>
          <w:p w14:paraId="7E62BBA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0.78</w:t>
            </w:r>
          </w:p>
          <w:p w14:paraId="2CC7179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(0.40, 1.54)</w:t>
            </w:r>
          </w:p>
        </w:tc>
        <w:tc>
          <w:tcPr>
            <w:tcW w:w="720" w:type="dxa"/>
            <w:vAlign w:val="center"/>
          </w:tcPr>
          <w:p w14:paraId="6CE1E9B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170" w:type="dxa"/>
            <w:vAlign w:val="center"/>
          </w:tcPr>
          <w:p w14:paraId="31D082E7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9D30AB" w:rsidRPr="00354D25" w14:paraId="37612CDE" w14:textId="77777777" w:rsidTr="009D30AB">
        <w:tblPrEx>
          <w:tblBorders>
            <w:top w:val="none" w:sz="0" w:space="0" w:color="auto"/>
          </w:tblBorders>
        </w:tblPrEx>
        <w:tc>
          <w:tcPr>
            <w:tcW w:w="998" w:type="dxa"/>
            <w:tcBorders>
              <w:bottom w:val="single" w:sz="8" w:space="0" w:color="000000"/>
            </w:tcBorders>
            <w:vAlign w:val="center"/>
          </w:tcPr>
          <w:p w14:paraId="0D7262D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Region 6</w:t>
            </w:r>
          </w:p>
        </w:tc>
        <w:tc>
          <w:tcPr>
            <w:tcW w:w="1177" w:type="dxa"/>
            <w:tcBorders>
              <w:bottom w:val="single" w:sz="8" w:space="0" w:color="000000"/>
            </w:tcBorders>
            <w:vAlign w:val="center"/>
          </w:tcPr>
          <w:p w14:paraId="7845822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  <w:p w14:paraId="1D9FF68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(0.62, 1.42)</w:t>
            </w:r>
          </w:p>
        </w:tc>
        <w:tc>
          <w:tcPr>
            <w:tcW w:w="744" w:type="dxa"/>
            <w:tcBorders>
              <w:bottom w:val="single" w:sz="8" w:space="0" w:color="000000"/>
            </w:tcBorders>
            <w:vAlign w:val="center"/>
          </w:tcPr>
          <w:p w14:paraId="1CC16E64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04" w:type="dxa"/>
            <w:tcBorders>
              <w:bottom w:val="single" w:sz="8" w:space="0" w:color="000000"/>
            </w:tcBorders>
            <w:vAlign w:val="center"/>
          </w:tcPr>
          <w:p w14:paraId="43B4A18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0.68 </w:t>
            </w:r>
          </w:p>
          <w:p w14:paraId="03A5C8E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(0.30, 1.54)</w:t>
            </w:r>
          </w:p>
        </w:tc>
        <w:tc>
          <w:tcPr>
            <w:tcW w:w="790" w:type="dxa"/>
            <w:tcBorders>
              <w:bottom w:val="single" w:sz="8" w:space="0" w:color="000000"/>
            </w:tcBorders>
            <w:vAlign w:val="center"/>
          </w:tcPr>
          <w:p w14:paraId="0A183DDA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88" w:type="dxa"/>
            <w:tcBorders>
              <w:bottom w:val="single" w:sz="8" w:space="0" w:color="000000"/>
            </w:tcBorders>
            <w:vAlign w:val="center"/>
          </w:tcPr>
          <w:p w14:paraId="5F098D1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355" w:type="dxa"/>
            <w:tcBorders>
              <w:bottom w:val="single" w:sz="8" w:space="0" w:color="000000"/>
            </w:tcBorders>
            <w:vAlign w:val="center"/>
          </w:tcPr>
          <w:p w14:paraId="0C7599D9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bottom w:val="single" w:sz="8" w:space="0" w:color="000000"/>
            </w:tcBorders>
            <w:vAlign w:val="center"/>
          </w:tcPr>
          <w:p w14:paraId="169BD70D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1.15 </w:t>
            </w:r>
          </w:p>
          <w:p w14:paraId="7395D08E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(0.79, 1.67)</w:t>
            </w:r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556ED8B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187BB09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1.03 </w:t>
            </w:r>
          </w:p>
          <w:p w14:paraId="5C31F308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(0.56, 1.92)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03456EE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vAlign w:val="center"/>
          </w:tcPr>
          <w:p w14:paraId="19BB293F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vAlign w:val="center"/>
          </w:tcPr>
          <w:p w14:paraId="3C2A0D43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4" w:type="dxa"/>
            <w:tcBorders>
              <w:bottom w:val="single" w:sz="8" w:space="0" w:color="000000"/>
            </w:tcBorders>
            <w:vAlign w:val="center"/>
          </w:tcPr>
          <w:p w14:paraId="344B96BC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 xml:space="preserve">0.81 </w:t>
            </w:r>
          </w:p>
          <w:p w14:paraId="52E28A81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(0.52, 1.25)</w:t>
            </w:r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57E8596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  <w:vAlign w:val="center"/>
          </w:tcPr>
          <w:p w14:paraId="07BA4C10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0.97</w:t>
            </w:r>
          </w:p>
          <w:p w14:paraId="1104C986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 (0.48, 1.96)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7FB3C6A2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vAlign w:val="center"/>
          </w:tcPr>
          <w:p w14:paraId="2ED83475" w14:textId="77777777" w:rsidR="00354D25" w:rsidRPr="00354D25" w:rsidRDefault="00354D2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4D25">
              <w:rPr>
                <w:rFonts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354D25" w:rsidRPr="00354D25" w14:paraId="18D8DA1F" w14:textId="77777777" w:rsidTr="009D30AB">
        <w:tc>
          <w:tcPr>
            <w:tcW w:w="17190" w:type="dxa"/>
            <w:gridSpan w:val="18"/>
            <w:tcBorders>
              <w:top w:val="single" w:sz="8" w:space="0" w:color="000000"/>
            </w:tcBorders>
            <w:vAlign w:val="bottom"/>
          </w:tcPr>
          <w:p w14:paraId="26031B9D" w14:textId="4181BB4B" w:rsidR="00354D25" w:rsidRPr="00354D25" w:rsidRDefault="0086632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6632B"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354D25" w:rsidRPr="00354D25">
              <w:rPr>
                <w:rFonts w:cs="Times New Roman"/>
                <w:color w:val="000000"/>
                <w:sz w:val="20"/>
                <w:szCs w:val="20"/>
              </w:rPr>
              <w:t>Adjusted for child's sex, ethnicity, and city of residence at study entry. Odds ratios are scaled to per 2SD change in methylation.</w:t>
            </w:r>
          </w:p>
        </w:tc>
      </w:tr>
    </w:tbl>
    <w:p w14:paraId="3FDABA89" w14:textId="453300B9" w:rsidR="0086632B" w:rsidRDefault="004B6CA1">
      <w:pPr>
        <w:rPr>
          <w:rFonts w:cs="Times New Roman"/>
        </w:rPr>
        <w:sectPr w:rsidR="0086632B" w:rsidSect="00354D25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Times New Roman"/>
        </w:rPr>
        <w:t xml:space="preserve"> </w:t>
      </w:r>
    </w:p>
    <w:p w14:paraId="7F224090" w14:textId="28FAFD78" w:rsidR="00B9292D" w:rsidRDefault="00B9292D">
      <w:pPr>
        <w:rPr>
          <w:rFonts w:cs="Times New Roman"/>
        </w:rPr>
      </w:pPr>
    </w:p>
    <w:p w14:paraId="27616C20" w14:textId="09ECD211" w:rsidR="00D54E75" w:rsidRDefault="00B9292D" w:rsidP="00503BF2">
      <w:pPr>
        <w:autoSpaceDE w:val="0"/>
        <w:autoSpaceDN w:val="0"/>
        <w:adjustRightInd w:val="0"/>
        <w:spacing w:line="480" w:lineRule="auto"/>
        <w:contextualSpacing/>
        <w:rPr>
          <w:rFonts w:cs="Times New Roman"/>
          <w:b/>
        </w:rPr>
      </w:pPr>
      <w:r w:rsidRPr="0086632B">
        <w:rPr>
          <w:rFonts w:cs="Times New Roman"/>
          <w:b/>
        </w:rPr>
        <w:t>Figures</w:t>
      </w:r>
    </w:p>
    <w:p w14:paraId="38C76C96" w14:textId="4AE96E92" w:rsidR="004F1793" w:rsidRDefault="002F6F8E">
      <w:pPr>
        <w:rPr>
          <w:rFonts w:cs="Times New Roman"/>
          <w:b/>
        </w:rPr>
      </w:pPr>
      <w:r>
        <w:rPr>
          <w:rFonts w:cs="Times New Roman"/>
          <w:b/>
          <w:noProof/>
          <w:lang w:eastAsia="zh-CN"/>
        </w:rPr>
        <w:drawing>
          <wp:inline distT="0" distB="0" distL="0" distR="0" wp14:anchorId="7843A8B5" wp14:editId="25747487">
            <wp:extent cx="5665622" cy="57250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1_PCR bi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622" cy="572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793">
        <w:rPr>
          <w:rFonts w:cs="Times New Roman"/>
          <w:b/>
        </w:rPr>
        <w:t xml:space="preserve"> </w:t>
      </w:r>
    </w:p>
    <w:p w14:paraId="1DCC5889" w14:textId="77777777" w:rsidR="0004255B" w:rsidRDefault="0004255B">
      <w:pPr>
        <w:rPr>
          <w:rFonts w:cs="Times New Roman"/>
          <w:b/>
        </w:rPr>
      </w:pPr>
    </w:p>
    <w:p w14:paraId="7F6FAD36" w14:textId="14F6D19C" w:rsidR="004F1793" w:rsidRPr="0004255B" w:rsidRDefault="0004255B">
      <w:pPr>
        <w:rPr>
          <w:rFonts w:cs="Times New Roman"/>
        </w:rPr>
      </w:pPr>
      <w:r w:rsidRPr="0004255B">
        <w:rPr>
          <w:rFonts w:cs="Times New Roman"/>
          <w:b/>
          <w:color w:val="FF0000"/>
        </w:rPr>
        <w:t>Figure S1.</w:t>
      </w:r>
      <w:r w:rsidRPr="0004255B">
        <w:rPr>
          <w:rFonts w:cs="Times New Roman"/>
          <w:color w:val="FF0000"/>
        </w:rPr>
        <w:t xml:space="preserve"> </w:t>
      </w:r>
      <w:r w:rsidR="002F6F8E" w:rsidRPr="002F6F8E">
        <w:rPr>
          <w:rFonts w:cs="Times New Roman"/>
          <w:color w:val="FF0000"/>
        </w:rPr>
        <w:t xml:space="preserve">Standard curve for testing PCR bias in Pyrosequencing assays for Region 1 (panel A), Region 2 (panel B), Regions 3 and 4 (panel C), Region 5 (panel D), and Region 6 (panel E) (see methods for details). </w:t>
      </w:r>
      <w:r w:rsidR="00856424">
        <w:rPr>
          <w:rFonts w:cs="Times New Roman"/>
          <w:color w:val="FF0000"/>
        </w:rPr>
        <w:t xml:space="preserve">R-square for testing the linear trend was displayed. </w:t>
      </w:r>
      <w:r w:rsidR="004F1793">
        <w:rPr>
          <w:rFonts w:cs="Times New Roman"/>
          <w:b/>
        </w:rPr>
        <w:br w:type="page"/>
      </w:r>
    </w:p>
    <w:p w14:paraId="2369CC19" w14:textId="77777777" w:rsidR="00B9292D" w:rsidRPr="0086632B" w:rsidRDefault="00B9292D" w:rsidP="00503BF2">
      <w:pPr>
        <w:autoSpaceDE w:val="0"/>
        <w:autoSpaceDN w:val="0"/>
        <w:adjustRightInd w:val="0"/>
        <w:spacing w:line="480" w:lineRule="auto"/>
        <w:contextualSpacing/>
        <w:rPr>
          <w:rFonts w:cs="Times New Roman"/>
          <w:b/>
        </w:rPr>
      </w:pPr>
    </w:p>
    <w:p w14:paraId="50AF82B6" w14:textId="633F90E6" w:rsidR="0086632B" w:rsidRDefault="00E05073" w:rsidP="00503BF2">
      <w:pPr>
        <w:autoSpaceDE w:val="0"/>
        <w:autoSpaceDN w:val="0"/>
        <w:adjustRightInd w:val="0"/>
        <w:spacing w:line="480" w:lineRule="auto"/>
        <w:contextualSpacing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18A6A4EB" wp14:editId="6E21CCC0">
            <wp:extent cx="6109335" cy="3048793"/>
            <wp:effectExtent l="0" t="0" r="1206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234" cy="305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9734A" w14:textId="1AA012D4" w:rsidR="00E05073" w:rsidRPr="00E05073" w:rsidRDefault="00E05073" w:rsidP="00E05073">
      <w:pPr>
        <w:autoSpaceDE w:val="0"/>
        <w:autoSpaceDN w:val="0"/>
        <w:adjustRightInd w:val="0"/>
        <w:spacing w:line="480" w:lineRule="auto"/>
        <w:contextualSpacing/>
        <w:rPr>
          <w:rFonts w:cs="Times New Roman"/>
        </w:rPr>
      </w:pPr>
      <w:r w:rsidRPr="00E05073">
        <w:rPr>
          <w:rFonts w:cs="Times New Roman"/>
          <w:b/>
        </w:rPr>
        <w:t>Figure S</w:t>
      </w:r>
      <w:r w:rsidR="0004255B">
        <w:rPr>
          <w:rFonts w:cs="Times New Roman"/>
          <w:b/>
        </w:rPr>
        <w:t>2</w:t>
      </w:r>
      <w:r w:rsidRPr="00E05073">
        <w:rPr>
          <w:rFonts w:cs="Times New Roman"/>
        </w:rPr>
        <w:t xml:space="preserve">. Plots for association between plasma cotinine level and </w:t>
      </w:r>
      <w:r w:rsidRPr="00E05073">
        <w:rPr>
          <w:rFonts w:cs="Times New Roman"/>
          <w:i/>
        </w:rPr>
        <w:t>AXL</w:t>
      </w:r>
      <w:r w:rsidRPr="00E05073">
        <w:rPr>
          <w:rFonts w:cs="Times New Roman"/>
        </w:rPr>
        <w:t xml:space="preserve"> methylation using piecewise linear regression model (see statistical methods for details). P-values are showing the overall fit of the two-component linear spline. Cotinine was log10 transformed. </w:t>
      </w:r>
    </w:p>
    <w:p w14:paraId="3091D41D" w14:textId="62E8D7A4" w:rsidR="00E05073" w:rsidRDefault="00E05073" w:rsidP="00E05073">
      <w:pPr>
        <w:autoSpaceDE w:val="0"/>
        <w:autoSpaceDN w:val="0"/>
        <w:adjustRightInd w:val="0"/>
        <w:spacing w:line="480" w:lineRule="auto"/>
        <w:contextualSpacing/>
        <w:rPr>
          <w:rFonts w:cs="Times New Roman"/>
        </w:rPr>
      </w:pPr>
      <w:r w:rsidRPr="00E05073">
        <w:rPr>
          <w:rFonts w:cs="Times New Roman"/>
        </w:rPr>
        <w:t>Green dots: residuals from model. Red line: fitted regression line for each component of spline.</w:t>
      </w:r>
    </w:p>
    <w:p w14:paraId="5F41C0F1" w14:textId="7893BF67" w:rsidR="00E05073" w:rsidRDefault="00E05073">
      <w:pPr>
        <w:rPr>
          <w:rFonts w:cs="Times New Roman"/>
        </w:rPr>
      </w:pPr>
      <w:r>
        <w:rPr>
          <w:rFonts w:cs="Times New Roman"/>
        </w:rPr>
        <w:br w:type="page"/>
      </w:r>
    </w:p>
    <w:p w14:paraId="5722DB29" w14:textId="50AA561F" w:rsidR="00E05073" w:rsidRDefault="00E05073" w:rsidP="00E05073">
      <w:pPr>
        <w:autoSpaceDE w:val="0"/>
        <w:autoSpaceDN w:val="0"/>
        <w:adjustRightInd w:val="0"/>
        <w:spacing w:line="480" w:lineRule="auto"/>
        <w:contextualSpacing/>
        <w:rPr>
          <w:rFonts w:cs="Times New Roman"/>
        </w:rPr>
      </w:pPr>
      <w:r>
        <w:rPr>
          <w:rFonts w:cs="Times New Roman"/>
          <w:noProof/>
          <w:lang w:eastAsia="zh-CN"/>
        </w:rPr>
        <w:lastRenderedPageBreak/>
        <w:drawing>
          <wp:inline distT="0" distB="0" distL="0" distR="0" wp14:anchorId="31B6B1B6" wp14:editId="6D5A46D6">
            <wp:extent cx="5943600" cy="35725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644C" w14:textId="17CA450B" w:rsidR="00E05073" w:rsidRDefault="00E05073" w:rsidP="00E05073">
      <w:pPr>
        <w:autoSpaceDE w:val="0"/>
        <w:autoSpaceDN w:val="0"/>
        <w:adjustRightInd w:val="0"/>
        <w:spacing w:line="480" w:lineRule="auto"/>
        <w:contextualSpacing/>
        <w:rPr>
          <w:rFonts w:cs="Times New Roman"/>
        </w:rPr>
      </w:pPr>
      <w:bookmarkStart w:id="0" w:name="_GoBack"/>
      <w:r w:rsidRPr="00E05073">
        <w:rPr>
          <w:rFonts w:cs="Times New Roman"/>
          <w:b/>
        </w:rPr>
        <w:t>Figure S</w:t>
      </w:r>
      <w:r w:rsidR="0004255B">
        <w:rPr>
          <w:rFonts w:cs="Times New Roman"/>
          <w:b/>
        </w:rPr>
        <w:t>3</w:t>
      </w:r>
      <w:r w:rsidRPr="00E05073">
        <w:rPr>
          <w:rFonts w:cs="Times New Roman"/>
        </w:rPr>
        <w:t xml:space="preserve">.  </w:t>
      </w:r>
      <w:r w:rsidRPr="00E05073">
        <w:rPr>
          <w:rFonts w:cs="Times New Roman"/>
          <w:i/>
        </w:rPr>
        <w:t>AXL</w:t>
      </w:r>
      <w:r w:rsidRPr="00E05073">
        <w:rPr>
          <w:rFonts w:cs="Times New Roman"/>
        </w:rPr>
        <w:t xml:space="preserve"> (</w:t>
      </w:r>
      <w:proofErr w:type="spellStart"/>
      <w:r w:rsidRPr="00E05073">
        <w:rPr>
          <w:rFonts w:cs="Times New Roman"/>
        </w:rPr>
        <w:t>Gencode</w:t>
      </w:r>
      <w:proofErr w:type="spellEnd"/>
      <w:r w:rsidRPr="00E05073">
        <w:rPr>
          <w:rFonts w:cs="Times New Roman"/>
        </w:rPr>
        <w:t xml:space="preserve"> ID:</w:t>
      </w:r>
      <w:r w:rsidR="007E403B">
        <w:rPr>
          <w:rFonts w:cs="Times New Roman"/>
        </w:rPr>
        <w:t xml:space="preserve"> </w:t>
      </w:r>
      <w:r w:rsidRPr="00E05073">
        <w:rPr>
          <w:rFonts w:cs="Times New Roman"/>
        </w:rPr>
        <w:t>ENSG00000167601.7) mRNA expression levels across different tissues from the Genotype-Tissue expression (</w:t>
      </w:r>
      <w:proofErr w:type="spellStart"/>
      <w:r w:rsidRPr="00E05073">
        <w:rPr>
          <w:rFonts w:cs="Times New Roman"/>
        </w:rPr>
        <w:t>GTEx</w:t>
      </w:r>
      <w:proofErr w:type="spellEnd"/>
      <w:r w:rsidRPr="00E05073">
        <w:rPr>
          <w:rFonts w:cs="Times New Roman"/>
        </w:rPr>
        <w:t>) project.</w:t>
      </w:r>
    </w:p>
    <w:bookmarkEnd w:id="0"/>
    <w:p w14:paraId="37141342" w14:textId="77777777" w:rsidR="003239C3" w:rsidRDefault="003239C3" w:rsidP="003239C3">
      <w:pPr>
        <w:rPr>
          <w:bCs/>
        </w:rPr>
      </w:pPr>
    </w:p>
    <w:p w14:paraId="29497097" w14:textId="77777777" w:rsidR="00A31304" w:rsidRPr="003239C3" w:rsidRDefault="00A31304" w:rsidP="003239C3">
      <w:pPr>
        <w:rPr>
          <w:bCs/>
        </w:rPr>
      </w:pPr>
    </w:p>
    <w:p w14:paraId="017110EC" w14:textId="77777777" w:rsidR="00BD1491" w:rsidRDefault="00BD1491"/>
    <w:sectPr w:rsidR="00BD1491" w:rsidSect="0086632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D1130" w14:textId="77777777" w:rsidR="000D4296" w:rsidRDefault="000D4296" w:rsidP="00A96694">
      <w:r>
        <w:separator/>
      </w:r>
    </w:p>
  </w:endnote>
  <w:endnote w:type="continuationSeparator" w:id="0">
    <w:p w14:paraId="6868C983" w14:textId="77777777" w:rsidR="000D4296" w:rsidRDefault="000D4296" w:rsidP="00A9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C2DA7" w14:textId="77777777" w:rsidR="0008489C" w:rsidRDefault="0008489C" w:rsidP="004F17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C92F67" w14:textId="77777777" w:rsidR="0008489C" w:rsidRDefault="0008489C" w:rsidP="00A9669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9BAC5" w14:textId="77777777" w:rsidR="0008489C" w:rsidRDefault="0008489C" w:rsidP="004F179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6C5C">
      <w:rPr>
        <w:rStyle w:val="PageNumber"/>
        <w:noProof/>
      </w:rPr>
      <w:t>11</w:t>
    </w:r>
    <w:r>
      <w:rPr>
        <w:rStyle w:val="PageNumber"/>
      </w:rPr>
      <w:fldChar w:fldCharType="end"/>
    </w:r>
  </w:p>
  <w:p w14:paraId="14EE6EB4" w14:textId="77777777" w:rsidR="0008489C" w:rsidRDefault="0008489C" w:rsidP="00A966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56084" w14:textId="77777777" w:rsidR="000D4296" w:rsidRDefault="000D4296" w:rsidP="00A96694">
      <w:r>
        <w:separator/>
      </w:r>
    </w:p>
  </w:footnote>
  <w:footnote w:type="continuationSeparator" w:id="0">
    <w:p w14:paraId="60F00BE0" w14:textId="77777777" w:rsidR="000D4296" w:rsidRDefault="000D4296" w:rsidP="00A96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91"/>
    <w:rsid w:val="0004255B"/>
    <w:rsid w:val="00062280"/>
    <w:rsid w:val="0008489C"/>
    <w:rsid w:val="000A3057"/>
    <w:rsid w:val="000D4296"/>
    <w:rsid w:val="00166C5C"/>
    <w:rsid w:val="001F4A15"/>
    <w:rsid w:val="0024128B"/>
    <w:rsid w:val="002758C5"/>
    <w:rsid w:val="002E6186"/>
    <w:rsid w:val="002F6F8E"/>
    <w:rsid w:val="00301644"/>
    <w:rsid w:val="003239C3"/>
    <w:rsid w:val="00354D25"/>
    <w:rsid w:val="003945B2"/>
    <w:rsid w:val="003F31A4"/>
    <w:rsid w:val="00494BCD"/>
    <w:rsid w:val="004A3A9E"/>
    <w:rsid w:val="004B6CA1"/>
    <w:rsid w:val="004F1793"/>
    <w:rsid w:val="00503BF2"/>
    <w:rsid w:val="00572738"/>
    <w:rsid w:val="00580434"/>
    <w:rsid w:val="00580FF6"/>
    <w:rsid w:val="00581FD4"/>
    <w:rsid w:val="005B0B53"/>
    <w:rsid w:val="00606665"/>
    <w:rsid w:val="00661DDF"/>
    <w:rsid w:val="0074089C"/>
    <w:rsid w:val="0074648F"/>
    <w:rsid w:val="00760424"/>
    <w:rsid w:val="007E403B"/>
    <w:rsid w:val="008141BA"/>
    <w:rsid w:val="00856424"/>
    <w:rsid w:val="0086632B"/>
    <w:rsid w:val="008D26FA"/>
    <w:rsid w:val="00902D1B"/>
    <w:rsid w:val="00961084"/>
    <w:rsid w:val="00974F8E"/>
    <w:rsid w:val="009D30AB"/>
    <w:rsid w:val="009F0EF6"/>
    <w:rsid w:val="00A31304"/>
    <w:rsid w:val="00A369E3"/>
    <w:rsid w:val="00A4776A"/>
    <w:rsid w:val="00A841FE"/>
    <w:rsid w:val="00A9151A"/>
    <w:rsid w:val="00A96694"/>
    <w:rsid w:val="00B9292D"/>
    <w:rsid w:val="00BB6860"/>
    <w:rsid w:val="00BD1491"/>
    <w:rsid w:val="00BD28E6"/>
    <w:rsid w:val="00BE428A"/>
    <w:rsid w:val="00C12D10"/>
    <w:rsid w:val="00C83897"/>
    <w:rsid w:val="00CA1052"/>
    <w:rsid w:val="00CA6854"/>
    <w:rsid w:val="00CA6CD7"/>
    <w:rsid w:val="00D17502"/>
    <w:rsid w:val="00D54E75"/>
    <w:rsid w:val="00D90AC4"/>
    <w:rsid w:val="00DF40C2"/>
    <w:rsid w:val="00DF453C"/>
    <w:rsid w:val="00E05073"/>
    <w:rsid w:val="00E171F3"/>
    <w:rsid w:val="00E30DC5"/>
    <w:rsid w:val="00E94B49"/>
    <w:rsid w:val="00EB56BE"/>
    <w:rsid w:val="00F15D30"/>
    <w:rsid w:val="00F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BF1A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6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694"/>
  </w:style>
  <w:style w:type="character" w:styleId="PageNumber">
    <w:name w:val="page number"/>
    <w:basedOn w:val="DefaultParagraphFont"/>
    <w:uiPriority w:val="99"/>
    <w:semiHidden/>
    <w:unhideWhenUsed/>
    <w:rsid w:val="00A9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1571</Words>
  <Characters>8958</Characters>
  <Application>Microsoft Macintosh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Gao</dc:creator>
  <cp:keywords/>
  <dc:description/>
  <cp:lastModifiedBy>Lu Gao</cp:lastModifiedBy>
  <cp:revision>24</cp:revision>
  <dcterms:created xsi:type="dcterms:W3CDTF">2018-03-17T05:35:00Z</dcterms:created>
  <dcterms:modified xsi:type="dcterms:W3CDTF">2018-07-18T02:19:00Z</dcterms:modified>
</cp:coreProperties>
</file>