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89399" w14:textId="77777777" w:rsidR="00FF5ABC" w:rsidRDefault="00FF5ABC" w:rsidP="00FF5ABC">
      <w:pPr>
        <w:pStyle w:val="Heading2"/>
      </w:pPr>
      <w:bookmarkStart w:id="0" w:name="_Ref50278365"/>
      <w:r>
        <w:t>Supplementary text</w:t>
      </w:r>
      <w:bookmarkEnd w:id="0"/>
    </w:p>
    <w:p w14:paraId="7F035D53" w14:textId="77777777" w:rsidR="00FF5ABC" w:rsidRDefault="00FF5ABC" w:rsidP="00FF5ABC">
      <w:pPr>
        <w:rPr>
          <w:b/>
          <w:bCs/>
        </w:rPr>
      </w:pPr>
    </w:p>
    <w:p w14:paraId="3F202606" w14:textId="77777777" w:rsidR="00FF5ABC" w:rsidRPr="002E320D" w:rsidRDefault="00FF5ABC" w:rsidP="00FF5ABC">
      <w:pPr>
        <w:rPr>
          <w:b/>
          <w:bCs/>
        </w:rPr>
      </w:pPr>
      <w:r w:rsidRPr="002E320D">
        <w:rPr>
          <w:b/>
          <w:bCs/>
        </w:rPr>
        <w:t>SWS Cohort</w:t>
      </w:r>
    </w:p>
    <w:p w14:paraId="4F5F8B2C" w14:textId="77777777" w:rsidR="00FF5ABC" w:rsidRDefault="00FF5ABC" w:rsidP="00FF5ABC">
      <w:r w:rsidRPr="002E320D">
        <w:t>The Southampton Women’s Survey</w:t>
      </w:r>
      <w:r>
        <w:t xml:space="preserve"> (SWS) </w:t>
      </w:r>
      <w:r w:rsidRPr="002E320D">
        <w:t>is an ongoing, prospective cohort study of 12</w:t>
      </w:r>
      <w:r>
        <w:t>,</w:t>
      </w:r>
      <w:r w:rsidRPr="002E320D">
        <w:t>583, initially non-pregnant, women aged 20–34 years, living in the city of Southampton, UK</w:t>
      </w:r>
      <w:r>
        <w:t xml:space="preserve"> </w:t>
      </w:r>
      <w:r>
        <w:rPr>
          <w:noProof/>
        </w:rPr>
        <w:t>(39)</w:t>
      </w:r>
      <w:r w:rsidRPr="002E320D">
        <w:t>. Assessments of lifestyle, diet and anthropometry were performed at study entry (April 1998–December 2002). Women who subsequently became pregnant were followed through pregnancy and their offspring through infancy and childhood.</w:t>
      </w:r>
      <w:r>
        <w:t xml:space="preserve"> </w:t>
      </w:r>
      <w:r w:rsidRPr="000E5D71">
        <w:t xml:space="preserve">Follow-up of the children and sample collection/analysis was carried out under Institutional Review Board approval (Southampton and South West Hampshire Research Ethics Committee, references 276/97, 307/97, 153/99w, and 10/H0504/30) with written informed consent. </w:t>
      </w:r>
      <w:r w:rsidRPr="002E320D">
        <w:t xml:space="preserve">Here we focus on the follow-up of the children aged </w:t>
      </w:r>
      <w:r>
        <w:t>11-13</w:t>
      </w:r>
      <w:r w:rsidRPr="002E320D">
        <w:t xml:space="preserve"> years</w:t>
      </w:r>
      <w:r>
        <w:t xml:space="preserve"> which included epigenetic data</w:t>
      </w:r>
      <w:r w:rsidRPr="002E320D">
        <w:t>.</w:t>
      </w:r>
    </w:p>
    <w:p w14:paraId="1F6AEC68" w14:textId="77777777" w:rsidR="00FF5ABC" w:rsidRDefault="00FF5ABC" w:rsidP="00FF5ABC">
      <w:pPr>
        <w:rPr>
          <w:b/>
          <w:bCs/>
        </w:rPr>
      </w:pPr>
      <w:r w:rsidRPr="002E320D">
        <w:rPr>
          <w:b/>
          <w:bCs/>
        </w:rPr>
        <w:t>Early life measures</w:t>
      </w:r>
    </w:p>
    <w:p w14:paraId="63FC07F4" w14:textId="77777777" w:rsidR="00FF5ABC" w:rsidRDefault="00FF5ABC" w:rsidP="00FF5ABC">
      <w:r w:rsidRPr="000E5D71">
        <w:t>Birth weights were recorded by midwives attending the birth</w:t>
      </w:r>
      <w:r>
        <w:t xml:space="preserve"> and weight at 12 months</w:t>
      </w:r>
      <w:r w:rsidRPr="000E5D71">
        <w:t xml:space="preserve"> using hospital digital scales (</w:t>
      </w:r>
      <w:proofErr w:type="spellStart"/>
      <w:r w:rsidRPr="000E5D71">
        <w:t>Seca</w:t>
      </w:r>
      <w:proofErr w:type="spellEnd"/>
      <w:r w:rsidRPr="000E5D71">
        <w:t xml:space="preserve"> Ltd, London) that were regularly calibrated</w:t>
      </w:r>
      <w:r>
        <w:t xml:space="preserve">. </w:t>
      </w:r>
      <w:r w:rsidRPr="000E5D71">
        <w:t xml:space="preserve">In order to adjust for sex and gestational age and also to compare with reference values for the population, birth weight measurements were expressed as </w:t>
      </w:r>
      <w:r>
        <w:t>z-s</w:t>
      </w:r>
      <w:r w:rsidRPr="000E5D71">
        <w:t xml:space="preserve">cores compared with the 1990 British Growth </w:t>
      </w:r>
      <w:r>
        <w:t>Foundation (CGF)</w:t>
      </w:r>
      <w:r w:rsidRPr="000E5D71">
        <w:t xml:space="preserve"> </w:t>
      </w:r>
      <w:proofErr w:type="gramStart"/>
      <w:r w:rsidRPr="000E5D71">
        <w:t>data</w:t>
      </w:r>
      <w:r>
        <w:t>, and</w:t>
      </w:r>
      <w:proofErr w:type="gramEnd"/>
      <w:r>
        <w:t xml:space="preserve"> were used to determine the rapid weight gain and rapid thrive variables. </w:t>
      </w:r>
      <w:r w:rsidRPr="009C5AB6">
        <w:t>Rapid thrive was determined as z</w:t>
      </w:r>
      <w:r>
        <w:t>-</w:t>
      </w:r>
      <w:r w:rsidRPr="009C5AB6">
        <w:t>score</w:t>
      </w:r>
      <w:r w:rsidRPr="009C5AB6">
        <w:rPr>
          <w:vertAlign w:val="subscript"/>
        </w:rPr>
        <w:t>12m</w:t>
      </w:r>
      <w:r w:rsidRPr="009C5AB6">
        <w:t xml:space="preserve"> − r × z-</w:t>
      </w:r>
      <w:proofErr w:type="spellStart"/>
      <w:r w:rsidRPr="009C5AB6">
        <w:t>score</w:t>
      </w:r>
      <w:r w:rsidRPr="009C5AB6">
        <w:rPr>
          <w:vertAlign w:val="subscript"/>
        </w:rPr>
        <w:t>birth</w:t>
      </w:r>
      <w:proofErr w:type="spellEnd"/>
      <w:r w:rsidRPr="009C5AB6">
        <w:t xml:space="preserve">, where r </w:t>
      </w:r>
      <w:r>
        <w:t>was</w:t>
      </w:r>
      <w:r w:rsidRPr="009C5AB6">
        <w:t xml:space="preserve"> the cohort regression coefficient (r=0.</w:t>
      </w:r>
      <w:r>
        <w:t>276</w:t>
      </w:r>
      <w:r w:rsidRPr="009C5AB6">
        <w:t xml:space="preserve">) </w:t>
      </w:r>
      <w:r>
        <w:t xml:space="preserve">of the linear model with z-score at 12month as the outcome with birthweight z-score as the exposure. </w:t>
      </w:r>
      <w:r w:rsidRPr="0050703B">
        <w:t xml:space="preserve">RWG and RT were analysed as </w:t>
      </w:r>
      <w:r>
        <w:t>categorical</w:t>
      </w:r>
      <w:r w:rsidRPr="0050703B">
        <w:t xml:space="preserve"> variables of a &gt;+0.67 standard deviation change</w:t>
      </w:r>
      <w:r>
        <w:t>.</w:t>
      </w:r>
    </w:p>
    <w:p w14:paraId="56CA01FE" w14:textId="77777777" w:rsidR="00FF5ABC" w:rsidRPr="002E320D" w:rsidRDefault="00FF5ABC" w:rsidP="00FF5ABC">
      <w:pPr>
        <w:rPr>
          <w:b/>
          <w:bCs/>
        </w:rPr>
      </w:pPr>
      <w:r w:rsidRPr="002E320D">
        <w:rPr>
          <w:b/>
          <w:bCs/>
        </w:rPr>
        <w:t>DNA extraction</w:t>
      </w:r>
    </w:p>
    <w:p w14:paraId="1EBB4BC3" w14:textId="77777777" w:rsidR="00FF5ABC" w:rsidRDefault="00FF5ABC" w:rsidP="00FF5ABC">
      <w:r>
        <w:lastRenderedPageBreak/>
        <w:t xml:space="preserve">Genomic DNA (gDNA) was extracted from whole blood samples using the </w:t>
      </w:r>
      <w:proofErr w:type="spellStart"/>
      <w:r>
        <w:t>QIAamp</w:t>
      </w:r>
      <w:proofErr w:type="spellEnd"/>
      <w:r>
        <w:t xml:space="preserve"> Blood DNA mini kit (Qiagen). Quality of the genomic DNA was assessed by agarose gel electrophoresis and quantity of gDNA was checked on the </w:t>
      </w:r>
      <w:proofErr w:type="spellStart"/>
      <w:r>
        <w:t>NanoDrop</w:t>
      </w:r>
      <w:proofErr w:type="spellEnd"/>
      <w:r>
        <w:t xml:space="preserve"> ND-1000 (</w:t>
      </w:r>
      <w:proofErr w:type="spellStart"/>
      <w:r>
        <w:t>NanoDrop</w:t>
      </w:r>
      <w:proofErr w:type="spellEnd"/>
      <w:r>
        <w:t xml:space="preserve"> Technologies).</w:t>
      </w:r>
    </w:p>
    <w:p w14:paraId="12562D31" w14:textId="77777777" w:rsidR="00FF5ABC" w:rsidRPr="002E320D" w:rsidRDefault="00FF5ABC" w:rsidP="00FF5ABC">
      <w:pPr>
        <w:rPr>
          <w:b/>
          <w:bCs/>
        </w:rPr>
      </w:pPr>
      <w:r w:rsidRPr="002E320D">
        <w:rPr>
          <w:b/>
          <w:bCs/>
        </w:rPr>
        <w:t>Infinium Human</w:t>
      </w:r>
      <w:r>
        <w:rPr>
          <w:b/>
          <w:bCs/>
        </w:rPr>
        <w:t xml:space="preserve"> </w:t>
      </w:r>
      <w:proofErr w:type="spellStart"/>
      <w:r w:rsidRPr="002E320D">
        <w:rPr>
          <w:b/>
          <w:bCs/>
        </w:rPr>
        <w:t>MethylationEPIC</w:t>
      </w:r>
      <w:proofErr w:type="spellEnd"/>
      <w:r w:rsidRPr="002E320D">
        <w:rPr>
          <w:b/>
          <w:bCs/>
        </w:rPr>
        <w:t xml:space="preserve"> </w:t>
      </w:r>
      <w:proofErr w:type="spellStart"/>
      <w:r w:rsidRPr="002E320D">
        <w:rPr>
          <w:b/>
          <w:bCs/>
        </w:rPr>
        <w:t>BeadChip</w:t>
      </w:r>
      <w:proofErr w:type="spellEnd"/>
      <w:r w:rsidRPr="002E320D">
        <w:rPr>
          <w:b/>
          <w:bCs/>
        </w:rPr>
        <w:t xml:space="preserve"> array</w:t>
      </w:r>
      <w:r w:rsidRPr="002E320D">
        <w:rPr>
          <w:b/>
          <w:bCs/>
        </w:rPr>
        <w:tab/>
      </w:r>
    </w:p>
    <w:p w14:paraId="0F1070DE" w14:textId="77777777" w:rsidR="00FF5ABC" w:rsidRDefault="00FF5ABC" w:rsidP="00FF5ABC">
      <w:r>
        <w:t xml:space="preserve">DNA methylation using the Infinium Human </w:t>
      </w:r>
      <w:proofErr w:type="spellStart"/>
      <w:r>
        <w:t>MethylationEPIC</w:t>
      </w:r>
      <w:proofErr w:type="spellEnd"/>
      <w:r>
        <w:t xml:space="preserve"> </w:t>
      </w:r>
      <w:proofErr w:type="spellStart"/>
      <w:r>
        <w:t>BeadChip</w:t>
      </w:r>
      <w:proofErr w:type="spellEnd"/>
      <w:r>
        <w:t xml:space="preserve"> array was used to interrogate DNA methylation in 107 whole blood samples. 1µg of the genomic DNA was treated with sodium </w:t>
      </w:r>
      <w:proofErr w:type="spellStart"/>
      <w:r>
        <w:t>bisulfite</w:t>
      </w:r>
      <w:proofErr w:type="spellEnd"/>
      <w:r>
        <w:t xml:space="preserve"> using </w:t>
      </w:r>
      <w:proofErr w:type="spellStart"/>
      <w:r>
        <w:t>Zymo</w:t>
      </w:r>
      <w:proofErr w:type="spellEnd"/>
      <w:r>
        <w:t xml:space="preserve"> EZ DNA Methylation-Gold kit (</w:t>
      </w:r>
      <w:proofErr w:type="spellStart"/>
      <w:r>
        <w:t>ZymoResearch</w:t>
      </w:r>
      <w:proofErr w:type="spellEnd"/>
      <w:r>
        <w:t xml:space="preserve">, Irvine, California, USA, D5007) and processing of the Human </w:t>
      </w:r>
      <w:proofErr w:type="spellStart"/>
      <w:r>
        <w:t>MethylationEPIC</w:t>
      </w:r>
      <w:proofErr w:type="spellEnd"/>
      <w:r>
        <w:t xml:space="preserve"> (Infinium Methylation EPIC; Illumina, Inc. CA, USA) platform was carried out by the Centre for Molecular Medicine and Therapeutics (CMMT) (http://www.cmmt.ubc.ca). The </w:t>
      </w:r>
      <w:proofErr w:type="spellStart"/>
      <w:r>
        <w:t>idat</w:t>
      </w:r>
      <w:proofErr w:type="spellEnd"/>
      <w:r>
        <w:t xml:space="preserve"> files were processed in R v3.5.2. </w:t>
      </w:r>
      <w:r w:rsidRPr="002E320D">
        <w:t xml:space="preserve">Estimation of white blood cell counts was done using the Houseman algorithm. </w:t>
      </w:r>
      <w:proofErr w:type="spellStart"/>
      <w:r>
        <w:t>CpGs</w:t>
      </w:r>
      <w:proofErr w:type="spellEnd"/>
      <w:r>
        <w:t xml:space="preserve"> with a high detection p-value (p&gt;0.01), </w:t>
      </w:r>
      <w:proofErr w:type="spellStart"/>
      <w:r>
        <w:t>beadcount</w:t>
      </w:r>
      <w:proofErr w:type="spellEnd"/>
      <w:r>
        <w:t>&lt;3, c</w:t>
      </w:r>
      <w:r w:rsidRPr="002E320D">
        <w:t xml:space="preserve">ross-reactive and polymorphic probes identified by </w:t>
      </w:r>
      <w:proofErr w:type="spellStart"/>
      <w:r>
        <w:t>Pidsley</w:t>
      </w:r>
      <w:proofErr w:type="spellEnd"/>
      <w:r w:rsidRPr="002E320D">
        <w:t xml:space="preserve"> et al., </w:t>
      </w:r>
      <w:r>
        <w:rPr>
          <w:noProof/>
        </w:rPr>
        <w:t>(59)</w:t>
      </w:r>
      <w:r w:rsidRPr="0063220B">
        <w:t xml:space="preserve"> </w:t>
      </w:r>
      <w:r w:rsidRPr="002E320D">
        <w:t>and probes on sex chromosomes were removed prior to downstream analysis</w:t>
      </w:r>
      <w:r>
        <w:t xml:space="preserve"> (final number of </w:t>
      </w:r>
      <w:proofErr w:type="spellStart"/>
      <w:r>
        <w:t>CpGs</w:t>
      </w:r>
      <w:proofErr w:type="spellEnd"/>
      <w:r>
        <w:t>=</w:t>
      </w:r>
      <w:r w:rsidRPr="00575856">
        <w:t>792</w:t>
      </w:r>
      <w:r>
        <w:t>,</w:t>
      </w:r>
      <w:r w:rsidRPr="00575856">
        <w:t>718</w:t>
      </w:r>
      <w:r>
        <w:t>)</w:t>
      </w:r>
      <w:r w:rsidRPr="002E320D">
        <w:t>.</w:t>
      </w:r>
      <w:r>
        <w:t xml:space="preserve"> However, only CpG sites that were differentially methylated (</w:t>
      </w:r>
      <w:proofErr w:type="spellStart"/>
      <w:r>
        <w:t>p</w:t>
      </w:r>
      <w:r w:rsidRPr="001413FF">
        <w:rPr>
          <w:vertAlign w:val="subscript"/>
        </w:rPr>
        <w:t>FDR</w:t>
      </w:r>
      <w:proofErr w:type="spellEnd"/>
      <w:r>
        <w:t xml:space="preserve">&lt;0.05) in the ALSPAC analysis were examined in the SWS samples. </w:t>
      </w:r>
      <w:r>
        <w:br/>
      </w:r>
    </w:p>
    <w:p w14:paraId="1C7230E6" w14:textId="77777777" w:rsidR="0012698D" w:rsidRDefault="0012698D"/>
    <w:sectPr w:rsidR="0012698D" w:rsidSect="007D4C2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ABC"/>
    <w:rsid w:val="0012698D"/>
    <w:rsid w:val="007625F8"/>
    <w:rsid w:val="007D4C21"/>
    <w:rsid w:val="00E44445"/>
    <w:rsid w:val="00F70F94"/>
    <w:rsid w:val="00FF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2E04314"/>
  <w15:chartTrackingRefBased/>
  <w15:docId w15:val="{A68BB6A0-529A-5F47-8078-970B726F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ABC"/>
    <w:pPr>
      <w:spacing w:after="120" w:line="480" w:lineRule="auto"/>
    </w:pPr>
    <w:rPr>
      <w:rFonts w:eastAsiaTheme="minorEastAsia"/>
      <w:sz w:val="22"/>
      <w:szCs w:val="21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ABC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F5ABC"/>
    <w:rPr>
      <w:rFonts w:asciiTheme="majorHAnsi" w:eastAsiaTheme="majorEastAsia" w:hAnsiTheme="majorHAnsi" w:cstheme="majorBidi"/>
      <w:color w:val="2F5496" w:themeColor="accent1" w:themeShade="BF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Natassia Robinson</dc:creator>
  <cp:keywords/>
  <dc:description/>
  <cp:lastModifiedBy>Natassia Robinson</cp:lastModifiedBy>
  <cp:revision>1</cp:revision>
  <dcterms:created xsi:type="dcterms:W3CDTF">2020-09-23T07:58:00Z</dcterms:created>
  <dcterms:modified xsi:type="dcterms:W3CDTF">2020-09-23T08:00:00Z</dcterms:modified>
</cp:coreProperties>
</file>