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D5A6B" w14:textId="5BBF374E" w:rsidR="00C36C92" w:rsidRDefault="00C36C92" w:rsidP="00312EAB">
      <w:pPr>
        <w:pStyle w:val="PlainText"/>
        <w:widowControl/>
        <w:spacing w:line="480" w:lineRule="auto"/>
        <w:ind w:rightChars="67" w:right="141"/>
        <w:jc w:val="left"/>
        <w:rPr>
          <w:rFonts w:ascii="Arial" w:hAnsi="Arial" w:cs="Arial"/>
          <w:b/>
          <w:sz w:val="24"/>
          <w:szCs w:val="24"/>
        </w:rPr>
      </w:pPr>
      <w:bookmarkStart w:id="0" w:name="OLE_LINK8"/>
      <w:bookmarkStart w:id="1" w:name="OLE_LINK9"/>
      <w:bookmarkStart w:id="2" w:name="_GoBack"/>
      <w:r>
        <w:rPr>
          <w:rFonts w:ascii="Arial" w:hAnsi="Arial" w:cs="Arial"/>
          <w:b/>
          <w:sz w:val="24"/>
          <w:szCs w:val="24"/>
        </w:rPr>
        <w:t xml:space="preserve">Additional file </w:t>
      </w:r>
      <w:r w:rsidR="00312EAB">
        <w:rPr>
          <w:rFonts w:ascii="Arial" w:hAnsi="Arial" w:cs="Arial"/>
          <w:b/>
          <w:sz w:val="24"/>
          <w:szCs w:val="24"/>
        </w:rPr>
        <w:t>1</w:t>
      </w:r>
      <w:r>
        <w:rPr>
          <w:rFonts w:ascii="Arial" w:hAnsi="Arial" w:cs="Arial"/>
          <w:b/>
          <w:sz w:val="24"/>
          <w:szCs w:val="24"/>
        </w:rPr>
        <w:t>.</w:t>
      </w:r>
    </w:p>
    <w:p w14:paraId="49FF500F" w14:textId="42006060" w:rsidR="00F26B71" w:rsidRPr="005356E6" w:rsidRDefault="00F26B71" w:rsidP="005356E6">
      <w:pPr>
        <w:pStyle w:val="PlainText"/>
        <w:widowControl/>
        <w:spacing w:line="480" w:lineRule="auto"/>
        <w:ind w:rightChars="67" w:right="141"/>
        <w:jc w:val="left"/>
        <w:rPr>
          <w:rFonts w:ascii="Arial" w:hAnsi="Arial" w:cs="Arial"/>
          <w:b/>
          <w:sz w:val="24"/>
          <w:szCs w:val="24"/>
        </w:rPr>
      </w:pPr>
      <w:r w:rsidRPr="005356E6">
        <w:rPr>
          <w:rFonts w:ascii="Arial" w:hAnsi="Arial" w:cs="Arial"/>
          <w:b/>
          <w:bCs/>
          <w:sz w:val="24"/>
          <w:szCs w:val="24"/>
        </w:rPr>
        <w:t>Profile of copper-associated DNA methylation and its association with incident acute coronary syndrome</w:t>
      </w:r>
    </w:p>
    <w:p w14:paraId="52B11B1A" w14:textId="77777777" w:rsidR="00F53F19" w:rsidRPr="004846A8" w:rsidRDefault="00F53F19" w:rsidP="00F53F19">
      <w:pPr>
        <w:spacing w:before="120" w:after="120" w:line="480" w:lineRule="auto"/>
        <w:jc w:val="left"/>
        <w:rPr>
          <w:rFonts w:ascii="Arial" w:hAnsi="Arial" w:cs="Arial"/>
          <w:sz w:val="24"/>
          <w:szCs w:val="24"/>
          <w:vertAlign w:val="superscript"/>
        </w:rPr>
      </w:pPr>
      <w:bookmarkStart w:id="3" w:name="_Hlk46749521"/>
      <w:bookmarkStart w:id="4" w:name="_Hlk1050385"/>
      <w:bookmarkStart w:id="5" w:name="_Hlk57306971"/>
      <w:r w:rsidRPr="004846A8">
        <w:rPr>
          <w:rFonts w:ascii="Arial" w:hAnsi="Arial" w:cs="Arial"/>
          <w:sz w:val="24"/>
          <w:szCs w:val="24"/>
        </w:rPr>
        <w:t>Pinpin Long</w:t>
      </w:r>
      <w:bookmarkStart w:id="6" w:name="_Hlk57801997"/>
      <w:r w:rsidRPr="004846A8">
        <w:rPr>
          <w:rFonts w:ascii="Arial" w:hAnsi="Arial" w:cs="Arial"/>
          <w:sz w:val="24"/>
          <w:szCs w:val="24"/>
          <w:vertAlign w:val="superscript"/>
        </w:rPr>
        <w:t>†</w:t>
      </w:r>
      <w:bookmarkEnd w:id="6"/>
      <w:r w:rsidRPr="004846A8">
        <w:rPr>
          <w:rFonts w:ascii="Arial" w:hAnsi="Arial" w:cs="Arial"/>
          <w:sz w:val="24"/>
          <w:szCs w:val="24"/>
        </w:rPr>
        <w:t>, Qiuhong Wang</w:t>
      </w:r>
      <w:r w:rsidRPr="004846A8">
        <w:rPr>
          <w:rFonts w:ascii="Arial" w:hAnsi="Arial" w:cs="Arial"/>
          <w:sz w:val="24"/>
          <w:szCs w:val="24"/>
          <w:vertAlign w:val="superscript"/>
        </w:rPr>
        <w:t>†</w:t>
      </w:r>
      <w:r w:rsidRPr="004846A8">
        <w:rPr>
          <w:rFonts w:ascii="Arial" w:hAnsi="Arial" w:cs="Arial"/>
          <w:sz w:val="24"/>
          <w:szCs w:val="24"/>
        </w:rPr>
        <w:t>,</w:t>
      </w:r>
      <w:r w:rsidRPr="004846A8">
        <w:rPr>
          <w:rFonts w:ascii="Arial" w:hAnsi="Arial" w:cs="Arial"/>
          <w:sz w:val="24"/>
          <w:szCs w:val="24"/>
          <w:vertAlign w:val="superscript"/>
        </w:rPr>
        <w:t xml:space="preserve"> </w:t>
      </w:r>
      <w:r w:rsidRPr="004846A8">
        <w:rPr>
          <w:rFonts w:ascii="Arial" w:hAnsi="Arial" w:cs="Arial"/>
          <w:sz w:val="24"/>
          <w:szCs w:val="24"/>
        </w:rPr>
        <w:t>Yizhi Zhang, Xiaoyan Zhu, Kuai Yu, Haijing Jiang, Xuezhen Liu, Min Zhou,</w:t>
      </w:r>
      <w:r w:rsidRPr="004846A8">
        <w:rPr>
          <w:rFonts w:ascii="Arial" w:hAnsi="Arial" w:cs="Arial"/>
          <w:sz w:val="24"/>
          <w:szCs w:val="24"/>
          <w:vertAlign w:val="superscript"/>
        </w:rPr>
        <w:t xml:space="preserve"> </w:t>
      </w:r>
      <w:r w:rsidRPr="004846A8">
        <w:rPr>
          <w:rFonts w:ascii="Arial" w:hAnsi="Arial" w:cs="Arial"/>
          <w:sz w:val="24"/>
          <w:szCs w:val="24"/>
        </w:rPr>
        <w:t>Yu Yuan, Kang Liu, Jing Jiang, Xiaomin Zhang, Meian He, Huan Guo, Weihong Chen, Jing Yuan, Longxian Cheng, Liming Liang, and Tangchun Wu</w:t>
      </w:r>
      <w:r w:rsidRPr="004846A8">
        <w:rPr>
          <w:rFonts w:ascii="Arial" w:hAnsi="Arial" w:cs="Arial"/>
          <w:sz w:val="24"/>
          <w:szCs w:val="24"/>
          <w:vertAlign w:val="superscript"/>
        </w:rPr>
        <w:t>*</w:t>
      </w:r>
    </w:p>
    <w:p w14:paraId="72BE7B2F" w14:textId="1ABBD0BD" w:rsidR="006C23DE" w:rsidRPr="005356E6" w:rsidRDefault="00C36C92" w:rsidP="0082212F">
      <w:pPr>
        <w:spacing w:before="120" w:after="120"/>
        <w:jc w:val="left"/>
        <w:rPr>
          <w:rFonts w:ascii="Arial" w:eastAsia="DengXian" w:hAnsi="Arial" w:cs="Arial"/>
          <w:kern w:val="0"/>
          <w:sz w:val="24"/>
          <w:szCs w:val="24"/>
        </w:rPr>
      </w:pPr>
      <w:r>
        <w:rPr>
          <w:rFonts w:ascii="Arial" w:eastAsia="DengXian" w:hAnsi="Arial" w:cs="Arial"/>
          <w:b/>
          <w:bCs/>
          <w:kern w:val="0"/>
          <w:sz w:val="24"/>
          <w:szCs w:val="24"/>
        </w:rPr>
        <w:t>Method S</w:t>
      </w:r>
      <w:r w:rsidR="006C23DE" w:rsidRPr="005356E6">
        <w:rPr>
          <w:rFonts w:ascii="Arial" w:eastAsia="DengXian" w:hAnsi="Arial" w:cs="Arial"/>
          <w:b/>
          <w:bCs/>
          <w:kern w:val="0"/>
          <w:sz w:val="24"/>
          <w:szCs w:val="24"/>
        </w:rPr>
        <w:t xml:space="preserve">1. </w:t>
      </w:r>
      <w:r w:rsidR="00F71288" w:rsidRPr="005356E6">
        <w:rPr>
          <w:rFonts w:ascii="Arial" w:eastAsia="DengXian" w:hAnsi="Arial" w:cs="Arial"/>
          <w:kern w:val="0"/>
          <w:sz w:val="24"/>
          <w:szCs w:val="24"/>
        </w:rPr>
        <w:t>Details of</w:t>
      </w:r>
      <w:r w:rsidR="00345F08" w:rsidRPr="005356E6">
        <w:rPr>
          <w:rFonts w:ascii="Arial" w:eastAsia="DengXian" w:hAnsi="Arial" w:cs="Arial"/>
          <w:kern w:val="0"/>
          <w:sz w:val="24"/>
          <w:szCs w:val="24"/>
        </w:rPr>
        <w:t xml:space="preserve"> the</w:t>
      </w:r>
      <w:r w:rsidR="00F71288" w:rsidRPr="005356E6">
        <w:rPr>
          <w:rFonts w:ascii="Arial" w:eastAsia="DengXian" w:hAnsi="Arial" w:cs="Arial"/>
          <w:kern w:val="0"/>
          <w:sz w:val="24"/>
          <w:szCs w:val="24"/>
        </w:rPr>
        <w:t xml:space="preserve"> study population.</w:t>
      </w:r>
    </w:p>
    <w:bookmarkEnd w:id="3"/>
    <w:p w14:paraId="02EFAD3E" w14:textId="4597BAE1" w:rsidR="006503EF" w:rsidRPr="005356E6" w:rsidRDefault="00C36C92" w:rsidP="006503EF">
      <w:pPr>
        <w:spacing w:before="120" w:after="120"/>
        <w:jc w:val="left"/>
        <w:rPr>
          <w:rFonts w:ascii="Arial" w:eastAsia="DengXian" w:hAnsi="Arial" w:cs="Arial"/>
          <w:kern w:val="0"/>
          <w:sz w:val="24"/>
          <w:szCs w:val="24"/>
        </w:rPr>
      </w:pPr>
      <w:r>
        <w:rPr>
          <w:rFonts w:ascii="Arial" w:eastAsia="DengXian" w:hAnsi="Arial" w:cs="Arial"/>
          <w:b/>
          <w:bCs/>
          <w:kern w:val="0"/>
          <w:sz w:val="24"/>
          <w:szCs w:val="24"/>
        </w:rPr>
        <w:t>Method S</w:t>
      </w:r>
      <w:r w:rsidR="006503EF" w:rsidRPr="005356E6">
        <w:rPr>
          <w:rFonts w:ascii="Arial" w:eastAsia="DengXian" w:hAnsi="Arial" w:cs="Arial"/>
          <w:b/>
          <w:bCs/>
          <w:kern w:val="0"/>
          <w:sz w:val="24"/>
          <w:szCs w:val="24"/>
        </w:rPr>
        <w:t xml:space="preserve">2. </w:t>
      </w:r>
      <w:bookmarkStart w:id="7" w:name="_Hlk46750050"/>
      <w:r w:rsidR="00345F08" w:rsidRPr="005356E6">
        <w:rPr>
          <w:rFonts w:ascii="Arial" w:eastAsia="DengXian" w:hAnsi="Arial" w:cs="Arial"/>
          <w:kern w:val="0"/>
          <w:sz w:val="24"/>
          <w:szCs w:val="24"/>
        </w:rPr>
        <w:t>Covariate assessment</w:t>
      </w:r>
      <w:r w:rsidR="006503EF" w:rsidRPr="005356E6">
        <w:rPr>
          <w:rFonts w:ascii="Arial" w:eastAsia="DengXian" w:hAnsi="Arial" w:cs="Arial"/>
          <w:kern w:val="0"/>
          <w:sz w:val="24"/>
          <w:szCs w:val="24"/>
        </w:rPr>
        <w:t>.</w:t>
      </w:r>
      <w:bookmarkEnd w:id="7"/>
    </w:p>
    <w:p w14:paraId="41B84C7C" w14:textId="50F2EE5D" w:rsidR="00345F08" w:rsidRPr="005356E6" w:rsidRDefault="00C36C92" w:rsidP="00345F08">
      <w:pPr>
        <w:spacing w:before="120" w:after="120"/>
        <w:jc w:val="left"/>
        <w:rPr>
          <w:rFonts w:ascii="Arial" w:eastAsia="DengXian" w:hAnsi="Arial" w:cs="Arial"/>
          <w:kern w:val="0"/>
          <w:sz w:val="24"/>
          <w:szCs w:val="24"/>
        </w:rPr>
      </w:pPr>
      <w:r>
        <w:rPr>
          <w:rFonts w:ascii="Arial" w:eastAsia="DengXian" w:hAnsi="Arial" w:cs="Arial"/>
          <w:b/>
          <w:bCs/>
          <w:kern w:val="0"/>
          <w:sz w:val="24"/>
          <w:szCs w:val="24"/>
        </w:rPr>
        <w:t>Method S</w:t>
      </w:r>
      <w:r w:rsidR="00024E1E" w:rsidRPr="005356E6">
        <w:rPr>
          <w:rFonts w:ascii="Arial" w:eastAsia="DengXian" w:hAnsi="Arial" w:cs="Arial"/>
          <w:b/>
          <w:bCs/>
          <w:kern w:val="0"/>
          <w:sz w:val="24"/>
          <w:szCs w:val="24"/>
        </w:rPr>
        <w:t>3</w:t>
      </w:r>
      <w:r w:rsidR="00345F08" w:rsidRPr="005356E6">
        <w:rPr>
          <w:rFonts w:ascii="Arial" w:eastAsia="DengXian" w:hAnsi="Arial" w:cs="Arial"/>
          <w:b/>
          <w:bCs/>
          <w:kern w:val="0"/>
          <w:sz w:val="24"/>
          <w:szCs w:val="24"/>
        </w:rPr>
        <w:t xml:space="preserve">. </w:t>
      </w:r>
      <w:r w:rsidR="00024E1E" w:rsidRPr="005356E6">
        <w:rPr>
          <w:rFonts w:ascii="Arial" w:eastAsia="DengXian" w:hAnsi="Arial" w:cs="Arial"/>
          <w:kern w:val="0"/>
          <w:sz w:val="24"/>
          <w:szCs w:val="24"/>
        </w:rPr>
        <w:t xml:space="preserve">Detailed processing methods </w:t>
      </w:r>
      <w:r w:rsidR="00C64A74" w:rsidRPr="005356E6">
        <w:rPr>
          <w:rFonts w:ascii="Arial" w:eastAsia="DengXian" w:hAnsi="Arial" w:cs="Arial"/>
          <w:kern w:val="0"/>
          <w:sz w:val="24"/>
          <w:szCs w:val="24"/>
        </w:rPr>
        <w:t>for</w:t>
      </w:r>
      <w:r w:rsidR="00024E1E" w:rsidRPr="005356E6">
        <w:rPr>
          <w:rFonts w:ascii="Arial" w:eastAsia="DengXian" w:hAnsi="Arial" w:cs="Arial"/>
          <w:kern w:val="0"/>
          <w:sz w:val="24"/>
          <w:szCs w:val="24"/>
        </w:rPr>
        <w:t xml:space="preserve"> DNA methylation and gene expression</w:t>
      </w:r>
      <w:r w:rsidR="00345F08" w:rsidRPr="005356E6">
        <w:rPr>
          <w:rFonts w:ascii="Arial" w:eastAsia="DengXian" w:hAnsi="Arial" w:cs="Arial"/>
          <w:kern w:val="0"/>
          <w:sz w:val="24"/>
          <w:szCs w:val="24"/>
        </w:rPr>
        <w:t>.</w:t>
      </w:r>
    </w:p>
    <w:bookmarkEnd w:id="4"/>
    <w:bookmarkEnd w:id="5"/>
    <w:p w14:paraId="287BF839" w14:textId="4ED288E3" w:rsidR="00F71288" w:rsidRPr="005356E6" w:rsidRDefault="00F71288" w:rsidP="00DE1538">
      <w:pPr>
        <w:tabs>
          <w:tab w:val="left" w:pos="6080"/>
        </w:tabs>
        <w:rPr>
          <w:rFonts w:ascii="Arial" w:eastAsia="SimSun" w:hAnsi="Arial" w:cs="Arial"/>
          <w:sz w:val="22"/>
        </w:rPr>
        <w:sectPr w:rsidR="00F71288" w:rsidRPr="005356E6" w:rsidSect="00DE1538">
          <w:pgSz w:w="11906" w:h="16838"/>
          <w:pgMar w:top="1440" w:right="1800" w:bottom="1440" w:left="1134" w:header="851" w:footer="992" w:gutter="0"/>
          <w:cols w:space="425"/>
          <w:docGrid w:type="lines" w:linePitch="312"/>
        </w:sectPr>
      </w:pPr>
    </w:p>
    <w:p w14:paraId="76637612" w14:textId="4E00F3E7" w:rsidR="00DE1538" w:rsidRPr="005356E6" w:rsidRDefault="00C36C92" w:rsidP="00DE1538">
      <w:pPr>
        <w:tabs>
          <w:tab w:val="left" w:pos="6080"/>
        </w:tabs>
        <w:rPr>
          <w:rFonts w:ascii="Arial" w:eastAsia="SimSun" w:hAnsi="Arial" w:cs="Arial"/>
          <w:sz w:val="24"/>
          <w:szCs w:val="24"/>
        </w:rPr>
      </w:pPr>
      <w:bookmarkStart w:id="8" w:name="_Hlk46757288"/>
      <w:r>
        <w:rPr>
          <w:rFonts w:ascii="Arial" w:eastAsia="SimSun" w:hAnsi="Arial" w:cs="Arial"/>
          <w:b/>
          <w:bCs/>
          <w:sz w:val="24"/>
          <w:szCs w:val="24"/>
        </w:rPr>
        <w:lastRenderedPageBreak/>
        <w:t>Method S</w:t>
      </w:r>
      <w:r w:rsidR="00F71288" w:rsidRPr="005356E6">
        <w:rPr>
          <w:rFonts w:ascii="Arial" w:eastAsia="SimSun" w:hAnsi="Arial" w:cs="Arial"/>
          <w:b/>
          <w:bCs/>
          <w:sz w:val="24"/>
          <w:szCs w:val="24"/>
        </w:rPr>
        <w:t>1</w:t>
      </w:r>
      <w:bookmarkEnd w:id="8"/>
      <w:r w:rsidR="00F71288" w:rsidRPr="005356E6">
        <w:rPr>
          <w:rFonts w:ascii="Arial" w:eastAsia="SimSun" w:hAnsi="Arial" w:cs="Arial"/>
          <w:sz w:val="24"/>
          <w:szCs w:val="24"/>
        </w:rPr>
        <w:t xml:space="preserve">. </w:t>
      </w:r>
      <w:r w:rsidR="00F71288" w:rsidRPr="005356E6">
        <w:rPr>
          <w:rFonts w:ascii="Arial" w:eastAsia="DengXian" w:hAnsi="Arial" w:cs="Arial"/>
          <w:kern w:val="0"/>
          <w:sz w:val="24"/>
          <w:szCs w:val="24"/>
        </w:rPr>
        <w:t xml:space="preserve">Details of </w:t>
      </w:r>
      <w:r w:rsidR="00345F08" w:rsidRPr="005356E6">
        <w:rPr>
          <w:rFonts w:ascii="Arial" w:eastAsia="DengXian" w:hAnsi="Arial" w:cs="Arial"/>
          <w:kern w:val="0"/>
          <w:sz w:val="24"/>
          <w:szCs w:val="24"/>
        </w:rPr>
        <w:t xml:space="preserve">the </w:t>
      </w:r>
      <w:r w:rsidR="00F71288" w:rsidRPr="005356E6">
        <w:rPr>
          <w:rFonts w:ascii="Arial" w:eastAsia="DengXian" w:hAnsi="Arial" w:cs="Arial"/>
          <w:kern w:val="0"/>
          <w:sz w:val="24"/>
          <w:szCs w:val="24"/>
        </w:rPr>
        <w:t>study population.</w:t>
      </w:r>
    </w:p>
    <w:p w14:paraId="705D4A13" w14:textId="02BA3250" w:rsidR="00F71288" w:rsidRPr="005356E6" w:rsidRDefault="00F71288" w:rsidP="00F71288">
      <w:pPr>
        <w:spacing w:line="480" w:lineRule="auto"/>
        <w:ind w:firstLineChars="200" w:firstLine="480"/>
        <w:jc w:val="left"/>
        <w:rPr>
          <w:rFonts w:ascii="Arial" w:hAnsi="Arial" w:cs="Arial"/>
          <w:bCs/>
          <w:iCs/>
          <w:sz w:val="24"/>
          <w:szCs w:val="24"/>
        </w:rPr>
      </w:pPr>
      <w:r w:rsidRPr="005356E6">
        <w:rPr>
          <w:rFonts w:ascii="Arial" w:hAnsi="Arial" w:cs="Arial"/>
          <w:b/>
          <w:bCs/>
          <w:i/>
          <w:iCs/>
          <w:sz w:val="24"/>
          <w:szCs w:val="24"/>
        </w:rPr>
        <w:t xml:space="preserve">The Dongfeng-Tongji (DFTJ) panel for incident ACS. </w:t>
      </w:r>
      <w:r w:rsidRPr="005356E6">
        <w:rPr>
          <w:rFonts w:ascii="Arial" w:hAnsi="Arial" w:cs="Arial"/>
          <w:bCs/>
          <w:iCs/>
          <w:sz w:val="24"/>
          <w:szCs w:val="24"/>
        </w:rPr>
        <w:t xml:space="preserve">The DFTJ cohort is </w:t>
      </w:r>
      <w:bookmarkStart w:id="9" w:name="_Hlk46756245"/>
      <w:r w:rsidRPr="005356E6">
        <w:rPr>
          <w:rFonts w:ascii="Arial" w:hAnsi="Arial" w:cs="Arial"/>
          <w:bCs/>
          <w:iCs/>
          <w:sz w:val="24"/>
          <w:szCs w:val="24"/>
        </w:rPr>
        <w:t>a prospective cohort based on retired workers from Dongfeng Motor Corporation (DMC) in Shiyan City, Hubei province, China.</w:t>
      </w:r>
      <w:bookmarkEnd w:id="9"/>
      <w:r w:rsidRPr="005356E6">
        <w:rPr>
          <w:rFonts w:ascii="Arial" w:hAnsi="Arial" w:cs="Arial"/>
          <w:bCs/>
          <w:iCs/>
          <w:sz w:val="24"/>
          <w:szCs w:val="24"/>
        </w:rPr>
        <w:t xml:space="preserve"> The DFTJ cohort recruited 27,009 participants from September 2008 to June 2010. Questionnaires, medical examinations, and fasting blood samples were conducted at baseline </w:t>
      </w:r>
      <w:r w:rsidR="00C647A8">
        <w:rPr>
          <w:rFonts w:ascii="Arial" w:hAnsi="Arial" w:cs="Arial"/>
          <w:bCs/>
          <w:iCs/>
          <w:sz w:val="24"/>
          <w:szCs w:val="24"/>
        </w:rPr>
        <w:t>[1]</w:t>
      </w:r>
      <w:r w:rsidRPr="005356E6">
        <w:rPr>
          <w:rFonts w:ascii="Arial" w:hAnsi="Arial" w:cs="Arial"/>
          <w:bCs/>
          <w:iCs/>
          <w:sz w:val="24"/>
          <w:szCs w:val="24"/>
        </w:rPr>
        <w:t xml:space="preserve">. At the first follow-up, 96.2% of the participants </w:t>
      </w:r>
      <w:bookmarkStart w:id="10" w:name="OLE_LINK5"/>
      <w:bookmarkStart w:id="11" w:name="OLE_LINK6"/>
      <w:r w:rsidRPr="005356E6">
        <w:rPr>
          <w:rFonts w:ascii="Arial" w:hAnsi="Arial" w:cs="Arial"/>
          <w:bCs/>
          <w:iCs/>
          <w:sz w:val="24"/>
          <w:szCs w:val="24"/>
        </w:rPr>
        <w:t>repeated the questionnaire interview,</w:t>
      </w:r>
      <w:bookmarkEnd w:id="10"/>
      <w:bookmarkEnd w:id="11"/>
      <w:r w:rsidRPr="005356E6">
        <w:rPr>
          <w:rFonts w:ascii="Arial" w:hAnsi="Arial" w:cs="Arial"/>
          <w:bCs/>
          <w:iCs/>
          <w:sz w:val="24"/>
          <w:szCs w:val="24"/>
        </w:rPr>
        <w:t xml:space="preserve"> medical examinations, and blood collection. At the same time, the incidents of CVD, diabetes, and cancer were registered up to 31 December 2013 </w:t>
      </w:r>
      <w:r w:rsidR="00C647A8">
        <w:rPr>
          <w:rFonts w:ascii="Arial" w:hAnsi="Arial" w:cs="Arial"/>
          <w:bCs/>
          <w:iCs/>
          <w:sz w:val="24"/>
          <w:szCs w:val="24"/>
        </w:rPr>
        <w:t>[2]</w:t>
      </w:r>
      <w:r w:rsidRPr="005356E6">
        <w:rPr>
          <w:rFonts w:ascii="Arial" w:hAnsi="Arial" w:cs="Arial"/>
          <w:bCs/>
          <w:iCs/>
          <w:sz w:val="24"/>
          <w:szCs w:val="24"/>
        </w:rPr>
        <w:t>.</w:t>
      </w:r>
    </w:p>
    <w:p w14:paraId="45EFB0B1" w14:textId="4210FB4A" w:rsidR="00F71288" w:rsidRPr="005356E6" w:rsidRDefault="00F71288" w:rsidP="00F71288">
      <w:pPr>
        <w:spacing w:line="480" w:lineRule="auto"/>
        <w:ind w:firstLineChars="150" w:firstLine="360"/>
        <w:jc w:val="left"/>
        <w:rPr>
          <w:rFonts w:ascii="Arial" w:hAnsi="Arial" w:cs="Arial"/>
          <w:bCs/>
          <w:iCs/>
          <w:sz w:val="24"/>
          <w:szCs w:val="24"/>
        </w:rPr>
      </w:pPr>
      <w:r w:rsidRPr="005356E6">
        <w:rPr>
          <w:rFonts w:ascii="Arial" w:hAnsi="Arial" w:cs="Arial"/>
          <w:bCs/>
          <w:iCs/>
          <w:sz w:val="24"/>
          <w:szCs w:val="24"/>
        </w:rPr>
        <w:t>The incident ACS cases and matched controls were selected among participants who a) donated blood at baseline; b) participated in the follow-up or died during follow-up; c) did not report coronary heart disease (CHD), stroke or cancer at baseline; and d) did not have abnormal baseline electrocardiograph (ECG). A total of 1,146 incident ACS cases were determined till 31 December 2013. We conducted a nested case-control study by randomly selected 344 incident ACS cases and 344 controls matched for age (±3 y), sex, and sampling time at baseline (±40 d).</w:t>
      </w:r>
    </w:p>
    <w:p w14:paraId="175A3E76" w14:textId="0AD4798C" w:rsidR="00F71288" w:rsidRPr="005356E6" w:rsidRDefault="00F71288" w:rsidP="00F71288">
      <w:pPr>
        <w:spacing w:line="480" w:lineRule="auto"/>
        <w:ind w:firstLineChars="200" w:firstLine="480"/>
        <w:jc w:val="left"/>
        <w:rPr>
          <w:rFonts w:ascii="Arial" w:hAnsi="Arial" w:cs="Arial"/>
          <w:bCs/>
          <w:iCs/>
          <w:sz w:val="24"/>
          <w:szCs w:val="24"/>
        </w:rPr>
      </w:pPr>
      <w:bookmarkStart w:id="12" w:name="_Hlk39142722"/>
      <w:r w:rsidRPr="005356E6">
        <w:rPr>
          <w:rFonts w:ascii="Arial" w:hAnsi="Arial" w:cs="Arial"/>
          <w:b/>
          <w:bCs/>
          <w:i/>
          <w:iCs/>
          <w:sz w:val="24"/>
          <w:szCs w:val="24"/>
        </w:rPr>
        <w:t xml:space="preserve">Two prevalent ACS patient panels. </w:t>
      </w:r>
      <w:r w:rsidRPr="005356E6">
        <w:rPr>
          <w:rFonts w:ascii="Arial" w:hAnsi="Arial" w:cs="Arial"/>
          <w:bCs/>
          <w:iCs/>
          <w:sz w:val="24"/>
          <w:szCs w:val="24"/>
        </w:rPr>
        <w:t xml:space="preserve">A two-stage genome-wide methylation association analysis was performed to explore prevalent ACS related DNA methylation alterations in Wuhan and Zhuhai, China, respectively. The analysis selected 103 ACS patients in Wuhan (abbreviated as ACS-WH) and 103 ACS patients in Zhuhai (abbreviated as ACS-GD) who </w:t>
      </w:r>
      <w:r w:rsidRPr="005356E6">
        <w:rPr>
          <w:rFonts w:ascii="Arial" w:hAnsi="Arial" w:cs="Arial"/>
          <w:bCs/>
          <w:iCs/>
          <w:sz w:val="24"/>
          <w:szCs w:val="24"/>
        </w:rPr>
        <w:lastRenderedPageBreak/>
        <w:t xml:space="preserve">a) donated blood at the earliest time of admission before any clinic treatment; b) were clinically diagnosed with acute myocardial infarction (AMI) or UA; c) were free of other cardiovascular diseases, chronic obstructive pulmonary disease (COPD), diabetes, acute or chronic infectious diseases, severe liver or kidney diseases and cancers </w:t>
      </w:r>
      <w:r w:rsidR="00C647A8">
        <w:rPr>
          <w:rFonts w:ascii="Arial" w:hAnsi="Arial" w:cs="Arial"/>
          <w:bCs/>
          <w:iCs/>
          <w:sz w:val="24"/>
          <w:szCs w:val="24"/>
        </w:rPr>
        <w:t>[3, 4]</w:t>
      </w:r>
      <w:r w:rsidRPr="005356E6">
        <w:rPr>
          <w:rFonts w:ascii="Arial" w:hAnsi="Arial" w:cs="Arial"/>
          <w:bCs/>
          <w:iCs/>
          <w:sz w:val="24"/>
          <w:szCs w:val="24"/>
        </w:rPr>
        <w:t>. We recruited controls of the prevalent ACS patients from the Wuhan-Zhuhai (WHZH) cohort, a cohort conducted in communities of two cities named Wuhan and Zhuhai in China (abbreviated as the WHZH panel). Established in 2011, this cohort recruited 3,053 residents from Wuhan and 1,759 residents from Zhuhai, using a stratified, cluster sampling approach. Participants aged from 18 to 80, free of severe illnesses, and had lived in the sampling sites for more than 5 years</w:t>
      </w:r>
      <w:bookmarkStart w:id="13" w:name="_Hlk46756203"/>
      <w:r w:rsidR="00C647A8">
        <w:rPr>
          <w:rFonts w:ascii="Arial" w:hAnsi="Arial" w:cs="Arial"/>
          <w:bCs/>
          <w:iCs/>
          <w:sz w:val="24"/>
          <w:szCs w:val="24"/>
        </w:rPr>
        <w:t xml:space="preserve"> </w:t>
      </w:r>
      <w:r w:rsidR="00514C6E">
        <w:rPr>
          <w:rFonts w:ascii="Arial" w:hAnsi="Arial" w:cs="Arial"/>
          <w:bCs/>
          <w:iCs/>
          <w:sz w:val="24"/>
          <w:szCs w:val="24"/>
        </w:rPr>
        <w:t>[9]</w:t>
      </w:r>
      <w:r w:rsidRPr="005356E6">
        <w:rPr>
          <w:rFonts w:ascii="Arial" w:hAnsi="Arial" w:cs="Arial"/>
          <w:bCs/>
          <w:iCs/>
          <w:sz w:val="24"/>
          <w:szCs w:val="24"/>
        </w:rPr>
        <w:t>.</w:t>
      </w:r>
      <w:bookmarkEnd w:id="13"/>
      <w:r w:rsidRPr="005356E6">
        <w:rPr>
          <w:rFonts w:ascii="Arial" w:hAnsi="Arial" w:cs="Arial"/>
          <w:bCs/>
          <w:iCs/>
          <w:sz w:val="24"/>
          <w:szCs w:val="24"/>
        </w:rPr>
        <w:t xml:space="preserve"> 180 Wuhan residents and 103 Zhuhai residents were selected following the criteria below: a) donated blood and urine samples; b) did not report any acute or chronic diseases; c) did not report infectious diseases or use medications within 4 weeks before blood sampling.</w:t>
      </w:r>
    </w:p>
    <w:p w14:paraId="7C1AE544" w14:textId="4B525749" w:rsidR="00F71288" w:rsidRPr="005356E6" w:rsidRDefault="00F71288" w:rsidP="00F71288">
      <w:pPr>
        <w:spacing w:line="480" w:lineRule="auto"/>
        <w:ind w:firstLineChars="200" w:firstLine="480"/>
        <w:jc w:val="left"/>
        <w:rPr>
          <w:rFonts w:ascii="Arial" w:hAnsi="Arial" w:cs="Arial"/>
          <w:bCs/>
          <w:iCs/>
          <w:sz w:val="24"/>
          <w:szCs w:val="24"/>
        </w:rPr>
      </w:pPr>
      <w:r w:rsidRPr="005356E6">
        <w:rPr>
          <w:rFonts w:ascii="Arial" w:hAnsi="Arial" w:cs="Arial"/>
          <w:b/>
          <w:bCs/>
          <w:i/>
          <w:iCs/>
          <w:sz w:val="24"/>
          <w:szCs w:val="24"/>
        </w:rPr>
        <w:t xml:space="preserve">The Shiyan (SY) panel. </w:t>
      </w:r>
      <w:r w:rsidRPr="005356E6">
        <w:rPr>
          <w:rFonts w:ascii="Arial" w:hAnsi="Arial" w:cs="Arial"/>
          <w:bCs/>
          <w:iCs/>
          <w:sz w:val="24"/>
          <w:szCs w:val="24"/>
        </w:rPr>
        <w:t>To investigate whether DNA methylation was associated with gene expression, we recruited 144 individuals who had reg</w:t>
      </w:r>
      <w:bookmarkEnd w:id="12"/>
      <w:r w:rsidRPr="005356E6">
        <w:rPr>
          <w:rFonts w:ascii="Arial" w:hAnsi="Arial" w:cs="Arial"/>
          <w:bCs/>
          <w:iCs/>
          <w:sz w:val="24"/>
          <w:szCs w:val="24"/>
        </w:rPr>
        <w:t xml:space="preserve">ular physical examinations at the Health Examination Center of Dongfeng Central Hospital (Dongfeng </w:t>
      </w:r>
      <w:bookmarkStart w:id="14" w:name="OLE_LINK4"/>
      <w:r w:rsidRPr="005356E6">
        <w:rPr>
          <w:rFonts w:ascii="Arial" w:hAnsi="Arial" w:cs="Arial"/>
          <w:bCs/>
          <w:iCs/>
          <w:sz w:val="24"/>
          <w:szCs w:val="24"/>
        </w:rPr>
        <w:t>Motor</w:t>
      </w:r>
      <w:bookmarkEnd w:id="14"/>
      <w:r w:rsidRPr="005356E6">
        <w:rPr>
          <w:rFonts w:ascii="Arial" w:hAnsi="Arial" w:cs="Arial"/>
          <w:bCs/>
          <w:iCs/>
          <w:sz w:val="24"/>
          <w:szCs w:val="24"/>
        </w:rPr>
        <w:t xml:space="preserve"> Corporation and Hubei University of Medicine) in Shiyan, between April and May 2015. Participants enrolled in the study a) were aged from 20 to 70; b) donated both blood and urine samples; c) did not report any chronic diseases; d) did not report fever or infectious </w:t>
      </w:r>
      <w:r w:rsidRPr="005356E6">
        <w:rPr>
          <w:rFonts w:ascii="Arial" w:hAnsi="Arial" w:cs="Arial"/>
          <w:bCs/>
          <w:iCs/>
          <w:sz w:val="24"/>
          <w:szCs w:val="24"/>
        </w:rPr>
        <w:lastRenderedPageBreak/>
        <w:t>conditions in two weeks before baseline examination and e) denied the use of medications in four weeks before the baseline examination.</w:t>
      </w:r>
    </w:p>
    <w:p w14:paraId="30EB5B9E" w14:textId="77777777" w:rsidR="00024E1E" w:rsidRPr="005356E6" w:rsidRDefault="00024E1E" w:rsidP="00F71288">
      <w:pPr>
        <w:spacing w:line="480" w:lineRule="auto"/>
        <w:ind w:firstLineChars="200" w:firstLine="480"/>
        <w:jc w:val="left"/>
        <w:rPr>
          <w:rFonts w:ascii="Arial" w:hAnsi="Arial" w:cs="Arial"/>
          <w:bCs/>
          <w:iCs/>
          <w:sz w:val="24"/>
          <w:szCs w:val="24"/>
        </w:rPr>
      </w:pPr>
    </w:p>
    <w:p w14:paraId="31360E05" w14:textId="56CFC0A5" w:rsidR="00345F08" w:rsidRPr="005356E6" w:rsidRDefault="00C36C92" w:rsidP="00345F08">
      <w:pPr>
        <w:spacing w:before="120" w:after="120"/>
        <w:jc w:val="left"/>
        <w:rPr>
          <w:rFonts w:ascii="Arial" w:eastAsia="DengXian" w:hAnsi="Arial" w:cs="Arial"/>
          <w:kern w:val="0"/>
          <w:sz w:val="24"/>
          <w:szCs w:val="24"/>
        </w:rPr>
      </w:pPr>
      <w:r>
        <w:rPr>
          <w:rFonts w:ascii="Arial" w:eastAsia="DengXian" w:hAnsi="Arial" w:cs="Arial"/>
          <w:b/>
          <w:bCs/>
          <w:kern w:val="0"/>
          <w:sz w:val="24"/>
          <w:szCs w:val="24"/>
        </w:rPr>
        <w:t>Method S</w:t>
      </w:r>
      <w:r w:rsidR="00345F08" w:rsidRPr="005356E6">
        <w:rPr>
          <w:rFonts w:ascii="Arial" w:eastAsia="DengXian" w:hAnsi="Arial" w:cs="Arial"/>
          <w:b/>
          <w:bCs/>
          <w:kern w:val="0"/>
          <w:sz w:val="24"/>
          <w:szCs w:val="24"/>
        </w:rPr>
        <w:t xml:space="preserve">2. </w:t>
      </w:r>
      <w:r w:rsidR="00345F08" w:rsidRPr="005356E6">
        <w:rPr>
          <w:rFonts w:ascii="Arial" w:eastAsia="DengXian" w:hAnsi="Arial" w:cs="Arial"/>
          <w:kern w:val="0"/>
          <w:sz w:val="24"/>
          <w:szCs w:val="24"/>
        </w:rPr>
        <w:t>Covariate assessment.</w:t>
      </w:r>
    </w:p>
    <w:p w14:paraId="258B454B" w14:textId="586483FC" w:rsidR="00345F08" w:rsidRPr="005356E6" w:rsidRDefault="00345F08" w:rsidP="00345F08">
      <w:pPr>
        <w:spacing w:line="480" w:lineRule="auto"/>
        <w:ind w:firstLineChars="200" w:firstLine="480"/>
        <w:jc w:val="left"/>
        <w:rPr>
          <w:rFonts w:ascii="Arial" w:hAnsi="Arial" w:cs="Arial"/>
          <w:sz w:val="24"/>
          <w:szCs w:val="24"/>
        </w:rPr>
      </w:pPr>
      <w:r w:rsidRPr="005356E6">
        <w:rPr>
          <w:rFonts w:ascii="Arial" w:hAnsi="Arial" w:cs="Arial"/>
          <w:bCs/>
          <w:iCs/>
          <w:sz w:val="24"/>
          <w:szCs w:val="24"/>
        </w:rPr>
        <w:t>Information on age, sex, height, weight, smoking status (never, former, current) and drinking status (never, former, current) were collected through questionnaires at baseline of each panel. Body mass index (BMI) was calculated by formula BMI=weight (kg)/height (m</w:t>
      </w:r>
      <w:r w:rsidRPr="005356E6">
        <w:rPr>
          <w:rFonts w:ascii="Arial" w:hAnsi="Arial" w:cs="Arial"/>
          <w:bCs/>
          <w:iCs/>
          <w:sz w:val="24"/>
          <w:szCs w:val="24"/>
          <w:vertAlign w:val="superscript"/>
        </w:rPr>
        <w:t>2</w:t>
      </w:r>
      <w:r w:rsidRPr="005356E6">
        <w:rPr>
          <w:rFonts w:ascii="Arial" w:hAnsi="Arial" w:cs="Arial"/>
          <w:bCs/>
          <w:iCs/>
          <w:sz w:val="24"/>
          <w:szCs w:val="24"/>
        </w:rPr>
        <w:t xml:space="preserve">). Current smokers were defined as smoking at least 1 cigarette daily for more than half a year. Current drinkers were defined as drinking at least once a week for more than half a year </w:t>
      </w:r>
      <w:r w:rsidR="00514C6E">
        <w:rPr>
          <w:rFonts w:ascii="Arial" w:hAnsi="Arial" w:cs="Arial"/>
          <w:bCs/>
          <w:iCs/>
          <w:sz w:val="24"/>
          <w:szCs w:val="24"/>
        </w:rPr>
        <w:t>[9]</w:t>
      </w:r>
      <w:r w:rsidRPr="005356E6">
        <w:rPr>
          <w:rFonts w:ascii="Arial" w:hAnsi="Arial" w:cs="Arial"/>
          <w:bCs/>
          <w:iCs/>
          <w:sz w:val="24"/>
          <w:szCs w:val="24"/>
        </w:rPr>
        <w:t xml:space="preserve">. Data on fasting glucose (FG), blood pressure (BP), lipid profiles, and proportions of major leukocytes in each panel, and </w:t>
      </w:r>
      <w:r w:rsidRPr="005356E6">
        <w:rPr>
          <w:rFonts w:ascii="Arial" w:hAnsi="Arial" w:cs="Arial"/>
          <w:sz w:val="24"/>
          <w:szCs w:val="24"/>
        </w:rPr>
        <w:t>serum C-reactive protein</w:t>
      </w:r>
      <w:r w:rsidRPr="005356E6">
        <w:rPr>
          <w:rFonts w:ascii="Arial" w:hAnsi="Arial" w:cs="Arial"/>
          <w:bCs/>
          <w:iCs/>
          <w:sz w:val="24"/>
          <w:szCs w:val="24"/>
        </w:rPr>
        <w:t xml:space="preserve"> (CRP)</w:t>
      </w:r>
      <w:r w:rsidRPr="005356E6">
        <w:rPr>
          <w:rFonts w:ascii="Arial" w:hAnsi="Arial" w:cs="Arial"/>
          <w:sz w:val="24"/>
          <w:szCs w:val="24"/>
        </w:rPr>
        <w:t xml:space="preserve"> in </w:t>
      </w:r>
      <w:r w:rsidRPr="005356E6">
        <w:rPr>
          <w:rFonts w:ascii="Arial" w:hAnsi="Arial" w:cs="Arial"/>
          <w:bCs/>
          <w:iCs/>
          <w:sz w:val="24"/>
          <w:szCs w:val="24"/>
        </w:rPr>
        <w:t xml:space="preserve">the DFTJ panel were measured using fasting blood collected from physical examination at baseline. In the DFTJ panel, diabetes was defined as FG ≥7.0 mmol/L, or have self-reported physician-diagnosed diabetes or currently use pharmacological treatment with oral agents or insulin. Hypertension was defined as systolic blood pressure (SBP)/diastolic blood pressure (DBP) ≥140/90 mmHg, or self-reported physician-diagnosed hypertension or currently use anti-hypertension drugs. Hyperlipidemia was defined as total cholesterol (TC) ≥6.22 mmol/L, or </w:t>
      </w:r>
      <w:bookmarkStart w:id="15" w:name="_Hlk38581684"/>
      <w:r w:rsidRPr="005356E6">
        <w:rPr>
          <w:rFonts w:ascii="Arial" w:hAnsi="Arial" w:cs="Arial"/>
          <w:bCs/>
          <w:iCs/>
          <w:sz w:val="24"/>
          <w:szCs w:val="24"/>
        </w:rPr>
        <w:t>triglyceride</w:t>
      </w:r>
      <w:bookmarkEnd w:id="15"/>
      <w:r w:rsidRPr="005356E6">
        <w:rPr>
          <w:rFonts w:ascii="Arial" w:hAnsi="Arial" w:cs="Arial"/>
          <w:bCs/>
          <w:iCs/>
          <w:sz w:val="24"/>
          <w:szCs w:val="24"/>
        </w:rPr>
        <w:t xml:space="preserve"> (TG) ≥2.26 mmol/L, or HDL-C &lt;1.04 mmol/L or low-density lipoprotein cholesterol (LDL-C) ≥4.14 mmol/L, or self-reported physician-diagnosed hyperlipidemia or currently use lipid-lowering drugs </w:t>
      </w:r>
      <w:r w:rsidR="00514C6E">
        <w:rPr>
          <w:rFonts w:ascii="Arial" w:hAnsi="Arial" w:cs="Arial"/>
          <w:bCs/>
          <w:iCs/>
          <w:sz w:val="24"/>
          <w:szCs w:val="24"/>
        </w:rPr>
        <w:t>[9]</w:t>
      </w:r>
      <w:r w:rsidRPr="005356E6">
        <w:rPr>
          <w:rFonts w:ascii="Arial" w:hAnsi="Arial" w:cs="Arial"/>
          <w:bCs/>
          <w:iCs/>
          <w:sz w:val="24"/>
          <w:szCs w:val="24"/>
        </w:rPr>
        <w:t>.</w:t>
      </w:r>
      <w:r w:rsidRPr="005356E6">
        <w:rPr>
          <w:rFonts w:ascii="Arial" w:hAnsi="Arial" w:cs="Arial"/>
          <w:sz w:val="24"/>
          <w:szCs w:val="24"/>
        </w:rPr>
        <w:t xml:space="preserve"> </w:t>
      </w:r>
    </w:p>
    <w:p w14:paraId="621CB4FC" w14:textId="77777777" w:rsidR="00024E1E" w:rsidRPr="005356E6" w:rsidRDefault="00024E1E" w:rsidP="0095662D">
      <w:pPr>
        <w:spacing w:line="480" w:lineRule="auto"/>
        <w:jc w:val="left"/>
        <w:rPr>
          <w:rFonts w:ascii="Arial" w:hAnsi="Arial" w:cs="Arial"/>
          <w:sz w:val="24"/>
          <w:szCs w:val="24"/>
        </w:rPr>
      </w:pPr>
    </w:p>
    <w:p w14:paraId="2B4B9A6E" w14:textId="59666473" w:rsidR="00024E1E" w:rsidRPr="005356E6" w:rsidRDefault="00C36C92" w:rsidP="00024E1E">
      <w:pPr>
        <w:spacing w:before="120" w:after="120"/>
        <w:jc w:val="left"/>
        <w:rPr>
          <w:rFonts w:ascii="Arial" w:eastAsia="DengXian" w:hAnsi="Arial" w:cs="Arial"/>
          <w:kern w:val="0"/>
          <w:sz w:val="24"/>
          <w:szCs w:val="24"/>
        </w:rPr>
      </w:pPr>
      <w:bookmarkStart w:id="16" w:name="_Hlk46758611"/>
      <w:bookmarkStart w:id="17" w:name="_Hlk46933526"/>
      <w:r>
        <w:rPr>
          <w:rFonts w:ascii="Arial" w:eastAsia="DengXian" w:hAnsi="Arial" w:cs="Arial"/>
          <w:b/>
          <w:bCs/>
          <w:kern w:val="0"/>
          <w:sz w:val="24"/>
          <w:szCs w:val="24"/>
        </w:rPr>
        <w:t>Method S</w:t>
      </w:r>
      <w:r w:rsidR="00024E1E" w:rsidRPr="005356E6">
        <w:rPr>
          <w:rFonts w:ascii="Arial" w:eastAsia="DengXian" w:hAnsi="Arial" w:cs="Arial"/>
          <w:b/>
          <w:bCs/>
          <w:kern w:val="0"/>
          <w:sz w:val="24"/>
          <w:szCs w:val="24"/>
        </w:rPr>
        <w:t>3</w:t>
      </w:r>
      <w:bookmarkEnd w:id="16"/>
      <w:r w:rsidR="00024E1E" w:rsidRPr="005356E6">
        <w:rPr>
          <w:rFonts w:ascii="Arial" w:eastAsia="DengXian" w:hAnsi="Arial" w:cs="Arial"/>
          <w:b/>
          <w:bCs/>
          <w:kern w:val="0"/>
          <w:sz w:val="24"/>
          <w:szCs w:val="24"/>
        </w:rPr>
        <w:t>.</w:t>
      </w:r>
      <w:bookmarkEnd w:id="17"/>
      <w:r w:rsidR="00024E1E" w:rsidRPr="005356E6">
        <w:rPr>
          <w:rFonts w:ascii="Arial" w:eastAsia="DengXian" w:hAnsi="Arial" w:cs="Arial"/>
          <w:b/>
          <w:bCs/>
          <w:kern w:val="0"/>
          <w:sz w:val="24"/>
          <w:szCs w:val="24"/>
        </w:rPr>
        <w:t xml:space="preserve"> </w:t>
      </w:r>
      <w:r w:rsidR="00024E1E" w:rsidRPr="005356E6">
        <w:rPr>
          <w:rFonts w:ascii="Arial" w:eastAsia="DengXian" w:hAnsi="Arial" w:cs="Arial"/>
          <w:kern w:val="0"/>
          <w:sz w:val="24"/>
          <w:szCs w:val="24"/>
        </w:rPr>
        <w:t xml:space="preserve">Detailed processing methods </w:t>
      </w:r>
      <w:r w:rsidR="00C64A74" w:rsidRPr="005356E6">
        <w:rPr>
          <w:rFonts w:ascii="Arial" w:eastAsia="DengXian" w:hAnsi="Arial" w:cs="Arial"/>
          <w:kern w:val="0"/>
          <w:sz w:val="24"/>
          <w:szCs w:val="24"/>
        </w:rPr>
        <w:t>for</w:t>
      </w:r>
      <w:r w:rsidR="00024E1E" w:rsidRPr="005356E6">
        <w:rPr>
          <w:rFonts w:ascii="Arial" w:eastAsia="DengXian" w:hAnsi="Arial" w:cs="Arial"/>
          <w:kern w:val="0"/>
          <w:sz w:val="24"/>
          <w:szCs w:val="24"/>
        </w:rPr>
        <w:t xml:space="preserve"> DNA methylation and gene expression.</w:t>
      </w:r>
    </w:p>
    <w:p w14:paraId="1AAFD16F" w14:textId="34CCABE0" w:rsidR="00024E1E" w:rsidRPr="005356E6" w:rsidRDefault="00024E1E" w:rsidP="00345F08">
      <w:pPr>
        <w:spacing w:line="480" w:lineRule="auto"/>
        <w:ind w:firstLineChars="200" w:firstLine="480"/>
        <w:jc w:val="left"/>
        <w:rPr>
          <w:rFonts w:ascii="Arial" w:hAnsi="Arial" w:cs="Arial"/>
          <w:sz w:val="24"/>
          <w:szCs w:val="24"/>
        </w:rPr>
      </w:pPr>
      <w:bookmarkStart w:id="18" w:name="_Hlk46758437"/>
      <w:r w:rsidRPr="005356E6">
        <w:rPr>
          <w:rFonts w:ascii="Arial" w:hAnsi="Arial" w:cs="Arial"/>
          <w:bCs/>
          <w:iCs/>
          <w:sz w:val="24"/>
          <w:szCs w:val="24"/>
        </w:rPr>
        <w:t xml:space="preserve">Genome-wide DNA methylation assays for participants from the five panels were conducted with the same protocol described previously </w:t>
      </w:r>
      <w:r w:rsidR="00514C6E">
        <w:rPr>
          <w:rFonts w:ascii="Arial" w:hAnsi="Arial" w:cs="Arial"/>
          <w:bCs/>
          <w:iCs/>
          <w:sz w:val="24"/>
          <w:szCs w:val="24"/>
        </w:rPr>
        <w:t>[9]</w:t>
      </w:r>
      <w:r w:rsidRPr="005356E6">
        <w:rPr>
          <w:rFonts w:ascii="Arial" w:hAnsi="Arial" w:cs="Arial"/>
          <w:bCs/>
          <w:iCs/>
          <w:sz w:val="24"/>
          <w:szCs w:val="24"/>
        </w:rPr>
        <w:t xml:space="preserve">. Brieﬂy, we used the BioTeke Whole Blood DNA Extraction Kit (BioTeke) to extract genomic DNA and stored them at –80°C. A total of 1,000 ng genomic DNA of each sample was bisulfite converted with Zymo EZ DNA Methylation kit (Zymo Research) and diluted to 10μL with a concentration of 60 ng/μL. After randomization, Inﬁnium HumanMethylation450 BeadChip (Illumina) was used to quantify DNA methylation at &gt;485,000 cytosine-phosphoguanine (CpG) sites with 4 μL bisulfite converted samples. IDat ﬁles generated from processed beadchips through the iScan (Illumina) system were estimated using the “minﬁ” package of R (version 3.3.1, R Core Team) </w:t>
      </w:r>
      <w:r w:rsidR="00514C6E">
        <w:rPr>
          <w:rFonts w:ascii="Arial" w:hAnsi="Arial" w:cs="Arial"/>
          <w:bCs/>
          <w:iCs/>
          <w:sz w:val="24"/>
          <w:szCs w:val="24"/>
        </w:rPr>
        <w:t>[9]</w:t>
      </w:r>
      <w:r w:rsidRPr="005356E6">
        <w:rPr>
          <w:rFonts w:ascii="Arial" w:hAnsi="Arial" w:cs="Arial"/>
          <w:bCs/>
          <w:iCs/>
          <w:sz w:val="24"/>
          <w:szCs w:val="24"/>
        </w:rPr>
        <w:t xml:space="preserve">. Probes were filtered if they met the following criteria: a) single nucleotide polymorphisms (SNPs) on the Methylation450k Beadchips; b) missing rate &gt;20% (a probe was defined as missing when detection </w:t>
      </w:r>
      <w:r w:rsidRPr="005356E6">
        <w:rPr>
          <w:rFonts w:ascii="Arial" w:hAnsi="Arial" w:cs="Arial"/>
          <w:bCs/>
          <w:i/>
          <w:iCs/>
          <w:sz w:val="24"/>
          <w:szCs w:val="24"/>
        </w:rPr>
        <w:t>p</w:t>
      </w:r>
      <w:r w:rsidRPr="005356E6">
        <w:rPr>
          <w:rFonts w:ascii="Arial" w:hAnsi="Arial" w:cs="Arial"/>
          <w:bCs/>
          <w:iCs/>
          <w:sz w:val="24"/>
          <w:szCs w:val="24"/>
        </w:rPr>
        <w:t xml:space="preserve">-Value &gt;0.01 or bead counts &lt;3); c) potentially contained or extended on SNPs with minor allele frequency (MAF) &gt;0.05 in the 1000 Genomes Project 20110521 release for ASN population, or probes possibly cross-hybridized to other genomic locations (41,296 probes). Samples were excluded if they met the following criteria: a) outliers detected in multidimensional scaling (MDS) analysis; b) mix-up samples; c) missing rate &gt;5% across probes; d) failed quality controls of sex discrepancies based on genome-wide association study (GWAS) data </w:t>
      </w:r>
      <w:r w:rsidR="007A12D3">
        <w:rPr>
          <w:rFonts w:ascii="Arial" w:hAnsi="Arial" w:cs="Arial"/>
          <w:bCs/>
          <w:iCs/>
          <w:sz w:val="24"/>
          <w:szCs w:val="24"/>
        </w:rPr>
        <w:t>[3]</w:t>
      </w:r>
      <w:r w:rsidRPr="005356E6">
        <w:rPr>
          <w:rFonts w:ascii="Arial" w:hAnsi="Arial" w:cs="Arial"/>
          <w:bCs/>
          <w:iCs/>
          <w:sz w:val="24"/>
          <w:szCs w:val="24"/>
        </w:rPr>
        <w:t>.</w:t>
      </w:r>
      <w:bookmarkEnd w:id="18"/>
      <w:r w:rsidR="00514C6E">
        <w:rPr>
          <w:rFonts w:ascii="Arial" w:hAnsi="Arial" w:cs="Arial"/>
          <w:bCs/>
          <w:iCs/>
          <w:sz w:val="24"/>
          <w:szCs w:val="24"/>
        </w:rPr>
        <w:t xml:space="preserve"> </w:t>
      </w:r>
      <w:r w:rsidR="00514C6E" w:rsidRPr="00514C6E">
        <w:rPr>
          <w:rFonts w:ascii="Arial" w:hAnsi="Arial" w:cs="Arial"/>
          <w:bCs/>
          <w:iCs/>
          <w:sz w:val="24"/>
          <w:szCs w:val="24"/>
        </w:rPr>
        <w:t>After quality control, raw methylation data were normalized using the dasen method in the wateRmelon package</w:t>
      </w:r>
      <w:r w:rsidR="00514C6E">
        <w:rPr>
          <w:rFonts w:ascii="Arial" w:hAnsi="Arial" w:cs="Arial"/>
          <w:bCs/>
          <w:iCs/>
          <w:sz w:val="24"/>
          <w:szCs w:val="24"/>
        </w:rPr>
        <w:t xml:space="preserve"> [4]</w:t>
      </w:r>
      <w:r w:rsidR="00514C6E" w:rsidRPr="00514C6E">
        <w:rPr>
          <w:rFonts w:ascii="Arial" w:hAnsi="Arial" w:cs="Arial"/>
          <w:bCs/>
          <w:iCs/>
          <w:sz w:val="24"/>
          <w:szCs w:val="24"/>
        </w:rPr>
        <w:t>.</w:t>
      </w:r>
    </w:p>
    <w:p w14:paraId="0FC39A55" w14:textId="549026F6" w:rsidR="00024E1E" w:rsidRPr="005356E6" w:rsidRDefault="00024E1E" w:rsidP="00024E1E">
      <w:pPr>
        <w:spacing w:line="480" w:lineRule="auto"/>
        <w:ind w:firstLineChars="200" w:firstLine="480"/>
        <w:jc w:val="left"/>
        <w:rPr>
          <w:rFonts w:ascii="Arial" w:hAnsi="Arial" w:cs="Arial"/>
          <w:bCs/>
          <w:iCs/>
          <w:sz w:val="24"/>
          <w:szCs w:val="24"/>
        </w:rPr>
      </w:pPr>
      <w:r w:rsidRPr="005356E6">
        <w:rPr>
          <w:rFonts w:ascii="Arial" w:hAnsi="Arial" w:cs="Arial"/>
          <w:bCs/>
          <w:iCs/>
          <w:sz w:val="24"/>
          <w:szCs w:val="24"/>
        </w:rPr>
        <w:t xml:space="preserve">gene expression assays for the SY panel were described previously </w:t>
      </w:r>
      <w:r w:rsidR="00514C6E">
        <w:rPr>
          <w:rFonts w:ascii="Arial" w:hAnsi="Arial" w:cs="Arial"/>
          <w:bCs/>
          <w:iCs/>
          <w:sz w:val="24"/>
          <w:szCs w:val="24"/>
        </w:rPr>
        <w:t>[9]</w:t>
      </w:r>
      <w:r w:rsidRPr="005356E6">
        <w:rPr>
          <w:rFonts w:ascii="Arial" w:hAnsi="Arial" w:cs="Arial"/>
          <w:bCs/>
          <w:iCs/>
          <w:sz w:val="24"/>
          <w:szCs w:val="24"/>
        </w:rPr>
        <w:t xml:space="preserve">. Brieﬂy, total RNA was isolated from blood leukocytes within two hours after blood sampling, using TRIzol® LS solution (Invitrogen) according to the manufacturer’s instructions. HumanHT-12 version 4 Expression BeadChip (Illumina) was used to perform gene expression profiles by a commercial company (ETMD, Beijing, China). Raw expression data were then obtained using GenomeStudio (Illumina) and quantile-quantile normalized using the “beadarray” package </w:t>
      </w:r>
      <w:r w:rsidR="00514C6E">
        <w:rPr>
          <w:rFonts w:ascii="Arial" w:hAnsi="Arial" w:cs="Arial"/>
          <w:bCs/>
          <w:iCs/>
          <w:sz w:val="24"/>
          <w:szCs w:val="24"/>
        </w:rPr>
        <w:t>[9]</w:t>
      </w:r>
      <w:r w:rsidRPr="005356E6">
        <w:rPr>
          <w:rFonts w:ascii="Arial" w:hAnsi="Arial" w:cs="Arial"/>
          <w:bCs/>
          <w:iCs/>
          <w:sz w:val="24"/>
          <w:szCs w:val="24"/>
        </w:rPr>
        <w:t xml:space="preserve"> in R 3.1.2 (R Core Team 2014). </w:t>
      </w:r>
    </w:p>
    <w:p w14:paraId="61776296" w14:textId="77777777" w:rsidR="00647F97" w:rsidRPr="005356E6" w:rsidRDefault="00647F97" w:rsidP="000E03E4">
      <w:pPr>
        <w:spacing w:line="480" w:lineRule="auto"/>
        <w:jc w:val="left"/>
        <w:rPr>
          <w:rFonts w:ascii="Arial" w:hAnsi="Arial" w:cs="Arial"/>
          <w:bCs/>
          <w:iCs/>
          <w:sz w:val="24"/>
          <w:szCs w:val="24"/>
        </w:rPr>
      </w:pPr>
    </w:p>
    <w:p w14:paraId="1987E80A" w14:textId="73705AB4" w:rsidR="00C47687" w:rsidRPr="005356E6" w:rsidRDefault="00C47687" w:rsidP="00246318">
      <w:pPr>
        <w:spacing w:line="480" w:lineRule="auto"/>
        <w:jc w:val="left"/>
        <w:rPr>
          <w:rFonts w:ascii="Arial" w:hAnsi="Arial" w:cs="Arial"/>
          <w:b/>
          <w:iCs/>
          <w:sz w:val="24"/>
          <w:szCs w:val="24"/>
        </w:rPr>
      </w:pPr>
      <w:r w:rsidRPr="005356E6">
        <w:rPr>
          <w:rFonts w:ascii="Arial" w:hAnsi="Arial" w:cs="Arial"/>
          <w:b/>
          <w:iCs/>
          <w:sz w:val="24"/>
          <w:szCs w:val="24"/>
        </w:rPr>
        <w:t>References</w:t>
      </w:r>
    </w:p>
    <w:p w14:paraId="3F0C6509" w14:textId="4E7279BA" w:rsidR="007A12D3" w:rsidRPr="00312EAB" w:rsidRDefault="007A12D3" w:rsidP="00246318">
      <w:pPr>
        <w:tabs>
          <w:tab w:val="left" w:pos="6080"/>
        </w:tabs>
        <w:spacing w:line="480" w:lineRule="auto"/>
        <w:ind w:left="220" w:hangingChars="100" w:hanging="220"/>
        <w:jc w:val="left"/>
        <w:rPr>
          <w:rFonts w:ascii="Arial" w:eastAsia="SimSun" w:hAnsi="Arial" w:cs="Arial"/>
          <w:sz w:val="22"/>
          <w:lang w:val="es-ES"/>
        </w:rPr>
      </w:pPr>
      <w:r w:rsidRPr="007A12D3">
        <w:rPr>
          <w:rFonts w:ascii="Arial" w:eastAsia="SimSun" w:hAnsi="Arial" w:cs="Arial"/>
          <w:sz w:val="22"/>
        </w:rPr>
        <w:t xml:space="preserve">1. Wang F, Zhu J, Yao P, Li X, He M, Liu Y, et al. Cohort Profile: the Dongfeng-Tongji cohort study of retired workers. </w:t>
      </w:r>
      <w:r w:rsidRPr="00312EAB">
        <w:rPr>
          <w:rFonts w:ascii="Arial" w:eastAsia="SimSun" w:hAnsi="Arial" w:cs="Arial"/>
          <w:sz w:val="22"/>
          <w:lang w:val="es-ES"/>
        </w:rPr>
        <w:t>Int J Epidemiol. 2013;42</w:t>
      </w:r>
      <w:r w:rsidR="000412BB" w:rsidRPr="00312EAB">
        <w:rPr>
          <w:rFonts w:ascii="Arial" w:eastAsia="SimSun" w:hAnsi="Arial" w:cs="Arial"/>
          <w:sz w:val="22"/>
          <w:lang w:val="es-ES"/>
        </w:rPr>
        <w:t>(3)</w:t>
      </w:r>
      <w:r w:rsidRPr="00312EAB">
        <w:rPr>
          <w:rFonts w:ascii="Arial" w:eastAsia="SimSun" w:hAnsi="Arial" w:cs="Arial"/>
          <w:sz w:val="22"/>
          <w:lang w:val="es-ES"/>
        </w:rPr>
        <w:t>:731-740. https://doi.org/10.1093/ije/dys053.</w:t>
      </w:r>
    </w:p>
    <w:p w14:paraId="598CDCC4" w14:textId="20E26DF4" w:rsidR="007A12D3" w:rsidRPr="007A12D3" w:rsidRDefault="007A12D3" w:rsidP="00246318">
      <w:pPr>
        <w:tabs>
          <w:tab w:val="left" w:pos="6080"/>
        </w:tabs>
        <w:spacing w:line="480" w:lineRule="auto"/>
        <w:ind w:left="220" w:hangingChars="100" w:hanging="220"/>
        <w:jc w:val="left"/>
        <w:rPr>
          <w:rFonts w:ascii="Arial" w:eastAsia="SimSun" w:hAnsi="Arial" w:cs="Arial"/>
          <w:sz w:val="22"/>
        </w:rPr>
      </w:pPr>
      <w:r w:rsidRPr="00312EAB">
        <w:rPr>
          <w:rFonts w:ascii="Arial" w:eastAsia="SimSun" w:hAnsi="Arial" w:cs="Arial"/>
          <w:sz w:val="22"/>
          <w:lang w:val="es-ES"/>
        </w:rPr>
        <w:t xml:space="preserve">2. Yuan Y, Xiao Y, Feng W, Liu Y, Yu Y, Zhou L, et al. </w:t>
      </w:r>
      <w:r w:rsidRPr="007A12D3">
        <w:rPr>
          <w:rFonts w:ascii="Arial" w:eastAsia="SimSun" w:hAnsi="Arial" w:cs="Arial"/>
          <w:sz w:val="22"/>
        </w:rPr>
        <w:t>Plasma metal concentrations and incident coronary heart disease in Chinese adults: The Dongfeng-Tongji cohort. Environ Health Perspect. 2017;125</w:t>
      </w:r>
      <w:r w:rsidR="000412BB">
        <w:rPr>
          <w:rFonts w:ascii="Arial" w:eastAsia="SimSun" w:hAnsi="Arial" w:cs="Arial"/>
          <w:sz w:val="22"/>
        </w:rPr>
        <w:t>(10)</w:t>
      </w:r>
      <w:r w:rsidRPr="007A12D3">
        <w:rPr>
          <w:rFonts w:ascii="Arial" w:eastAsia="SimSun" w:hAnsi="Arial" w:cs="Arial"/>
          <w:sz w:val="22"/>
        </w:rPr>
        <w:t>:107007. https://doi.org/10.1289/EHP1521.</w:t>
      </w:r>
    </w:p>
    <w:p w14:paraId="0BFE2485" w14:textId="3662F9A5" w:rsidR="007A12D3" w:rsidRPr="007A12D3" w:rsidRDefault="007A12D3" w:rsidP="00246318">
      <w:pPr>
        <w:tabs>
          <w:tab w:val="left" w:pos="6080"/>
        </w:tabs>
        <w:spacing w:line="480" w:lineRule="auto"/>
        <w:ind w:left="220" w:hangingChars="100" w:hanging="220"/>
        <w:jc w:val="left"/>
        <w:rPr>
          <w:rFonts w:ascii="Arial" w:eastAsia="SimSun" w:hAnsi="Arial" w:cs="Arial"/>
          <w:sz w:val="22"/>
        </w:rPr>
      </w:pPr>
      <w:r w:rsidRPr="007A12D3">
        <w:rPr>
          <w:rFonts w:ascii="Arial" w:eastAsia="SimSun" w:hAnsi="Arial" w:cs="Arial"/>
          <w:sz w:val="22"/>
        </w:rPr>
        <w:t>3. Li J, Zhu X, Yu K, Jiang H, Zhang Y, Deng S, et al. Genome-wide analysis of DNA methylation and acute coronary syndrome. Circ Res. 2017;120</w:t>
      </w:r>
      <w:r w:rsidR="000412BB">
        <w:rPr>
          <w:rFonts w:ascii="Arial" w:eastAsia="SimSun" w:hAnsi="Arial" w:cs="Arial"/>
          <w:sz w:val="22"/>
        </w:rPr>
        <w:t>(11)</w:t>
      </w:r>
      <w:r w:rsidRPr="007A12D3">
        <w:rPr>
          <w:rFonts w:ascii="Arial" w:eastAsia="SimSun" w:hAnsi="Arial" w:cs="Arial"/>
          <w:sz w:val="22"/>
        </w:rPr>
        <w:t>:1754-1767. https://doi.org/10.1161/CIRCRESAHA.116.310324.</w:t>
      </w:r>
    </w:p>
    <w:p w14:paraId="03074EAF" w14:textId="53D0CBB1" w:rsidR="00514C6E" w:rsidRDefault="007A12D3" w:rsidP="00246318">
      <w:pPr>
        <w:tabs>
          <w:tab w:val="left" w:pos="6080"/>
        </w:tabs>
        <w:spacing w:line="480" w:lineRule="auto"/>
        <w:ind w:left="220" w:hangingChars="100" w:hanging="220"/>
        <w:jc w:val="left"/>
        <w:rPr>
          <w:rFonts w:ascii="Arial" w:eastAsia="SimSun" w:hAnsi="Arial" w:cs="Arial"/>
          <w:sz w:val="22"/>
        </w:rPr>
      </w:pPr>
      <w:r w:rsidRPr="007A12D3">
        <w:rPr>
          <w:rFonts w:ascii="Arial" w:eastAsia="SimSun" w:hAnsi="Arial" w:cs="Arial"/>
          <w:sz w:val="22"/>
        </w:rPr>
        <w:t>4.</w:t>
      </w:r>
      <w:r w:rsidR="00514C6E">
        <w:rPr>
          <w:rFonts w:ascii="Arial" w:eastAsia="SimSun" w:hAnsi="Arial" w:cs="Arial"/>
          <w:sz w:val="22"/>
        </w:rPr>
        <w:t xml:space="preserve"> </w:t>
      </w:r>
      <w:r w:rsidR="00514C6E" w:rsidRPr="00514C6E">
        <w:rPr>
          <w:rFonts w:ascii="Arial" w:eastAsia="SimSun" w:hAnsi="Arial" w:cs="Arial"/>
          <w:sz w:val="22"/>
        </w:rPr>
        <w:t xml:space="preserve">Pidsley R, Y Wong CC, Volta M, Lunnon K, Mill J, Schalkwyk LC. A data-driven approach to preprocessing Illumina 450K methylation array data. BMC genomics. </w:t>
      </w:r>
      <w:r w:rsidR="003E299A" w:rsidRPr="00514C6E">
        <w:rPr>
          <w:rFonts w:ascii="Arial" w:eastAsia="SimSun" w:hAnsi="Arial" w:cs="Arial"/>
          <w:sz w:val="22"/>
        </w:rPr>
        <w:t>2013</w:t>
      </w:r>
      <w:r w:rsidR="003E299A">
        <w:rPr>
          <w:rFonts w:ascii="Arial" w:eastAsia="SimSun" w:hAnsi="Arial" w:cs="Arial"/>
          <w:sz w:val="22"/>
        </w:rPr>
        <w:t>;</w:t>
      </w:r>
      <w:r w:rsidR="00514C6E" w:rsidRPr="00514C6E">
        <w:rPr>
          <w:rFonts w:ascii="Arial" w:eastAsia="SimSun" w:hAnsi="Arial" w:cs="Arial"/>
          <w:sz w:val="22"/>
        </w:rPr>
        <w:t>14</w:t>
      </w:r>
      <w:r w:rsidR="003E299A">
        <w:rPr>
          <w:rFonts w:ascii="Arial" w:eastAsia="SimSun" w:hAnsi="Arial" w:cs="Arial"/>
          <w:sz w:val="22"/>
        </w:rPr>
        <w:t>:</w:t>
      </w:r>
      <w:r w:rsidR="00514C6E" w:rsidRPr="00514C6E">
        <w:rPr>
          <w:rFonts w:ascii="Arial" w:eastAsia="SimSun" w:hAnsi="Arial" w:cs="Arial"/>
          <w:sz w:val="22"/>
        </w:rPr>
        <w:t xml:space="preserve">293. </w:t>
      </w:r>
      <w:r w:rsidR="00514C6E" w:rsidRPr="003E299A">
        <w:rPr>
          <w:rFonts w:ascii="Arial" w:eastAsia="SimSun" w:hAnsi="Arial" w:cs="Arial"/>
          <w:sz w:val="22"/>
        </w:rPr>
        <w:t>https://doi.org/10.1186/1471-2164-14-293</w:t>
      </w:r>
      <w:r w:rsidR="00514C6E" w:rsidRPr="00514C6E">
        <w:rPr>
          <w:rFonts w:ascii="Arial" w:eastAsia="SimSun" w:hAnsi="Arial" w:cs="Arial"/>
          <w:sz w:val="22"/>
        </w:rPr>
        <w:t>.</w:t>
      </w:r>
    </w:p>
    <w:p w14:paraId="2FCBC993" w14:textId="33ED1B57" w:rsidR="007A12D3" w:rsidRPr="007A12D3" w:rsidRDefault="00514C6E" w:rsidP="00246318">
      <w:pPr>
        <w:tabs>
          <w:tab w:val="left" w:pos="6080"/>
        </w:tabs>
        <w:spacing w:line="480" w:lineRule="auto"/>
        <w:ind w:left="220" w:hangingChars="100" w:hanging="220"/>
        <w:jc w:val="left"/>
        <w:rPr>
          <w:rFonts w:ascii="Arial" w:eastAsia="SimSun" w:hAnsi="Arial" w:cs="Arial"/>
          <w:sz w:val="22"/>
        </w:rPr>
      </w:pPr>
      <w:r>
        <w:rPr>
          <w:rFonts w:ascii="Arial" w:eastAsia="SimSun" w:hAnsi="Arial" w:cs="Arial"/>
          <w:sz w:val="22"/>
        </w:rPr>
        <w:t>5.</w:t>
      </w:r>
      <w:r w:rsidR="007A12D3" w:rsidRPr="007A12D3">
        <w:rPr>
          <w:rFonts w:ascii="Arial" w:eastAsia="SimSun" w:hAnsi="Arial" w:cs="Arial"/>
          <w:sz w:val="22"/>
        </w:rPr>
        <w:t xml:space="preserve"> Zhu X, Li J, Deng S, Yu K, Liu X, Deng Q, et al. Genome-wide analysis of DNA methylation and cigarette smoking in a Chinese population. Environ Health Perspect. 2016;124</w:t>
      </w:r>
      <w:r w:rsidR="000412BB">
        <w:rPr>
          <w:rFonts w:ascii="Arial" w:eastAsia="SimSun" w:hAnsi="Arial" w:cs="Arial"/>
          <w:sz w:val="22"/>
        </w:rPr>
        <w:t>(7)</w:t>
      </w:r>
      <w:r w:rsidR="007A12D3" w:rsidRPr="007A12D3">
        <w:rPr>
          <w:rFonts w:ascii="Arial" w:eastAsia="SimSun" w:hAnsi="Arial" w:cs="Arial"/>
          <w:sz w:val="22"/>
        </w:rPr>
        <w:t>:966-973. https://doi.org/10.1289/ehp.1509834.</w:t>
      </w:r>
    </w:p>
    <w:p w14:paraId="3800DC47" w14:textId="4302C911" w:rsidR="007A12D3" w:rsidRPr="007A12D3" w:rsidRDefault="00514C6E" w:rsidP="00246318">
      <w:pPr>
        <w:tabs>
          <w:tab w:val="left" w:pos="6080"/>
        </w:tabs>
        <w:spacing w:line="480" w:lineRule="auto"/>
        <w:ind w:left="220" w:hangingChars="100" w:hanging="220"/>
        <w:jc w:val="left"/>
        <w:rPr>
          <w:rFonts w:ascii="Arial" w:eastAsia="SimSun" w:hAnsi="Arial" w:cs="Arial"/>
          <w:sz w:val="22"/>
        </w:rPr>
      </w:pPr>
      <w:r w:rsidRPr="00312EAB">
        <w:rPr>
          <w:rFonts w:ascii="Arial" w:eastAsia="SimSun" w:hAnsi="Arial" w:cs="Arial"/>
          <w:sz w:val="22"/>
          <w:lang w:val="es-ES"/>
        </w:rPr>
        <w:t>6</w:t>
      </w:r>
      <w:r w:rsidR="007A12D3" w:rsidRPr="00312EAB">
        <w:rPr>
          <w:rFonts w:ascii="Arial" w:eastAsia="SimSun" w:hAnsi="Arial" w:cs="Arial"/>
          <w:sz w:val="22"/>
          <w:lang w:val="es-ES"/>
        </w:rPr>
        <w:t xml:space="preserve">. Song Y, Hou J, Huang X, Zhang X, Tan A, Rong Y, et al. </w:t>
      </w:r>
      <w:r w:rsidR="007A12D3" w:rsidRPr="007A12D3">
        <w:rPr>
          <w:rFonts w:ascii="Arial" w:eastAsia="SimSun" w:hAnsi="Arial" w:cs="Arial"/>
          <w:sz w:val="22"/>
        </w:rPr>
        <w:t>The Wuhan-Zhuhai (WHZH) cohort study of environmental air particulate matter and the pathogenesis of cardiopulmonary diseases: study design, methods and baseline characteristics of the cohort. BMC Public Health. 2014;14:994. https://doi.org/10.1186/1471-2458-14-994.</w:t>
      </w:r>
    </w:p>
    <w:p w14:paraId="140F5B66" w14:textId="5D413466" w:rsidR="007A12D3" w:rsidRPr="007A12D3" w:rsidRDefault="00514C6E" w:rsidP="00246318">
      <w:pPr>
        <w:tabs>
          <w:tab w:val="left" w:pos="6080"/>
        </w:tabs>
        <w:spacing w:line="480" w:lineRule="auto"/>
        <w:ind w:left="220" w:hangingChars="100" w:hanging="220"/>
        <w:jc w:val="left"/>
        <w:rPr>
          <w:rFonts w:ascii="Arial" w:eastAsia="SimSun" w:hAnsi="Arial" w:cs="Arial"/>
          <w:sz w:val="22"/>
        </w:rPr>
      </w:pPr>
      <w:r>
        <w:rPr>
          <w:rFonts w:ascii="Arial" w:eastAsia="SimSun" w:hAnsi="Arial" w:cs="Arial"/>
          <w:sz w:val="22"/>
        </w:rPr>
        <w:t>7</w:t>
      </w:r>
      <w:r w:rsidR="007A12D3" w:rsidRPr="007A12D3">
        <w:rPr>
          <w:rFonts w:ascii="Arial" w:eastAsia="SimSun" w:hAnsi="Arial" w:cs="Arial"/>
          <w:sz w:val="22"/>
        </w:rPr>
        <w:t>. Zhou L, Yu K, Yang L, Wang H, Xiao Y, Qiu G, et al. Sleep duration, midday napping, and sleep quality and incident stroke: The Dongfeng-Tongji cohort. Neurology. 2020;94</w:t>
      </w:r>
      <w:r w:rsidR="000412BB">
        <w:rPr>
          <w:rFonts w:ascii="Arial" w:eastAsia="SimSun" w:hAnsi="Arial" w:cs="Arial"/>
          <w:sz w:val="22"/>
        </w:rPr>
        <w:t>(4)</w:t>
      </w:r>
      <w:r w:rsidR="007A12D3" w:rsidRPr="007A12D3">
        <w:rPr>
          <w:rFonts w:ascii="Arial" w:eastAsia="SimSun" w:hAnsi="Arial" w:cs="Arial"/>
          <w:sz w:val="22"/>
        </w:rPr>
        <w:t>:e345-e356, https://doi.org/10.1212/WNL.0000000000008739.</w:t>
      </w:r>
    </w:p>
    <w:p w14:paraId="2C321619" w14:textId="48B314BE" w:rsidR="007A12D3" w:rsidRPr="007A12D3" w:rsidRDefault="00514C6E" w:rsidP="00246318">
      <w:pPr>
        <w:tabs>
          <w:tab w:val="left" w:pos="6080"/>
        </w:tabs>
        <w:spacing w:line="480" w:lineRule="auto"/>
        <w:ind w:left="220" w:hangingChars="100" w:hanging="220"/>
        <w:jc w:val="left"/>
        <w:rPr>
          <w:rFonts w:ascii="Arial" w:eastAsia="SimSun" w:hAnsi="Arial" w:cs="Arial"/>
          <w:sz w:val="22"/>
        </w:rPr>
      </w:pPr>
      <w:r>
        <w:rPr>
          <w:rFonts w:ascii="Arial" w:eastAsia="SimSun" w:hAnsi="Arial" w:cs="Arial"/>
          <w:sz w:val="22"/>
        </w:rPr>
        <w:t>8</w:t>
      </w:r>
      <w:r w:rsidR="007A12D3" w:rsidRPr="007A12D3">
        <w:rPr>
          <w:rFonts w:ascii="Arial" w:eastAsia="SimSun" w:hAnsi="Arial" w:cs="Arial"/>
          <w:sz w:val="22"/>
        </w:rPr>
        <w:t>. Aryee MJ, Jaffe AE, Corrada-Bravo H, Ladd-Acosta C, Feinberg AP, Hansen KD, et al. Minfi: A flexible and comprehensive Bioconductor package for the analysis of Infinium DNA methylation microarrays. Bioinformatics. 2014;30</w:t>
      </w:r>
      <w:r w:rsidR="000412BB">
        <w:rPr>
          <w:rFonts w:ascii="Arial" w:eastAsia="SimSun" w:hAnsi="Arial" w:cs="Arial"/>
          <w:sz w:val="22"/>
        </w:rPr>
        <w:t>(10)</w:t>
      </w:r>
      <w:r w:rsidR="007A12D3" w:rsidRPr="007A12D3">
        <w:rPr>
          <w:rFonts w:ascii="Arial" w:eastAsia="SimSun" w:hAnsi="Arial" w:cs="Arial"/>
          <w:sz w:val="22"/>
        </w:rPr>
        <w:t>:1363-1369. https://doi.org/10.1093/bioinformatics/btu049.</w:t>
      </w:r>
    </w:p>
    <w:p w14:paraId="0A744600" w14:textId="09802189" w:rsidR="00DF68CE" w:rsidRPr="005356E6" w:rsidRDefault="00514C6E" w:rsidP="00246318">
      <w:pPr>
        <w:tabs>
          <w:tab w:val="left" w:pos="6080"/>
        </w:tabs>
        <w:spacing w:line="480" w:lineRule="auto"/>
        <w:ind w:left="220" w:hangingChars="100" w:hanging="220"/>
        <w:jc w:val="left"/>
        <w:rPr>
          <w:rFonts w:ascii="Arial" w:eastAsia="DengXian" w:hAnsi="Arial" w:cs="Arial"/>
          <w:kern w:val="24"/>
          <w:sz w:val="22"/>
        </w:rPr>
      </w:pPr>
      <w:r>
        <w:rPr>
          <w:rFonts w:ascii="Arial" w:eastAsia="SimSun" w:hAnsi="Arial" w:cs="Arial"/>
          <w:sz w:val="22"/>
        </w:rPr>
        <w:t>9</w:t>
      </w:r>
      <w:r w:rsidR="007A12D3" w:rsidRPr="007A12D3">
        <w:rPr>
          <w:rFonts w:ascii="Arial" w:eastAsia="SimSun" w:hAnsi="Arial" w:cs="Arial"/>
          <w:sz w:val="22"/>
        </w:rPr>
        <w:t>. Dunning MJ, Smith ML, Ritchie ME, Tavaré S. Beadarray: R classes and methods for Illumina bead-based data. Bioinformatics. 2014;23</w:t>
      </w:r>
      <w:r w:rsidR="000412BB">
        <w:rPr>
          <w:rFonts w:ascii="Arial" w:eastAsia="SimSun" w:hAnsi="Arial" w:cs="Arial"/>
          <w:sz w:val="22"/>
        </w:rPr>
        <w:t>(16)</w:t>
      </w:r>
      <w:r w:rsidR="007A12D3" w:rsidRPr="007A12D3">
        <w:rPr>
          <w:rFonts w:ascii="Arial" w:eastAsia="SimSun" w:hAnsi="Arial" w:cs="Arial"/>
          <w:sz w:val="22"/>
        </w:rPr>
        <w:t>:2183-2184. https://doi.org/10.1093/bioinformatics/btm311.</w:t>
      </w:r>
      <w:bookmarkEnd w:id="0"/>
      <w:bookmarkEnd w:id="1"/>
      <w:bookmarkEnd w:id="2"/>
    </w:p>
    <w:sectPr w:rsidR="00DF68CE" w:rsidRPr="005356E6" w:rsidSect="004479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3D54EE" w14:textId="77777777" w:rsidR="00934B8D" w:rsidRDefault="00934B8D" w:rsidP="00B668F6">
      <w:r>
        <w:separator/>
      </w:r>
    </w:p>
  </w:endnote>
  <w:endnote w:type="continuationSeparator" w:id="0">
    <w:p w14:paraId="392A44BD" w14:textId="77777777" w:rsidR="00934B8D" w:rsidRDefault="00934B8D" w:rsidP="00B66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1A9B88" w14:textId="77777777" w:rsidR="00934B8D" w:rsidRDefault="00934B8D" w:rsidP="00B668F6">
      <w:r>
        <w:separator/>
      </w:r>
    </w:p>
  </w:footnote>
  <w:footnote w:type="continuationSeparator" w:id="0">
    <w:p w14:paraId="04972E98" w14:textId="77777777" w:rsidR="00934B8D" w:rsidRDefault="00934B8D" w:rsidP="00B668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UxMjcxM7O0tDQ0MDFT0lEKTi0uzszPAykwM68FACozZYotAAAA"/>
    <w:docVar w:name="EN.InstantFormat" w:val="&lt;ENInstantFormat&gt;&lt;Enabled&gt;1&lt;/Enabled&gt;&lt;ScanUnformatted&gt;1&lt;/ScanUnformatted&gt;&lt;ScanChanges&gt;1&lt;/ScanChanges&gt;&lt;Suspended&gt;1&lt;/Suspended&gt;&lt;/ENInstantFormat&gt;"/>
    <w:docVar w:name="EN.Layout" w:val="&lt;ENLayout&gt;&lt;Style&gt;Environment Intl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r2wee0btdptnexzthx0tzyr9fd2dd9f9pp&quot;&gt;My EndNote Library&lt;record-ids&gt;&lt;item&gt;41901&lt;/item&gt;&lt;/record-ids&gt;&lt;/item&gt;&lt;/Libraries&gt;"/>
  </w:docVars>
  <w:rsids>
    <w:rsidRoot w:val="001132B0"/>
    <w:rsid w:val="00001E26"/>
    <w:rsid w:val="00002553"/>
    <w:rsid w:val="0000259F"/>
    <w:rsid w:val="00002D39"/>
    <w:rsid w:val="0000348D"/>
    <w:rsid w:val="00004BDF"/>
    <w:rsid w:val="00007A5A"/>
    <w:rsid w:val="00012336"/>
    <w:rsid w:val="00016E9D"/>
    <w:rsid w:val="00023F11"/>
    <w:rsid w:val="000246C5"/>
    <w:rsid w:val="00024E1E"/>
    <w:rsid w:val="00031CE1"/>
    <w:rsid w:val="00033E10"/>
    <w:rsid w:val="000370FB"/>
    <w:rsid w:val="000412BB"/>
    <w:rsid w:val="00043731"/>
    <w:rsid w:val="00045DEB"/>
    <w:rsid w:val="00047FA7"/>
    <w:rsid w:val="00056B36"/>
    <w:rsid w:val="0006036E"/>
    <w:rsid w:val="00062F43"/>
    <w:rsid w:val="00063BA7"/>
    <w:rsid w:val="000652C9"/>
    <w:rsid w:val="00066BAA"/>
    <w:rsid w:val="00073200"/>
    <w:rsid w:val="000750B2"/>
    <w:rsid w:val="00075E3A"/>
    <w:rsid w:val="0007638B"/>
    <w:rsid w:val="00092881"/>
    <w:rsid w:val="00093494"/>
    <w:rsid w:val="00093E62"/>
    <w:rsid w:val="000A17EB"/>
    <w:rsid w:val="000A44E1"/>
    <w:rsid w:val="000A4DD1"/>
    <w:rsid w:val="000B3277"/>
    <w:rsid w:val="000B7052"/>
    <w:rsid w:val="000B717E"/>
    <w:rsid w:val="000C2A2A"/>
    <w:rsid w:val="000C4894"/>
    <w:rsid w:val="000D0E7D"/>
    <w:rsid w:val="000D2C75"/>
    <w:rsid w:val="000E03E4"/>
    <w:rsid w:val="000E3E20"/>
    <w:rsid w:val="000E454D"/>
    <w:rsid w:val="000E50B5"/>
    <w:rsid w:val="000F08F2"/>
    <w:rsid w:val="000F49B7"/>
    <w:rsid w:val="000F77E7"/>
    <w:rsid w:val="00100248"/>
    <w:rsid w:val="001005A6"/>
    <w:rsid w:val="001016EE"/>
    <w:rsid w:val="00102E36"/>
    <w:rsid w:val="0010531D"/>
    <w:rsid w:val="00105C38"/>
    <w:rsid w:val="00106B96"/>
    <w:rsid w:val="0010734E"/>
    <w:rsid w:val="00107D50"/>
    <w:rsid w:val="00110FBE"/>
    <w:rsid w:val="001132B0"/>
    <w:rsid w:val="00117B8B"/>
    <w:rsid w:val="00121F95"/>
    <w:rsid w:val="00130641"/>
    <w:rsid w:val="00132157"/>
    <w:rsid w:val="00140274"/>
    <w:rsid w:val="0014029F"/>
    <w:rsid w:val="00142F31"/>
    <w:rsid w:val="00143EB6"/>
    <w:rsid w:val="0014579F"/>
    <w:rsid w:val="001519E2"/>
    <w:rsid w:val="001544E4"/>
    <w:rsid w:val="00162798"/>
    <w:rsid w:val="00162A53"/>
    <w:rsid w:val="00163F63"/>
    <w:rsid w:val="00165F9C"/>
    <w:rsid w:val="00167E14"/>
    <w:rsid w:val="00171079"/>
    <w:rsid w:val="00175088"/>
    <w:rsid w:val="001800CA"/>
    <w:rsid w:val="001867DD"/>
    <w:rsid w:val="001902A7"/>
    <w:rsid w:val="0019114B"/>
    <w:rsid w:val="001A0B95"/>
    <w:rsid w:val="001A1A2F"/>
    <w:rsid w:val="001A7D44"/>
    <w:rsid w:val="001B0FBE"/>
    <w:rsid w:val="001B2FA6"/>
    <w:rsid w:val="001B6440"/>
    <w:rsid w:val="001C1D36"/>
    <w:rsid w:val="001C3CC2"/>
    <w:rsid w:val="001D6A62"/>
    <w:rsid w:val="001D6F98"/>
    <w:rsid w:val="001E50DE"/>
    <w:rsid w:val="001E5978"/>
    <w:rsid w:val="001F0EC5"/>
    <w:rsid w:val="001F17E8"/>
    <w:rsid w:val="001F488D"/>
    <w:rsid w:val="001F4EFA"/>
    <w:rsid w:val="001F5C28"/>
    <w:rsid w:val="002072C5"/>
    <w:rsid w:val="0021063F"/>
    <w:rsid w:val="0021518B"/>
    <w:rsid w:val="00220C61"/>
    <w:rsid w:val="002238F7"/>
    <w:rsid w:val="00225BB9"/>
    <w:rsid w:val="00232CA0"/>
    <w:rsid w:val="00233425"/>
    <w:rsid w:val="00235A81"/>
    <w:rsid w:val="002369AF"/>
    <w:rsid w:val="00244024"/>
    <w:rsid w:val="002444E0"/>
    <w:rsid w:val="00244BE0"/>
    <w:rsid w:val="00246318"/>
    <w:rsid w:val="0025289B"/>
    <w:rsid w:val="00255E91"/>
    <w:rsid w:val="00256538"/>
    <w:rsid w:val="00265003"/>
    <w:rsid w:val="002667A1"/>
    <w:rsid w:val="002701EF"/>
    <w:rsid w:val="002720FC"/>
    <w:rsid w:val="002746E6"/>
    <w:rsid w:val="00276263"/>
    <w:rsid w:val="00282A88"/>
    <w:rsid w:val="00283E94"/>
    <w:rsid w:val="00285759"/>
    <w:rsid w:val="002A0FA1"/>
    <w:rsid w:val="002A3864"/>
    <w:rsid w:val="002A40A7"/>
    <w:rsid w:val="002A4EB0"/>
    <w:rsid w:val="002A4F18"/>
    <w:rsid w:val="002A5862"/>
    <w:rsid w:val="002B126C"/>
    <w:rsid w:val="002B41D3"/>
    <w:rsid w:val="002B63FE"/>
    <w:rsid w:val="002B72E6"/>
    <w:rsid w:val="002D3281"/>
    <w:rsid w:val="002D3335"/>
    <w:rsid w:val="002D485D"/>
    <w:rsid w:val="002D671C"/>
    <w:rsid w:val="002D6D22"/>
    <w:rsid w:val="002E078E"/>
    <w:rsid w:val="002E0A92"/>
    <w:rsid w:val="002E37D1"/>
    <w:rsid w:val="002F5C22"/>
    <w:rsid w:val="002F6B1D"/>
    <w:rsid w:val="00301123"/>
    <w:rsid w:val="00302D6F"/>
    <w:rsid w:val="00304730"/>
    <w:rsid w:val="003128FE"/>
    <w:rsid w:val="00312EAB"/>
    <w:rsid w:val="00313120"/>
    <w:rsid w:val="003135C4"/>
    <w:rsid w:val="00316F6D"/>
    <w:rsid w:val="003213C1"/>
    <w:rsid w:val="0032254F"/>
    <w:rsid w:val="00322683"/>
    <w:rsid w:val="00324222"/>
    <w:rsid w:val="0033200A"/>
    <w:rsid w:val="00332FB7"/>
    <w:rsid w:val="003351AB"/>
    <w:rsid w:val="0033640A"/>
    <w:rsid w:val="00341079"/>
    <w:rsid w:val="003444B8"/>
    <w:rsid w:val="00345F08"/>
    <w:rsid w:val="00346318"/>
    <w:rsid w:val="00356138"/>
    <w:rsid w:val="003638A0"/>
    <w:rsid w:val="00365945"/>
    <w:rsid w:val="00365F07"/>
    <w:rsid w:val="00370CB9"/>
    <w:rsid w:val="003723F4"/>
    <w:rsid w:val="00372B21"/>
    <w:rsid w:val="00377118"/>
    <w:rsid w:val="00383FA5"/>
    <w:rsid w:val="003904D4"/>
    <w:rsid w:val="00393C2A"/>
    <w:rsid w:val="00395721"/>
    <w:rsid w:val="00397C1B"/>
    <w:rsid w:val="003A4ECE"/>
    <w:rsid w:val="003B02A8"/>
    <w:rsid w:val="003B58C8"/>
    <w:rsid w:val="003B591A"/>
    <w:rsid w:val="003B6AA9"/>
    <w:rsid w:val="003C2619"/>
    <w:rsid w:val="003C35AC"/>
    <w:rsid w:val="003C4FD4"/>
    <w:rsid w:val="003C5DE5"/>
    <w:rsid w:val="003C7809"/>
    <w:rsid w:val="003D53BC"/>
    <w:rsid w:val="003E299A"/>
    <w:rsid w:val="003E2F2A"/>
    <w:rsid w:val="003E78C9"/>
    <w:rsid w:val="003F226C"/>
    <w:rsid w:val="003F270E"/>
    <w:rsid w:val="003F2A61"/>
    <w:rsid w:val="003F54AE"/>
    <w:rsid w:val="003F6591"/>
    <w:rsid w:val="00400DA7"/>
    <w:rsid w:val="00402323"/>
    <w:rsid w:val="0040273C"/>
    <w:rsid w:val="00402E43"/>
    <w:rsid w:val="00403596"/>
    <w:rsid w:val="00405003"/>
    <w:rsid w:val="00411BFE"/>
    <w:rsid w:val="00416910"/>
    <w:rsid w:val="00416F1C"/>
    <w:rsid w:val="004177A2"/>
    <w:rsid w:val="00421DFA"/>
    <w:rsid w:val="00423FAB"/>
    <w:rsid w:val="004242CA"/>
    <w:rsid w:val="00424C8F"/>
    <w:rsid w:val="00430D94"/>
    <w:rsid w:val="00431196"/>
    <w:rsid w:val="0043142E"/>
    <w:rsid w:val="00433034"/>
    <w:rsid w:val="00433A44"/>
    <w:rsid w:val="00441E9F"/>
    <w:rsid w:val="00442158"/>
    <w:rsid w:val="004421D8"/>
    <w:rsid w:val="00443BB9"/>
    <w:rsid w:val="00445620"/>
    <w:rsid w:val="00447933"/>
    <w:rsid w:val="0045687C"/>
    <w:rsid w:val="00464652"/>
    <w:rsid w:val="00464D80"/>
    <w:rsid w:val="00465206"/>
    <w:rsid w:val="0047042A"/>
    <w:rsid w:val="00472C7E"/>
    <w:rsid w:val="0047316A"/>
    <w:rsid w:val="0047458F"/>
    <w:rsid w:val="004762A4"/>
    <w:rsid w:val="0048370C"/>
    <w:rsid w:val="00486582"/>
    <w:rsid w:val="004930A9"/>
    <w:rsid w:val="00493EC9"/>
    <w:rsid w:val="00494E45"/>
    <w:rsid w:val="00494E49"/>
    <w:rsid w:val="004961C0"/>
    <w:rsid w:val="004970E7"/>
    <w:rsid w:val="004A140B"/>
    <w:rsid w:val="004A3994"/>
    <w:rsid w:val="004A6983"/>
    <w:rsid w:val="004A7269"/>
    <w:rsid w:val="004B0D78"/>
    <w:rsid w:val="004B3150"/>
    <w:rsid w:val="004B3A0F"/>
    <w:rsid w:val="004B4881"/>
    <w:rsid w:val="004C110D"/>
    <w:rsid w:val="004C1DBF"/>
    <w:rsid w:val="004C3CD3"/>
    <w:rsid w:val="004D1659"/>
    <w:rsid w:val="004D1D25"/>
    <w:rsid w:val="004D32A3"/>
    <w:rsid w:val="004D54FA"/>
    <w:rsid w:val="004D6ECB"/>
    <w:rsid w:val="004E08AE"/>
    <w:rsid w:val="004E1C8A"/>
    <w:rsid w:val="004E1D02"/>
    <w:rsid w:val="004E28FA"/>
    <w:rsid w:val="004E7B43"/>
    <w:rsid w:val="004F1547"/>
    <w:rsid w:val="004F6B50"/>
    <w:rsid w:val="0050174A"/>
    <w:rsid w:val="00512F9E"/>
    <w:rsid w:val="00514C6E"/>
    <w:rsid w:val="00516DD3"/>
    <w:rsid w:val="00517DB4"/>
    <w:rsid w:val="005229F1"/>
    <w:rsid w:val="00524303"/>
    <w:rsid w:val="00526B58"/>
    <w:rsid w:val="00530221"/>
    <w:rsid w:val="00531927"/>
    <w:rsid w:val="00532A68"/>
    <w:rsid w:val="005356E6"/>
    <w:rsid w:val="00536D1D"/>
    <w:rsid w:val="00540379"/>
    <w:rsid w:val="00542626"/>
    <w:rsid w:val="00543FB0"/>
    <w:rsid w:val="005441A8"/>
    <w:rsid w:val="00554E8B"/>
    <w:rsid w:val="00556167"/>
    <w:rsid w:val="00557344"/>
    <w:rsid w:val="00574492"/>
    <w:rsid w:val="00574CBB"/>
    <w:rsid w:val="00577003"/>
    <w:rsid w:val="00577360"/>
    <w:rsid w:val="005802D7"/>
    <w:rsid w:val="005824A9"/>
    <w:rsid w:val="0058419B"/>
    <w:rsid w:val="00586242"/>
    <w:rsid w:val="0058709A"/>
    <w:rsid w:val="00591909"/>
    <w:rsid w:val="0059453D"/>
    <w:rsid w:val="00596441"/>
    <w:rsid w:val="00596BD1"/>
    <w:rsid w:val="00597BBC"/>
    <w:rsid w:val="005A2020"/>
    <w:rsid w:val="005A3A3D"/>
    <w:rsid w:val="005A3EF1"/>
    <w:rsid w:val="005A52E9"/>
    <w:rsid w:val="005A734C"/>
    <w:rsid w:val="005B0419"/>
    <w:rsid w:val="005B5A0E"/>
    <w:rsid w:val="005C0D30"/>
    <w:rsid w:val="005C5D6F"/>
    <w:rsid w:val="005C75DC"/>
    <w:rsid w:val="005C7723"/>
    <w:rsid w:val="005D0C46"/>
    <w:rsid w:val="005D759C"/>
    <w:rsid w:val="005E238C"/>
    <w:rsid w:val="005E66CC"/>
    <w:rsid w:val="005F0AB9"/>
    <w:rsid w:val="005F169D"/>
    <w:rsid w:val="005F32DF"/>
    <w:rsid w:val="005F7E0A"/>
    <w:rsid w:val="00601F1B"/>
    <w:rsid w:val="006029C1"/>
    <w:rsid w:val="00603DEE"/>
    <w:rsid w:val="006059BC"/>
    <w:rsid w:val="00606A3B"/>
    <w:rsid w:val="00611714"/>
    <w:rsid w:val="00613AF8"/>
    <w:rsid w:val="00616F59"/>
    <w:rsid w:val="006176FA"/>
    <w:rsid w:val="00622C7E"/>
    <w:rsid w:val="006247C2"/>
    <w:rsid w:val="00627ACA"/>
    <w:rsid w:val="00630773"/>
    <w:rsid w:val="00632B1C"/>
    <w:rsid w:val="0063403B"/>
    <w:rsid w:val="00635314"/>
    <w:rsid w:val="00635B81"/>
    <w:rsid w:val="00635EFA"/>
    <w:rsid w:val="00643004"/>
    <w:rsid w:val="00645110"/>
    <w:rsid w:val="00645A40"/>
    <w:rsid w:val="00647F97"/>
    <w:rsid w:val="0065033F"/>
    <w:rsid w:val="006503EF"/>
    <w:rsid w:val="0065296C"/>
    <w:rsid w:val="006612D6"/>
    <w:rsid w:val="00661A5F"/>
    <w:rsid w:val="0067703B"/>
    <w:rsid w:val="006916E2"/>
    <w:rsid w:val="00695B58"/>
    <w:rsid w:val="00696764"/>
    <w:rsid w:val="006A2882"/>
    <w:rsid w:val="006A3E23"/>
    <w:rsid w:val="006B6D63"/>
    <w:rsid w:val="006B70F7"/>
    <w:rsid w:val="006C23DE"/>
    <w:rsid w:val="006C2CB9"/>
    <w:rsid w:val="006C3092"/>
    <w:rsid w:val="006C51D4"/>
    <w:rsid w:val="006C6180"/>
    <w:rsid w:val="006D7D8B"/>
    <w:rsid w:val="006E42D1"/>
    <w:rsid w:val="006E56BA"/>
    <w:rsid w:val="006E596A"/>
    <w:rsid w:val="006E5B09"/>
    <w:rsid w:val="006E7890"/>
    <w:rsid w:val="006F02B1"/>
    <w:rsid w:val="006F2512"/>
    <w:rsid w:val="006F2BF4"/>
    <w:rsid w:val="006F7F39"/>
    <w:rsid w:val="00706C2B"/>
    <w:rsid w:val="0071288F"/>
    <w:rsid w:val="007133C6"/>
    <w:rsid w:val="0071461C"/>
    <w:rsid w:val="00717B2F"/>
    <w:rsid w:val="00720245"/>
    <w:rsid w:val="00724522"/>
    <w:rsid w:val="00726396"/>
    <w:rsid w:val="00727FB7"/>
    <w:rsid w:val="007340A2"/>
    <w:rsid w:val="007354CA"/>
    <w:rsid w:val="0073607B"/>
    <w:rsid w:val="007360E2"/>
    <w:rsid w:val="00740226"/>
    <w:rsid w:val="0074155F"/>
    <w:rsid w:val="00743A75"/>
    <w:rsid w:val="00743C5C"/>
    <w:rsid w:val="00745391"/>
    <w:rsid w:val="00747736"/>
    <w:rsid w:val="007566C3"/>
    <w:rsid w:val="00756984"/>
    <w:rsid w:val="00756DBC"/>
    <w:rsid w:val="00757292"/>
    <w:rsid w:val="007665D7"/>
    <w:rsid w:val="00767E17"/>
    <w:rsid w:val="00770118"/>
    <w:rsid w:val="00772D94"/>
    <w:rsid w:val="007732D4"/>
    <w:rsid w:val="00794EB8"/>
    <w:rsid w:val="00796F80"/>
    <w:rsid w:val="0079761D"/>
    <w:rsid w:val="007A12D3"/>
    <w:rsid w:val="007B38C8"/>
    <w:rsid w:val="007B4466"/>
    <w:rsid w:val="007C3417"/>
    <w:rsid w:val="007C3645"/>
    <w:rsid w:val="007C52F5"/>
    <w:rsid w:val="007C52FF"/>
    <w:rsid w:val="007D3455"/>
    <w:rsid w:val="007D46C5"/>
    <w:rsid w:val="007D4BE3"/>
    <w:rsid w:val="007D660E"/>
    <w:rsid w:val="007E037C"/>
    <w:rsid w:val="007E38D8"/>
    <w:rsid w:val="007E4201"/>
    <w:rsid w:val="007E57AA"/>
    <w:rsid w:val="007E6698"/>
    <w:rsid w:val="007F18A2"/>
    <w:rsid w:val="007F1B4A"/>
    <w:rsid w:val="007F40A9"/>
    <w:rsid w:val="00802C33"/>
    <w:rsid w:val="0080328A"/>
    <w:rsid w:val="00805336"/>
    <w:rsid w:val="00811477"/>
    <w:rsid w:val="00813133"/>
    <w:rsid w:val="0081389D"/>
    <w:rsid w:val="00813F6A"/>
    <w:rsid w:val="0082212F"/>
    <w:rsid w:val="00824F0E"/>
    <w:rsid w:val="00825438"/>
    <w:rsid w:val="00825F54"/>
    <w:rsid w:val="00825F9E"/>
    <w:rsid w:val="00841278"/>
    <w:rsid w:val="00846BED"/>
    <w:rsid w:val="008542BF"/>
    <w:rsid w:val="008558B1"/>
    <w:rsid w:val="00876C3E"/>
    <w:rsid w:val="008771E0"/>
    <w:rsid w:val="00882D87"/>
    <w:rsid w:val="008834D0"/>
    <w:rsid w:val="008843CD"/>
    <w:rsid w:val="00885CAB"/>
    <w:rsid w:val="00886F3F"/>
    <w:rsid w:val="008907EC"/>
    <w:rsid w:val="00892B7F"/>
    <w:rsid w:val="00894AF7"/>
    <w:rsid w:val="00896758"/>
    <w:rsid w:val="008A14AF"/>
    <w:rsid w:val="008A4165"/>
    <w:rsid w:val="008A4DC1"/>
    <w:rsid w:val="008A520E"/>
    <w:rsid w:val="008B0101"/>
    <w:rsid w:val="008B2A85"/>
    <w:rsid w:val="008C2633"/>
    <w:rsid w:val="008C2FA7"/>
    <w:rsid w:val="008C4D8D"/>
    <w:rsid w:val="008C53FA"/>
    <w:rsid w:val="008C5915"/>
    <w:rsid w:val="008C5A56"/>
    <w:rsid w:val="008D2147"/>
    <w:rsid w:val="008D3611"/>
    <w:rsid w:val="008D4111"/>
    <w:rsid w:val="008D41ED"/>
    <w:rsid w:val="008D5C9C"/>
    <w:rsid w:val="008D7F92"/>
    <w:rsid w:val="008E284C"/>
    <w:rsid w:val="008E5ED4"/>
    <w:rsid w:val="008E6BA5"/>
    <w:rsid w:val="008F3AF6"/>
    <w:rsid w:val="008F5EC5"/>
    <w:rsid w:val="008F7449"/>
    <w:rsid w:val="009003AC"/>
    <w:rsid w:val="00901CAD"/>
    <w:rsid w:val="00903A9D"/>
    <w:rsid w:val="00904706"/>
    <w:rsid w:val="00905374"/>
    <w:rsid w:val="0090592A"/>
    <w:rsid w:val="00906B2D"/>
    <w:rsid w:val="009131CA"/>
    <w:rsid w:val="00913C9D"/>
    <w:rsid w:val="00917279"/>
    <w:rsid w:val="00923136"/>
    <w:rsid w:val="00925099"/>
    <w:rsid w:val="00925E2E"/>
    <w:rsid w:val="009265A1"/>
    <w:rsid w:val="00926C85"/>
    <w:rsid w:val="009271D8"/>
    <w:rsid w:val="00934B8D"/>
    <w:rsid w:val="0093666A"/>
    <w:rsid w:val="00937992"/>
    <w:rsid w:val="009411E9"/>
    <w:rsid w:val="00941C92"/>
    <w:rsid w:val="00947693"/>
    <w:rsid w:val="00954CD7"/>
    <w:rsid w:val="00955F23"/>
    <w:rsid w:val="0095662D"/>
    <w:rsid w:val="0096354F"/>
    <w:rsid w:val="00967007"/>
    <w:rsid w:val="00967865"/>
    <w:rsid w:val="00971ED4"/>
    <w:rsid w:val="00972165"/>
    <w:rsid w:val="00986963"/>
    <w:rsid w:val="00991B3C"/>
    <w:rsid w:val="009938E2"/>
    <w:rsid w:val="009A0B9E"/>
    <w:rsid w:val="009A26F3"/>
    <w:rsid w:val="009A5D3E"/>
    <w:rsid w:val="009A7BEC"/>
    <w:rsid w:val="009B31BE"/>
    <w:rsid w:val="009B6DFD"/>
    <w:rsid w:val="009C4656"/>
    <w:rsid w:val="009C6E1E"/>
    <w:rsid w:val="009C7FDC"/>
    <w:rsid w:val="009E2804"/>
    <w:rsid w:val="009E3429"/>
    <w:rsid w:val="009E3B98"/>
    <w:rsid w:val="009E688C"/>
    <w:rsid w:val="009E6A42"/>
    <w:rsid w:val="009F07E7"/>
    <w:rsid w:val="009F15AD"/>
    <w:rsid w:val="009F2B14"/>
    <w:rsid w:val="009F2CCD"/>
    <w:rsid w:val="009F5384"/>
    <w:rsid w:val="009F7029"/>
    <w:rsid w:val="00A03B85"/>
    <w:rsid w:val="00A075D9"/>
    <w:rsid w:val="00A15484"/>
    <w:rsid w:val="00A15848"/>
    <w:rsid w:val="00A1631D"/>
    <w:rsid w:val="00A1710C"/>
    <w:rsid w:val="00A2088C"/>
    <w:rsid w:val="00A21136"/>
    <w:rsid w:val="00A21E87"/>
    <w:rsid w:val="00A2259F"/>
    <w:rsid w:val="00A23C26"/>
    <w:rsid w:val="00A2555D"/>
    <w:rsid w:val="00A263BA"/>
    <w:rsid w:val="00A273E4"/>
    <w:rsid w:val="00A40D51"/>
    <w:rsid w:val="00A41036"/>
    <w:rsid w:val="00A4477E"/>
    <w:rsid w:val="00A479B0"/>
    <w:rsid w:val="00A567FD"/>
    <w:rsid w:val="00A636E0"/>
    <w:rsid w:val="00A74640"/>
    <w:rsid w:val="00A75A4D"/>
    <w:rsid w:val="00A75B3C"/>
    <w:rsid w:val="00A8278E"/>
    <w:rsid w:val="00A930B1"/>
    <w:rsid w:val="00A94256"/>
    <w:rsid w:val="00A94F99"/>
    <w:rsid w:val="00AA05CF"/>
    <w:rsid w:val="00AA5222"/>
    <w:rsid w:val="00AA5267"/>
    <w:rsid w:val="00AB071C"/>
    <w:rsid w:val="00AC550A"/>
    <w:rsid w:val="00AE08E7"/>
    <w:rsid w:val="00AF0011"/>
    <w:rsid w:val="00AF12CB"/>
    <w:rsid w:val="00AF16CB"/>
    <w:rsid w:val="00AF19E0"/>
    <w:rsid w:val="00AF264A"/>
    <w:rsid w:val="00B0158B"/>
    <w:rsid w:val="00B0524C"/>
    <w:rsid w:val="00B20090"/>
    <w:rsid w:val="00B2319C"/>
    <w:rsid w:val="00B232D0"/>
    <w:rsid w:val="00B336DD"/>
    <w:rsid w:val="00B3572E"/>
    <w:rsid w:val="00B376E3"/>
    <w:rsid w:val="00B37ECD"/>
    <w:rsid w:val="00B419EB"/>
    <w:rsid w:val="00B42A30"/>
    <w:rsid w:val="00B5303B"/>
    <w:rsid w:val="00B55D09"/>
    <w:rsid w:val="00B563AC"/>
    <w:rsid w:val="00B62205"/>
    <w:rsid w:val="00B62BCC"/>
    <w:rsid w:val="00B668F6"/>
    <w:rsid w:val="00B66ED4"/>
    <w:rsid w:val="00B77590"/>
    <w:rsid w:val="00B802D1"/>
    <w:rsid w:val="00B813DB"/>
    <w:rsid w:val="00B85435"/>
    <w:rsid w:val="00B8687F"/>
    <w:rsid w:val="00B902FB"/>
    <w:rsid w:val="00B9484A"/>
    <w:rsid w:val="00BB03CF"/>
    <w:rsid w:val="00BB0B39"/>
    <w:rsid w:val="00BB1295"/>
    <w:rsid w:val="00BB2763"/>
    <w:rsid w:val="00BB3C75"/>
    <w:rsid w:val="00BB44EA"/>
    <w:rsid w:val="00BB6368"/>
    <w:rsid w:val="00BC6810"/>
    <w:rsid w:val="00BD3D48"/>
    <w:rsid w:val="00BD734E"/>
    <w:rsid w:val="00BE009D"/>
    <w:rsid w:val="00BE3BF0"/>
    <w:rsid w:val="00BE3C36"/>
    <w:rsid w:val="00BE41B4"/>
    <w:rsid w:val="00BE5240"/>
    <w:rsid w:val="00BF7D0F"/>
    <w:rsid w:val="00C015EC"/>
    <w:rsid w:val="00C07D1D"/>
    <w:rsid w:val="00C1240B"/>
    <w:rsid w:val="00C144B2"/>
    <w:rsid w:val="00C15149"/>
    <w:rsid w:val="00C16934"/>
    <w:rsid w:val="00C16F64"/>
    <w:rsid w:val="00C24793"/>
    <w:rsid w:val="00C26ABF"/>
    <w:rsid w:val="00C32601"/>
    <w:rsid w:val="00C32A43"/>
    <w:rsid w:val="00C36C92"/>
    <w:rsid w:val="00C44003"/>
    <w:rsid w:val="00C44E87"/>
    <w:rsid w:val="00C451C2"/>
    <w:rsid w:val="00C47687"/>
    <w:rsid w:val="00C50F35"/>
    <w:rsid w:val="00C52FEC"/>
    <w:rsid w:val="00C53030"/>
    <w:rsid w:val="00C53237"/>
    <w:rsid w:val="00C555AC"/>
    <w:rsid w:val="00C647A8"/>
    <w:rsid w:val="00C64A74"/>
    <w:rsid w:val="00C6777C"/>
    <w:rsid w:val="00C72A98"/>
    <w:rsid w:val="00C73077"/>
    <w:rsid w:val="00C7512F"/>
    <w:rsid w:val="00C76FDB"/>
    <w:rsid w:val="00C80205"/>
    <w:rsid w:val="00C831CB"/>
    <w:rsid w:val="00C86164"/>
    <w:rsid w:val="00C875AD"/>
    <w:rsid w:val="00C90BF8"/>
    <w:rsid w:val="00C91056"/>
    <w:rsid w:val="00C9184D"/>
    <w:rsid w:val="00C91A59"/>
    <w:rsid w:val="00C96A1F"/>
    <w:rsid w:val="00C96B0D"/>
    <w:rsid w:val="00C97824"/>
    <w:rsid w:val="00CA0D45"/>
    <w:rsid w:val="00CA28FB"/>
    <w:rsid w:val="00CB1076"/>
    <w:rsid w:val="00CB4C0F"/>
    <w:rsid w:val="00CC17EC"/>
    <w:rsid w:val="00CC2E94"/>
    <w:rsid w:val="00CC43D2"/>
    <w:rsid w:val="00CC76BF"/>
    <w:rsid w:val="00CD0438"/>
    <w:rsid w:val="00CD19CE"/>
    <w:rsid w:val="00CD243A"/>
    <w:rsid w:val="00CD58A7"/>
    <w:rsid w:val="00CE0BA1"/>
    <w:rsid w:val="00CE3BDB"/>
    <w:rsid w:val="00CE5BB1"/>
    <w:rsid w:val="00CF1603"/>
    <w:rsid w:val="00CF674F"/>
    <w:rsid w:val="00CF6A73"/>
    <w:rsid w:val="00CF751D"/>
    <w:rsid w:val="00CF7BC8"/>
    <w:rsid w:val="00D00745"/>
    <w:rsid w:val="00D13333"/>
    <w:rsid w:val="00D22A07"/>
    <w:rsid w:val="00D23688"/>
    <w:rsid w:val="00D2709B"/>
    <w:rsid w:val="00D316DB"/>
    <w:rsid w:val="00D31DEE"/>
    <w:rsid w:val="00D345C1"/>
    <w:rsid w:val="00D40E38"/>
    <w:rsid w:val="00D4122F"/>
    <w:rsid w:val="00D56A89"/>
    <w:rsid w:val="00D65A09"/>
    <w:rsid w:val="00D65B87"/>
    <w:rsid w:val="00D66740"/>
    <w:rsid w:val="00D673F4"/>
    <w:rsid w:val="00D679BA"/>
    <w:rsid w:val="00D72913"/>
    <w:rsid w:val="00D754BC"/>
    <w:rsid w:val="00D758F5"/>
    <w:rsid w:val="00D80DCB"/>
    <w:rsid w:val="00D8188B"/>
    <w:rsid w:val="00D827A6"/>
    <w:rsid w:val="00D8534E"/>
    <w:rsid w:val="00D86E79"/>
    <w:rsid w:val="00D86F5A"/>
    <w:rsid w:val="00D91595"/>
    <w:rsid w:val="00D91764"/>
    <w:rsid w:val="00D972F9"/>
    <w:rsid w:val="00DA2624"/>
    <w:rsid w:val="00DA30BC"/>
    <w:rsid w:val="00DA73E2"/>
    <w:rsid w:val="00DB34EB"/>
    <w:rsid w:val="00DB6542"/>
    <w:rsid w:val="00DD3205"/>
    <w:rsid w:val="00DD5020"/>
    <w:rsid w:val="00DD6E0D"/>
    <w:rsid w:val="00DD70F5"/>
    <w:rsid w:val="00DE1538"/>
    <w:rsid w:val="00DE17BD"/>
    <w:rsid w:val="00DE3767"/>
    <w:rsid w:val="00DE63A7"/>
    <w:rsid w:val="00DE7A95"/>
    <w:rsid w:val="00DF3343"/>
    <w:rsid w:val="00DF5337"/>
    <w:rsid w:val="00DF68CE"/>
    <w:rsid w:val="00E010BE"/>
    <w:rsid w:val="00E045EF"/>
    <w:rsid w:val="00E0628E"/>
    <w:rsid w:val="00E07AEB"/>
    <w:rsid w:val="00E14D0C"/>
    <w:rsid w:val="00E1604C"/>
    <w:rsid w:val="00E21D14"/>
    <w:rsid w:val="00E23A43"/>
    <w:rsid w:val="00E25045"/>
    <w:rsid w:val="00E31CB6"/>
    <w:rsid w:val="00E32B25"/>
    <w:rsid w:val="00E32C23"/>
    <w:rsid w:val="00E34C96"/>
    <w:rsid w:val="00E350E9"/>
    <w:rsid w:val="00E37E7F"/>
    <w:rsid w:val="00E441C7"/>
    <w:rsid w:val="00E44771"/>
    <w:rsid w:val="00E477C2"/>
    <w:rsid w:val="00E51382"/>
    <w:rsid w:val="00E66581"/>
    <w:rsid w:val="00E6681B"/>
    <w:rsid w:val="00E67027"/>
    <w:rsid w:val="00E70D30"/>
    <w:rsid w:val="00E75077"/>
    <w:rsid w:val="00E7527D"/>
    <w:rsid w:val="00E7790C"/>
    <w:rsid w:val="00E779C3"/>
    <w:rsid w:val="00E8513C"/>
    <w:rsid w:val="00E86338"/>
    <w:rsid w:val="00E870FE"/>
    <w:rsid w:val="00E92967"/>
    <w:rsid w:val="00E92A1F"/>
    <w:rsid w:val="00E943A4"/>
    <w:rsid w:val="00EA6F90"/>
    <w:rsid w:val="00EB27ED"/>
    <w:rsid w:val="00EB494C"/>
    <w:rsid w:val="00EC3A16"/>
    <w:rsid w:val="00EC3A2D"/>
    <w:rsid w:val="00EC6B75"/>
    <w:rsid w:val="00EC77E7"/>
    <w:rsid w:val="00ED00D5"/>
    <w:rsid w:val="00ED1F52"/>
    <w:rsid w:val="00ED2523"/>
    <w:rsid w:val="00ED3FBB"/>
    <w:rsid w:val="00ED6246"/>
    <w:rsid w:val="00ED6E0A"/>
    <w:rsid w:val="00EE05A8"/>
    <w:rsid w:val="00EE1976"/>
    <w:rsid w:val="00EE1FA8"/>
    <w:rsid w:val="00EE2157"/>
    <w:rsid w:val="00EE26F4"/>
    <w:rsid w:val="00EE484E"/>
    <w:rsid w:val="00EF089F"/>
    <w:rsid w:val="00EF6C8F"/>
    <w:rsid w:val="00EF6D84"/>
    <w:rsid w:val="00EF702C"/>
    <w:rsid w:val="00F0153C"/>
    <w:rsid w:val="00F0775B"/>
    <w:rsid w:val="00F114BF"/>
    <w:rsid w:val="00F15DD4"/>
    <w:rsid w:val="00F21198"/>
    <w:rsid w:val="00F21211"/>
    <w:rsid w:val="00F2153D"/>
    <w:rsid w:val="00F21A8F"/>
    <w:rsid w:val="00F26B71"/>
    <w:rsid w:val="00F30A48"/>
    <w:rsid w:val="00F32B3C"/>
    <w:rsid w:val="00F3524E"/>
    <w:rsid w:val="00F37320"/>
    <w:rsid w:val="00F5072A"/>
    <w:rsid w:val="00F53BE8"/>
    <w:rsid w:val="00F53F19"/>
    <w:rsid w:val="00F57A99"/>
    <w:rsid w:val="00F57EE1"/>
    <w:rsid w:val="00F6567B"/>
    <w:rsid w:val="00F71288"/>
    <w:rsid w:val="00F743C9"/>
    <w:rsid w:val="00F77FB7"/>
    <w:rsid w:val="00F8178E"/>
    <w:rsid w:val="00F83B19"/>
    <w:rsid w:val="00F901CD"/>
    <w:rsid w:val="00F9064E"/>
    <w:rsid w:val="00F90D0C"/>
    <w:rsid w:val="00F92D97"/>
    <w:rsid w:val="00F92DE2"/>
    <w:rsid w:val="00F9451D"/>
    <w:rsid w:val="00F96853"/>
    <w:rsid w:val="00F977A8"/>
    <w:rsid w:val="00FA0F40"/>
    <w:rsid w:val="00FA4073"/>
    <w:rsid w:val="00FA5488"/>
    <w:rsid w:val="00FB0423"/>
    <w:rsid w:val="00FB14D2"/>
    <w:rsid w:val="00FC38BD"/>
    <w:rsid w:val="00FD4A3E"/>
    <w:rsid w:val="00FD6962"/>
    <w:rsid w:val="00FD69BA"/>
    <w:rsid w:val="00FE1E5B"/>
    <w:rsid w:val="00FE2440"/>
    <w:rsid w:val="00FE62F6"/>
    <w:rsid w:val="00FE71D8"/>
    <w:rsid w:val="00FE7809"/>
    <w:rsid w:val="00FF47A5"/>
    <w:rsid w:val="00FF53B5"/>
    <w:rsid w:val="00FF5F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27BF9B"/>
  <w15:chartTrackingRefBased/>
  <w15:docId w15:val="{D64A5EA7-F56B-4EEA-B12F-BC7A4C41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68F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B668F6"/>
    <w:rPr>
      <w:sz w:val="18"/>
      <w:szCs w:val="18"/>
    </w:rPr>
  </w:style>
  <w:style w:type="paragraph" w:styleId="Footer">
    <w:name w:val="footer"/>
    <w:basedOn w:val="Normal"/>
    <w:link w:val="FooterChar"/>
    <w:uiPriority w:val="99"/>
    <w:unhideWhenUsed/>
    <w:rsid w:val="00B668F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B668F6"/>
    <w:rPr>
      <w:sz w:val="18"/>
      <w:szCs w:val="18"/>
    </w:rPr>
  </w:style>
  <w:style w:type="paragraph" w:styleId="NormalWeb">
    <w:name w:val="Normal (Web)"/>
    <w:basedOn w:val="Normal"/>
    <w:uiPriority w:val="99"/>
    <w:unhideWhenUsed/>
    <w:rsid w:val="00132157"/>
    <w:pPr>
      <w:widowControl/>
      <w:spacing w:before="100" w:beforeAutospacing="1" w:after="100" w:afterAutospacing="1"/>
      <w:jc w:val="left"/>
    </w:pPr>
    <w:rPr>
      <w:rFonts w:ascii="SimSun" w:eastAsia="SimSun" w:hAnsi="SimSun" w:cs="SimSun"/>
      <w:kern w:val="0"/>
      <w:sz w:val="24"/>
      <w:szCs w:val="24"/>
    </w:rPr>
  </w:style>
  <w:style w:type="paragraph" w:styleId="BalloonText">
    <w:name w:val="Balloon Text"/>
    <w:basedOn w:val="Normal"/>
    <w:link w:val="BalloonTextChar"/>
    <w:uiPriority w:val="99"/>
    <w:semiHidden/>
    <w:unhideWhenUsed/>
    <w:rsid w:val="00D345C1"/>
    <w:rPr>
      <w:sz w:val="18"/>
      <w:szCs w:val="18"/>
    </w:rPr>
  </w:style>
  <w:style w:type="character" w:customStyle="1" w:styleId="BalloonTextChar">
    <w:name w:val="Balloon Text Char"/>
    <w:basedOn w:val="DefaultParagraphFont"/>
    <w:link w:val="BalloonText"/>
    <w:uiPriority w:val="99"/>
    <w:semiHidden/>
    <w:rsid w:val="00D345C1"/>
    <w:rPr>
      <w:sz w:val="18"/>
      <w:szCs w:val="18"/>
    </w:rPr>
  </w:style>
  <w:style w:type="paragraph" w:customStyle="1" w:styleId="EndNoteBibliographyTitle">
    <w:name w:val="EndNote Bibliography Title"/>
    <w:basedOn w:val="Normal"/>
    <w:link w:val="EndNoteBibliographyTitle0"/>
    <w:rsid w:val="008D5C9C"/>
    <w:pPr>
      <w:jc w:val="center"/>
    </w:pPr>
    <w:rPr>
      <w:rFonts w:ascii="DengXian" w:eastAsia="DengXian" w:hAnsi="DengXian"/>
      <w:noProof/>
      <w:sz w:val="20"/>
    </w:rPr>
  </w:style>
  <w:style w:type="character" w:customStyle="1" w:styleId="EndNoteBibliographyTitle0">
    <w:name w:val="EndNote Bibliography Title 字符"/>
    <w:basedOn w:val="DefaultParagraphFont"/>
    <w:link w:val="EndNoteBibliographyTitle"/>
    <w:rsid w:val="008D5C9C"/>
    <w:rPr>
      <w:rFonts w:ascii="DengXian" w:eastAsia="DengXian" w:hAnsi="DengXian"/>
      <w:noProof/>
      <w:sz w:val="20"/>
    </w:rPr>
  </w:style>
  <w:style w:type="paragraph" w:customStyle="1" w:styleId="EndNoteBibliography">
    <w:name w:val="EndNote Bibliography"/>
    <w:basedOn w:val="Normal"/>
    <w:link w:val="EndNoteBibliography0"/>
    <w:rsid w:val="008D5C9C"/>
    <w:rPr>
      <w:rFonts w:ascii="DengXian" w:eastAsia="DengXian" w:hAnsi="DengXian"/>
      <w:noProof/>
      <w:sz w:val="20"/>
    </w:rPr>
  </w:style>
  <w:style w:type="character" w:customStyle="1" w:styleId="EndNoteBibliography0">
    <w:name w:val="EndNote Bibliography 字符"/>
    <w:basedOn w:val="DefaultParagraphFont"/>
    <w:link w:val="EndNoteBibliography"/>
    <w:rsid w:val="008D5C9C"/>
    <w:rPr>
      <w:rFonts w:ascii="DengXian" w:eastAsia="DengXian" w:hAnsi="DengXian"/>
      <w:noProof/>
      <w:sz w:val="20"/>
    </w:rPr>
  </w:style>
  <w:style w:type="paragraph" w:styleId="PlainText">
    <w:name w:val="Plain Text"/>
    <w:basedOn w:val="Normal"/>
    <w:link w:val="PlainTextChar"/>
    <w:uiPriority w:val="99"/>
    <w:unhideWhenUsed/>
    <w:rsid w:val="00DE1538"/>
    <w:rPr>
      <w:rFonts w:asciiTheme="minorEastAsia" w:hAnsi="Courier New" w:cs="Courier New"/>
    </w:rPr>
  </w:style>
  <w:style w:type="character" w:customStyle="1" w:styleId="PlainTextChar">
    <w:name w:val="Plain Text Char"/>
    <w:basedOn w:val="DefaultParagraphFont"/>
    <w:link w:val="PlainText"/>
    <w:uiPriority w:val="99"/>
    <w:rsid w:val="00DE1538"/>
    <w:rPr>
      <w:rFonts w:asciiTheme="minorEastAsia" w:hAnsi="Courier New" w:cs="Courier New"/>
    </w:rPr>
  </w:style>
  <w:style w:type="character" w:styleId="CommentReference">
    <w:name w:val="annotation reference"/>
    <w:basedOn w:val="DefaultParagraphFont"/>
    <w:uiPriority w:val="99"/>
    <w:semiHidden/>
    <w:unhideWhenUsed/>
    <w:rsid w:val="003C4FD4"/>
    <w:rPr>
      <w:sz w:val="21"/>
      <w:szCs w:val="21"/>
    </w:rPr>
  </w:style>
  <w:style w:type="paragraph" w:styleId="CommentText">
    <w:name w:val="annotation text"/>
    <w:basedOn w:val="Normal"/>
    <w:link w:val="CommentTextChar"/>
    <w:uiPriority w:val="99"/>
    <w:semiHidden/>
    <w:unhideWhenUsed/>
    <w:rsid w:val="003C4FD4"/>
    <w:pPr>
      <w:jc w:val="left"/>
    </w:pPr>
  </w:style>
  <w:style w:type="character" w:customStyle="1" w:styleId="CommentTextChar">
    <w:name w:val="Comment Text Char"/>
    <w:basedOn w:val="DefaultParagraphFont"/>
    <w:link w:val="CommentText"/>
    <w:uiPriority w:val="99"/>
    <w:semiHidden/>
    <w:rsid w:val="003C4FD4"/>
  </w:style>
  <w:style w:type="paragraph" w:styleId="CommentSubject">
    <w:name w:val="annotation subject"/>
    <w:basedOn w:val="CommentText"/>
    <w:next w:val="CommentText"/>
    <w:link w:val="CommentSubjectChar"/>
    <w:uiPriority w:val="99"/>
    <w:semiHidden/>
    <w:unhideWhenUsed/>
    <w:rsid w:val="003C4FD4"/>
    <w:rPr>
      <w:b/>
      <w:bCs/>
    </w:rPr>
  </w:style>
  <w:style w:type="character" w:customStyle="1" w:styleId="CommentSubjectChar">
    <w:name w:val="Comment Subject Char"/>
    <w:basedOn w:val="CommentTextChar"/>
    <w:link w:val="CommentSubject"/>
    <w:uiPriority w:val="99"/>
    <w:semiHidden/>
    <w:rsid w:val="003C4FD4"/>
    <w:rPr>
      <w:b/>
      <w:bCs/>
    </w:rPr>
  </w:style>
  <w:style w:type="character" w:styleId="Hyperlink">
    <w:name w:val="Hyperlink"/>
    <w:basedOn w:val="DefaultParagraphFont"/>
    <w:uiPriority w:val="99"/>
    <w:unhideWhenUsed/>
    <w:rsid w:val="00C47687"/>
    <w:rPr>
      <w:color w:val="0563C1" w:themeColor="hyperlink"/>
      <w:u w:val="single"/>
    </w:rPr>
  </w:style>
  <w:style w:type="character" w:customStyle="1" w:styleId="UnresolvedMention">
    <w:name w:val="Unresolved Mention"/>
    <w:basedOn w:val="DefaultParagraphFont"/>
    <w:uiPriority w:val="99"/>
    <w:semiHidden/>
    <w:unhideWhenUsed/>
    <w:rsid w:val="00C476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6878">
      <w:bodyDiv w:val="1"/>
      <w:marLeft w:val="0"/>
      <w:marRight w:val="0"/>
      <w:marTop w:val="0"/>
      <w:marBottom w:val="0"/>
      <w:divBdr>
        <w:top w:val="none" w:sz="0" w:space="0" w:color="auto"/>
        <w:left w:val="none" w:sz="0" w:space="0" w:color="auto"/>
        <w:bottom w:val="none" w:sz="0" w:space="0" w:color="auto"/>
        <w:right w:val="none" w:sz="0" w:space="0" w:color="auto"/>
      </w:divBdr>
    </w:div>
    <w:div w:id="77823607">
      <w:bodyDiv w:val="1"/>
      <w:marLeft w:val="0"/>
      <w:marRight w:val="0"/>
      <w:marTop w:val="0"/>
      <w:marBottom w:val="0"/>
      <w:divBdr>
        <w:top w:val="none" w:sz="0" w:space="0" w:color="auto"/>
        <w:left w:val="none" w:sz="0" w:space="0" w:color="auto"/>
        <w:bottom w:val="none" w:sz="0" w:space="0" w:color="auto"/>
        <w:right w:val="none" w:sz="0" w:space="0" w:color="auto"/>
      </w:divBdr>
    </w:div>
    <w:div w:id="87770985">
      <w:bodyDiv w:val="1"/>
      <w:marLeft w:val="0"/>
      <w:marRight w:val="0"/>
      <w:marTop w:val="0"/>
      <w:marBottom w:val="0"/>
      <w:divBdr>
        <w:top w:val="none" w:sz="0" w:space="0" w:color="auto"/>
        <w:left w:val="none" w:sz="0" w:space="0" w:color="auto"/>
        <w:bottom w:val="none" w:sz="0" w:space="0" w:color="auto"/>
        <w:right w:val="none" w:sz="0" w:space="0" w:color="auto"/>
      </w:divBdr>
    </w:div>
    <w:div w:id="92362701">
      <w:bodyDiv w:val="1"/>
      <w:marLeft w:val="0"/>
      <w:marRight w:val="0"/>
      <w:marTop w:val="0"/>
      <w:marBottom w:val="0"/>
      <w:divBdr>
        <w:top w:val="none" w:sz="0" w:space="0" w:color="auto"/>
        <w:left w:val="none" w:sz="0" w:space="0" w:color="auto"/>
        <w:bottom w:val="none" w:sz="0" w:space="0" w:color="auto"/>
        <w:right w:val="none" w:sz="0" w:space="0" w:color="auto"/>
      </w:divBdr>
    </w:div>
    <w:div w:id="105849386">
      <w:bodyDiv w:val="1"/>
      <w:marLeft w:val="0"/>
      <w:marRight w:val="0"/>
      <w:marTop w:val="0"/>
      <w:marBottom w:val="0"/>
      <w:divBdr>
        <w:top w:val="none" w:sz="0" w:space="0" w:color="auto"/>
        <w:left w:val="none" w:sz="0" w:space="0" w:color="auto"/>
        <w:bottom w:val="none" w:sz="0" w:space="0" w:color="auto"/>
        <w:right w:val="none" w:sz="0" w:space="0" w:color="auto"/>
      </w:divBdr>
    </w:div>
    <w:div w:id="124154547">
      <w:bodyDiv w:val="1"/>
      <w:marLeft w:val="0"/>
      <w:marRight w:val="0"/>
      <w:marTop w:val="0"/>
      <w:marBottom w:val="0"/>
      <w:divBdr>
        <w:top w:val="none" w:sz="0" w:space="0" w:color="auto"/>
        <w:left w:val="none" w:sz="0" w:space="0" w:color="auto"/>
        <w:bottom w:val="none" w:sz="0" w:space="0" w:color="auto"/>
        <w:right w:val="none" w:sz="0" w:space="0" w:color="auto"/>
      </w:divBdr>
    </w:div>
    <w:div w:id="144207819">
      <w:bodyDiv w:val="1"/>
      <w:marLeft w:val="0"/>
      <w:marRight w:val="0"/>
      <w:marTop w:val="0"/>
      <w:marBottom w:val="0"/>
      <w:divBdr>
        <w:top w:val="none" w:sz="0" w:space="0" w:color="auto"/>
        <w:left w:val="none" w:sz="0" w:space="0" w:color="auto"/>
        <w:bottom w:val="none" w:sz="0" w:space="0" w:color="auto"/>
        <w:right w:val="none" w:sz="0" w:space="0" w:color="auto"/>
      </w:divBdr>
    </w:div>
    <w:div w:id="180511661">
      <w:bodyDiv w:val="1"/>
      <w:marLeft w:val="0"/>
      <w:marRight w:val="0"/>
      <w:marTop w:val="0"/>
      <w:marBottom w:val="0"/>
      <w:divBdr>
        <w:top w:val="none" w:sz="0" w:space="0" w:color="auto"/>
        <w:left w:val="none" w:sz="0" w:space="0" w:color="auto"/>
        <w:bottom w:val="none" w:sz="0" w:space="0" w:color="auto"/>
        <w:right w:val="none" w:sz="0" w:space="0" w:color="auto"/>
      </w:divBdr>
    </w:div>
    <w:div w:id="194512836">
      <w:bodyDiv w:val="1"/>
      <w:marLeft w:val="0"/>
      <w:marRight w:val="0"/>
      <w:marTop w:val="0"/>
      <w:marBottom w:val="0"/>
      <w:divBdr>
        <w:top w:val="none" w:sz="0" w:space="0" w:color="auto"/>
        <w:left w:val="none" w:sz="0" w:space="0" w:color="auto"/>
        <w:bottom w:val="none" w:sz="0" w:space="0" w:color="auto"/>
        <w:right w:val="none" w:sz="0" w:space="0" w:color="auto"/>
      </w:divBdr>
    </w:div>
    <w:div w:id="286157794">
      <w:bodyDiv w:val="1"/>
      <w:marLeft w:val="0"/>
      <w:marRight w:val="0"/>
      <w:marTop w:val="0"/>
      <w:marBottom w:val="0"/>
      <w:divBdr>
        <w:top w:val="none" w:sz="0" w:space="0" w:color="auto"/>
        <w:left w:val="none" w:sz="0" w:space="0" w:color="auto"/>
        <w:bottom w:val="none" w:sz="0" w:space="0" w:color="auto"/>
        <w:right w:val="none" w:sz="0" w:space="0" w:color="auto"/>
      </w:divBdr>
    </w:div>
    <w:div w:id="327513801">
      <w:bodyDiv w:val="1"/>
      <w:marLeft w:val="0"/>
      <w:marRight w:val="0"/>
      <w:marTop w:val="0"/>
      <w:marBottom w:val="0"/>
      <w:divBdr>
        <w:top w:val="none" w:sz="0" w:space="0" w:color="auto"/>
        <w:left w:val="none" w:sz="0" w:space="0" w:color="auto"/>
        <w:bottom w:val="none" w:sz="0" w:space="0" w:color="auto"/>
        <w:right w:val="none" w:sz="0" w:space="0" w:color="auto"/>
      </w:divBdr>
    </w:div>
    <w:div w:id="341011766">
      <w:bodyDiv w:val="1"/>
      <w:marLeft w:val="0"/>
      <w:marRight w:val="0"/>
      <w:marTop w:val="0"/>
      <w:marBottom w:val="0"/>
      <w:divBdr>
        <w:top w:val="none" w:sz="0" w:space="0" w:color="auto"/>
        <w:left w:val="none" w:sz="0" w:space="0" w:color="auto"/>
        <w:bottom w:val="none" w:sz="0" w:space="0" w:color="auto"/>
        <w:right w:val="none" w:sz="0" w:space="0" w:color="auto"/>
      </w:divBdr>
    </w:div>
    <w:div w:id="374474317">
      <w:bodyDiv w:val="1"/>
      <w:marLeft w:val="0"/>
      <w:marRight w:val="0"/>
      <w:marTop w:val="0"/>
      <w:marBottom w:val="0"/>
      <w:divBdr>
        <w:top w:val="none" w:sz="0" w:space="0" w:color="auto"/>
        <w:left w:val="none" w:sz="0" w:space="0" w:color="auto"/>
        <w:bottom w:val="none" w:sz="0" w:space="0" w:color="auto"/>
        <w:right w:val="none" w:sz="0" w:space="0" w:color="auto"/>
      </w:divBdr>
    </w:div>
    <w:div w:id="379943958">
      <w:bodyDiv w:val="1"/>
      <w:marLeft w:val="0"/>
      <w:marRight w:val="0"/>
      <w:marTop w:val="0"/>
      <w:marBottom w:val="0"/>
      <w:divBdr>
        <w:top w:val="none" w:sz="0" w:space="0" w:color="auto"/>
        <w:left w:val="none" w:sz="0" w:space="0" w:color="auto"/>
        <w:bottom w:val="none" w:sz="0" w:space="0" w:color="auto"/>
        <w:right w:val="none" w:sz="0" w:space="0" w:color="auto"/>
      </w:divBdr>
    </w:div>
    <w:div w:id="386802677">
      <w:bodyDiv w:val="1"/>
      <w:marLeft w:val="0"/>
      <w:marRight w:val="0"/>
      <w:marTop w:val="0"/>
      <w:marBottom w:val="0"/>
      <w:divBdr>
        <w:top w:val="none" w:sz="0" w:space="0" w:color="auto"/>
        <w:left w:val="none" w:sz="0" w:space="0" w:color="auto"/>
        <w:bottom w:val="none" w:sz="0" w:space="0" w:color="auto"/>
        <w:right w:val="none" w:sz="0" w:space="0" w:color="auto"/>
      </w:divBdr>
    </w:div>
    <w:div w:id="388381300">
      <w:bodyDiv w:val="1"/>
      <w:marLeft w:val="0"/>
      <w:marRight w:val="0"/>
      <w:marTop w:val="0"/>
      <w:marBottom w:val="0"/>
      <w:divBdr>
        <w:top w:val="none" w:sz="0" w:space="0" w:color="auto"/>
        <w:left w:val="none" w:sz="0" w:space="0" w:color="auto"/>
        <w:bottom w:val="none" w:sz="0" w:space="0" w:color="auto"/>
        <w:right w:val="none" w:sz="0" w:space="0" w:color="auto"/>
      </w:divBdr>
    </w:div>
    <w:div w:id="417217322">
      <w:bodyDiv w:val="1"/>
      <w:marLeft w:val="0"/>
      <w:marRight w:val="0"/>
      <w:marTop w:val="0"/>
      <w:marBottom w:val="0"/>
      <w:divBdr>
        <w:top w:val="none" w:sz="0" w:space="0" w:color="auto"/>
        <w:left w:val="none" w:sz="0" w:space="0" w:color="auto"/>
        <w:bottom w:val="none" w:sz="0" w:space="0" w:color="auto"/>
        <w:right w:val="none" w:sz="0" w:space="0" w:color="auto"/>
      </w:divBdr>
    </w:div>
    <w:div w:id="421032252">
      <w:bodyDiv w:val="1"/>
      <w:marLeft w:val="0"/>
      <w:marRight w:val="0"/>
      <w:marTop w:val="0"/>
      <w:marBottom w:val="0"/>
      <w:divBdr>
        <w:top w:val="none" w:sz="0" w:space="0" w:color="auto"/>
        <w:left w:val="none" w:sz="0" w:space="0" w:color="auto"/>
        <w:bottom w:val="none" w:sz="0" w:space="0" w:color="auto"/>
        <w:right w:val="none" w:sz="0" w:space="0" w:color="auto"/>
      </w:divBdr>
    </w:div>
    <w:div w:id="421337148">
      <w:bodyDiv w:val="1"/>
      <w:marLeft w:val="0"/>
      <w:marRight w:val="0"/>
      <w:marTop w:val="0"/>
      <w:marBottom w:val="0"/>
      <w:divBdr>
        <w:top w:val="none" w:sz="0" w:space="0" w:color="auto"/>
        <w:left w:val="none" w:sz="0" w:space="0" w:color="auto"/>
        <w:bottom w:val="none" w:sz="0" w:space="0" w:color="auto"/>
        <w:right w:val="none" w:sz="0" w:space="0" w:color="auto"/>
      </w:divBdr>
    </w:div>
    <w:div w:id="440759009">
      <w:bodyDiv w:val="1"/>
      <w:marLeft w:val="0"/>
      <w:marRight w:val="0"/>
      <w:marTop w:val="0"/>
      <w:marBottom w:val="0"/>
      <w:divBdr>
        <w:top w:val="none" w:sz="0" w:space="0" w:color="auto"/>
        <w:left w:val="none" w:sz="0" w:space="0" w:color="auto"/>
        <w:bottom w:val="none" w:sz="0" w:space="0" w:color="auto"/>
        <w:right w:val="none" w:sz="0" w:space="0" w:color="auto"/>
      </w:divBdr>
    </w:div>
    <w:div w:id="463230073">
      <w:bodyDiv w:val="1"/>
      <w:marLeft w:val="0"/>
      <w:marRight w:val="0"/>
      <w:marTop w:val="0"/>
      <w:marBottom w:val="0"/>
      <w:divBdr>
        <w:top w:val="none" w:sz="0" w:space="0" w:color="auto"/>
        <w:left w:val="none" w:sz="0" w:space="0" w:color="auto"/>
        <w:bottom w:val="none" w:sz="0" w:space="0" w:color="auto"/>
        <w:right w:val="none" w:sz="0" w:space="0" w:color="auto"/>
      </w:divBdr>
    </w:div>
    <w:div w:id="476260266">
      <w:bodyDiv w:val="1"/>
      <w:marLeft w:val="0"/>
      <w:marRight w:val="0"/>
      <w:marTop w:val="0"/>
      <w:marBottom w:val="0"/>
      <w:divBdr>
        <w:top w:val="none" w:sz="0" w:space="0" w:color="auto"/>
        <w:left w:val="none" w:sz="0" w:space="0" w:color="auto"/>
        <w:bottom w:val="none" w:sz="0" w:space="0" w:color="auto"/>
        <w:right w:val="none" w:sz="0" w:space="0" w:color="auto"/>
      </w:divBdr>
    </w:div>
    <w:div w:id="504366805">
      <w:bodyDiv w:val="1"/>
      <w:marLeft w:val="0"/>
      <w:marRight w:val="0"/>
      <w:marTop w:val="0"/>
      <w:marBottom w:val="0"/>
      <w:divBdr>
        <w:top w:val="none" w:sz="0" w:space="0" w:color="auto"/>
        <w:left w:val="none" w:sz="0" w:space="0" w:color="auto"/>
        <w:bottom w:val="none" w:sz="0" w:space="0" w:color="auto"/>
        <w:right w:val="none" w:sz="0" w:space="0" w:color="auto"/>
      </w:divBdr>
    </w:div>
    <w:div w:id="506558497">
      <w:bodyDiv w:val="1"/>
      <w:marLeft w:val="0"/>
      <w:marRight w:val="0"/>
      <w:marTop w:val="0"/>
      <w:marBottom w:val="0"/>
      <w:divBdr>
        <w:top w:val="none" w:sz="0" w:space="0" w:color="auto"/>
        <w:left w:val="none" w:sz="0" w:space="0" w:color="auto"/>
        <w:bottom w:val="none" w:sz="0" w:space="0" w:color="auto"/>
        <w:right w:val="none" w:sz="0" w:space="0" w:color="auto"/>
      </w:divBdr>
    </w:div>
    <w:div w:id="550533922">
      <w:bodyDiv w:val="1"/>
      <w:marLeft w:val="0"/>
      <w:marRight w:val="0"/>
      <w:marTop w:val="0"/>
      <w:marBottom w:val="0"/>
      <w:divBdr>
        <w:top w:val="none" w:sz="0" w:space="0" w:color="auto"/>
        <w:left w:val="none" w:sz="0" w:space="0" w:color="auto"/>
        <w:bottom w:val="none" w:sz="0" w:space="0" w:color="auto"/>
        <w:right w:val="none" w:sz="0" w:space="0" w:color="auto"/>
      </w:divBdr>
    </w:div>
    <w:div w:id="555286707">
      <w:bodyDiv w:val="1"/>
      <w:marLeft w:val="0"/>
      <w:marRight w:val="0"/>
      <w:marTop w:val="0"/>
      <w:marBottom w:val="0"/>
      <w:divBdr>
        <w:top w:val="none" w:sz="0" w:space="0" w:color="auto"/>
        <w:left w:val="none" w:sz="0" w:space="0" w:color="auto"/>
        <w:bottom w:val="none" w:sz="0" w:space="0" w:color="auto"/>
        <w:right w:val="none" w:sz="0" w:space="0" w:color="auto"/>
      </w:divBdr>
    </w:div>
    <w:div w:id="584459399">
      <w:bodyDiv w:val="1"/>
      <w:marLeft w:val="0"/>
      <w:marRight w:val="0"/>
      <w:marTop w:val="0"/>
      <w:marBottom w:val="0"/>
      <w:divBdr>
        <w:top w:val="none" w:sz="0" w:space="0" w:color="auto"/>
        <w:left w:val="none" w:sz="0" w:space="0" w:color="auto"/>
        <w:bottom w:val="none" w:sz="0" w:space="0" w:color="auto"/>
        <w:right w:val="none" w:sz="0" w:space="0" w:color="auto"/>
      </w:divBdr>
    </w:div>
    <w:div w:id="586841271">
      <w:bodyDiv w:val="1"/>
      <w:marLeft w:val="0"/>
      <w:marRight w:val="0"/>
      <w:marTop w:val="0"/>
      <w:marBottom w:val="0"/>
      <w:divBdr>
        <w:top w:val="none" w:sz="0" w:space="0" w:color="auto"/>
        <w:left w:val="none" w:sz="0" w:space="0" w:color="auto"/>
        <w:bottom w:val="none" w:sz="0" w:space="0" w:color="auto"/>
        <w:right w:val="none" w:sz="0" w:space="0" w:color="auto"/>
      </w:divBdr>
    </w:div>
    <w:div w:id="614947512">
      <w:bodyDiv w:val="1"/>
      <w:marLeft w:val="0"/>
      <w:marRight w:val="0"/>
      <w:marTop w:val="0"/>
      <w:marBottom w:val="0"/>
      <w:divBdr>
        <w:top w:val="none" w:sz="0" w:space="0" w:color="auto"/>
        <w:left w:val="none" w:sz="0" w:space="0" w:color="auto"/>
        <w:bottom w:val="none" w:sz="0" w:space="0" w:color="auto"/>
        <w:right w:val="none" w:sz="0" w:space="0" w:color="auto"/>
      </w:divBdr>
    </w:div>
    <w:div w:id="616184399">
      <w:bodyDiv w:val="1"/>
      <w:marLeft w:val="0"/>
      <w:marRight w:val="0"/>
      <w:marTop w:val="0"/>
      <w:marBottom w:val="0"/>
      <w:divBdr>
        <w:top w:val="none" w:sz="0" w:space="0" w:color="auto"/>
        <w:left w:val="none" w:sz="0" w:space="0" w:color="auto"/>
        <w:bottom w:val="none" w:sz="0" w:space="0" w:color="auto"/>
        <w:right w:val="none" w:sz="0" w:space="0" w:color="auto"/>
      </w:divBdr>
    </w:div>
    <w:div w:id="627131844">
      <w:bodyDiv w:val="1"/>
      <w:marLeft w:val="0"/>
      <w:marRight w:val="0"/>
      <w:marTop w:val="0"/>
      <w:marBottom w:val="0"/>
      <w:divBdr>
        <w:top w:val="none" w:sz="0" w:space="0" w:color="auto"/>
        <w:left w:val="none" w:sz="0" w:space="0" w:color="auto"/>
        <w:bottom w:val="none" w:sz="0" w:space="0" w:color="auto"/>
        <w:right w:val="none" w:sz="0" w:space="0" w:color="auto"/>
      </w:divBdr>
    </w:div>
    <w:div w:id="633870716">
      <w:bodyDiv w:val="1"/>
      <w:marLeft w:val="0"/>
      <w:marRight w:val="0"/>
      <w:marTop w:val="0"/>
      <w:marBottom w:val="0"/>
      <w:divBdr>
        <w:top w:val="none" w:sz="0" w:space="0" w:color="auto"/>
        <w:left w:val="none" w:sz="0" w:space="0" w:color="auto"/>
        <w:bottom w:val="none" w:sz="0" w:space="0" w:color="auto"/>
        <w:right w:val="none" w:sz="0" w:space="0" w:color="auto"/>
      </w:divBdr>
    </w:div>
    <w:div w:id="642587411">
      <w:bodyDiv w:val="1"/>
      <w:marLeft w:val="0"/>
      <w:marRight w:val="0"/>
      <w:marTop w:val="0"/>
      <w:marBottom w:val="0"/>
      <w:divBdr>
        <w:top w:val="none" w:sz="0" w:space="0" w:color="auto"/>
        <w:left w:val="none" w:sz="0" w:space="0" w:color="auto"/>
        <w:bottom w:val="none" w:sz="0" w:space="0" w:color="auto"/>
        <w:right w:val="none" w:sz="0" w:space="0" w:color="auto"/>
      </w:divBdr>
    </w:div>
    <w:div w:id="667633578">
      <w:bodyDiv w:val="1"/>
      <w:marLeft w:val="0"/>
      <w:marRight w:val="0"/>
      <w:marTop w:val="0"/>
      <w:marBottom w:val="0"/>
      <w:divBdr>
        <w:top w:val="none" w:sz="0" w:space="0" w:color="auto"/>
        <w:left w:val="none" w:sz="0" w:space="0" w:color="auto"/>
        <w:bottom w:val="none" w:sz="0" w:space="0" w:color="auto"/>
        <w:right w:val="none" w:sz="0" w:space="0" w:color="auto"/>
      </w:divBdr>
    </w:div>
    <w:div w:id="681783453">
      <w:bodyDiv w:val="1"/>
      <w:marLeft w:val="0"/>
      <w:marRight w:val="0"/>
      <w:marTop w:val="0"/>
      <w:marBottom w:val="0"/>
      <w:divBdr>
        <w:top w:val="none" w:sz="0" w:space="0" w:color="auto"/>
        <w:left w:val="none" w:sz="0" w:space="0" w:color="auto"/>
        <w:bottom w:val="none" w:sz="0" w:space="0" w:color="auto"/>
        <w:right w:val="none" w:sz="0" w:space="0" w:color="auto"/>
      </w:divBdr>
    </w:div>
    <w:div w:id="735713117">
      <w:bodyDiv w:val="1"/>
      <w:marLeft w:val="0"/>
      <w:marRight w:val="0"/>
      <w:marTop w:val="0"/>
      <w:marBottom w:val="0"/>
      <w:divBdr>
        <w:top w:val="none" w:sz="0" w:space="0" w:color="auto"/>
        <w:left w:val="none" w:sz="0" w:space="0" w:color="auto"/>
        <w:bottom w:val="none" w:sz="0" w:space="0" w:color="auto"/>
        <w:right w:val="none" w:sz="0" w:space="0" w:color="auto"/>
      </w:divBdr>
    </w:div>
    <w:div w:id="747533345">
      <w:bodyDiv w:val="1"/>
      <w:marLeft w:val="0"/>
      <w:marRight w:val="0"/>
      <w:marTop w:val="0"/>
      <w:marBottom w:val="0"/>
      <w:divBdr>
        <w:top w:val="none" w:sz="0" w:space="0" w:color="auto"/>
        <w:left w:val="none" w:sz="0" w:space="0" w:color="auto"/>
        <w:bottom w:val="none" w:sz="0" w:space="0" w:color="auto"/>
        <w:right w:val="none" w:sz="0" w:space="0" w:color="auto"/>
      </w:divBdr>
    </w:div>
    <w:div w:id="752514528">
      <w:bodyDiv w:val="1"/>
      <w:marLeft w:val="0"/>
      <w:marRight w:val="0"/>
      <w:marTop w:val="0"/>
      <w:marBottom w:val="0"/>
      <w:divBdr>
        <w:top w:val="none" w:sz="0" w:space="0" w:color="auto"/>
        <w:left w:val="none" w:sz="0" w:space="0" w:color="auto"/>
        <w:bottom w:val="none" w:sz="0" w:space="0" w:color="auto"/>
        <w:right w:val="none" w:sz="0" w:space="0" w:color="auto"/>
      </w:divBdr>
    </w:div>
    <w:div w:id="756554925">
      <w:bodyDiv w:val="1"/>
      <w:marLeft w:val="0"/>
      <w:marRight w:val="0"/>
      <w:marTop w:val="0"/>
      <w:marBottom w:val="0"/>
      <w:divBdr>
        <w:top w:val="none" w:sz="0" w:space="0" w:color="auto"/>
        <w:left w:val="none" w:sz="0" w:space="0" w:color="auto"/>
        <w:bottom w:val="none" w:sz="0" w:space="0" w:color="auto"/>
        <w:right w:val="none" w:sz="0" w:space="0" w:color="auto"/>
      </w:divBdr>
    </w:div>
    <w:div w:id="763575300">
      <w:bodyDiv w:val="1"/>
      <w:marLeft w:val="0"/>
      <w:marRight w:val="0"/>
      <w:marTop w:val="0"/>
      <w:marBottom w:val="0"/>
      <w:divBdr>
        <w:top w:val="none" w:sz="0" w:space="0" w:color="auto"/>
        <w:left w:val="none" w:sz="0" w:space="0" w:color="auto"/>
        <w:bottom w:val="none" w:sz="0" w:space="0" w:color="auto"/>
        <w:right w:val="none" w:sz="0" w:space="0" w:color="auto"/>
      </w:divBdr>
    </w:div>
    <w:div w:id="788819260">
      <w:bodyDiv w:val="1"/>
      <w:marLeft w:val="0"/>
      <w:marRight w:val="0"/>
      <w:marTop w:val="0"/>
      <w:marBottom w:val="0"/>
      <w:divBdr>
        <w:top w:val="none" w:sz="0" w:space="0" w:color="auto"/>
        <w:left w:val="none" w:sz="0" w:space="0" w:color="auto"/>
        <w:bottom w:val="none" w:sz="0" w:space="0" w:color="auto"/>
        <w:right w:val="none" w:sz="0" w:space="0" w:color="auto"/>
      </w:divBdr>
    </w:div>
    <w:div w:id="836772623">
      <w:bodyDiv w:val="1"/>
      <w:marLeft w:val="0"/>
      <w:marRight w:val="0"/>
      <w:marTop w:val="0"/>
      <w:marBottom w:val="0"/>
      <w:divBdr>
        <w:top w:val="none" w:sz="0" w:space="0" w:color="auto"/>
        <w:left w:val="none" w:sz="0" w:space="0" w:color="auto"/>
        <w:bottom w:val="none" w:sz="0" w:space="0" w:color="auto"/>
        <w:right w:val="none" w:sz="0" w:space="0" w:color="auto"/>
      </w:divBdr>
    </w:div>
    <w:div w:id="860170795">
      <w:bodyDiv w:val="1"/>
      <w:marLeft w:val="0"/>
      <w:marRight w:val="0"/>
      <w:marTop w:val="0"/>
      <w:marBottom w:val="0"/>
      <w:divBdr>
        <w:top w:val="none" w:sz="0" w:space="0" w:color="auto"/>
        <w:left w:val="none" w:sz="0" w:space="0" w:color="auto"/>
        <w:bottom w:val="none" w:sz="0" w:space="0" w:color="auto"/>
        <w:right w:val="none" w:sz="0" w:space="0" w:color="auto"/>
      </w:divBdr>
    </w:div>
    <w:div w:id="873150956">
      <w:bodyDiv w:val="1"/>
      <w:marLeft w:val="0"/>
      <w:marRight w:val="0"/>
      <w:marTop w:val="0"/>
      <w:marBottom w:val="0"/>
      <w:divBdr>
        <w:top w:val="none" w:sz="0" w:space="0" w:color="auto"/>
        <w:left w:val="none" w:sz="0" w:space="0" w:color="auto"/>
        <w:bottom w:val="none" w:sz="0" w:space="0" w:color="auto"/>
        <w:right w:val="none" w:sz="0" w:space="0" w:color="auto"/>
      </w:divBdr>
    </w:div>
    <w:div w:id="883445199">
      <w:bodyDiv w:val="1"/>
      <w:marLeft w:val="0"/>
      <w:marRight w:val="0"/>
      <w:marTop w:val="0"/>
      <w:marBottom w:val="0"/>
      <w:divBdr>
        <w:top w:val="none" w:sz="0" w:space="0" w:color="auto"/>
        <w:left w:val="none" w:sz="0" w:space="0" w:color="auto"/>
        <w:bottom w:val="none" w:sz="0" w:space="0" w:color="auto"/>
        <w:right w:val="none" w:sz="0" w:space="0" w:color="auto"/>
      </w:divBdr>
    </w:div>
    <w:div w:id="884411624">
      <w:bodyDiv w:val="1"/>
      <w:marLeft w:val="0"/>
      <w:marRight w:val="0"/>
      <w:marTop w:val="0"/>
      <w:marBottom w:val="0"/>
      <w:divBdr>
        <w:top w:val="none" w:sz="0" w:space="0" w:color="auto"/>
        <w:left w:val="none" w:sz="0" w:space="0" w:color="auto"/>
        <w:bottom w:val="none" w:sz="0" w:space="0" w:color="auto"/>
        <w:right w:val="none" w:sz="0" w:space="0" w:color="auto"/>
      </w:divBdr>
    </w:div>
    <w:div w:id="924919061">
      <w:bodyDiv w:val="1"/>
      <w:marLeft w:val="0"/>
      <w:marRight w:val="0"/>
      <w:marTop w:val="0"/>
      <w:marBottom w:val="0"/>
      <w:divBdr>
        <w:top w:val="none" w:sz="0" w:space="0" w:color="auto"/>
        <w:left w:val="none" w:sz="0" w:space="0" w:color="auto"/>
        <w:bottom w:val="none" w:sz="0" w:space="0" w:color="auto"/>
        <w:right w:val="none" w:sz="0" w:space="0" w:color="auto"/>
      </w:divBdr>
    </w:div>
    <w:div w:id="993603325">
      <w:bodyDiv w:val="1"/>
      <w:marLeft w:val="0"/>
      <w:marRight w:val="0"/>
      <w:marTop w:val="0"/>
      <w:marBottom w:val="0"/>
      <w:divBdr>
        <w:top w:val="none" w:sz="0" w:space="0" w:color="auto"/>
        <w:left w:val="none" w:sz="0" w:space="0" w:color="auto"/>
        <w:bottom w:val="none" w:sz="0" w:space="0" w:color="auto"/>
        <w:right w:val="none" w:sz="0" w:space="0" w:color="auto"/>
      </w:divBdr>
    </w:div>
    <w:div w:id="1032808513">
      <w:bodyDiv w:val="1"/>
      <w:marLeft w:val="0"/>
      <w:marRight w:val="0"/>
      <w:marTop w:val="0"/>
      <w:marBottom w:val="0"/>
      <w:divBdr>
        <w:top w:val="none" w:sz="0" w:space="0" w:color="auto"/>
        <w:left w:val="none" w:sz="0" w:space="0" w:color="auto"/>
        <w:bottom w:val="none" w:sz="0" w:space="0" w:color="auto"/>
        <w:right w:val="none" w:sz="0" w:space="0" w:color="auto"/>
      </w:divBdr>
    </w:div>
    <w:div w:id="1036464060">
      <w:bodyDiv w:val="1"/>
      <w:marLeft w:val="0"/>
      <w:marRight w:val="0"/>
      <w:marTop w:val="0"/>
      <w:marBottom w:val="0"/>
      <w:divBdr>
        <w:top w:val="none" w:sz="0" w:space="0" w:color="auto"/>
        <w:left w:val="none" w:sz="0" w:space="0" w:color="auto"/>
        <w:bottom w:val="none" w:sz="0" w:space="0" w:color="auto"/>
        <w:right w:val="none" w:sz="0" w:space="0" w:color="auto"/>
      </w:divBdr>
    </w:div>
    <w:div w:id="1082265338">
      <w:bodyDiv w:val="1"/>
      <w:marLeft w:val="0"/>
      <w:marRight w:val="0"/>
      <w:marTop w:val="0"/>
      <w:marBottom w:val="0"/>
      <w:divBdr>
        <w:top w:val="none" w:sz="0" w:space="0" w:color="auto"/>
        <w:left w:val="none" w:sz="0" w:space="0" w:color="auto"/>
        <w:bottom w:val="none" w:sz="0" w:space="0" w:color="auto"/>
        <w:right w:val="none" w:sz="0" w:space="0" w:color="auto"/>
      </w:divBdr>
    </w:div>
    <w:div w:id="1104151732">
      <w:bodyDiv w:val="1"/>
      <w:marLeft w:val="0"/>
      <w:marRight w:val="0"/>
      <w:marTop w:val="0"/>
      <w:marBottom w:val="0"/>
      <w:divBdr>
        <w:top w:val="none" w:sz="0" w:space="0" w:color="auto"/>
        <w:left w:val="none" w:sz="0" w:space="0" w:color="auto"/>
        <w:bottom w:val="none" w:sz="0" w:space="0" w:color="auto"/>
        <w:right w:val="none" w:sz="0" w:space="0" w:color="auto"/>
      </w:divBdr>
    </w:div>
    <w:div w:id="1117602990">
      <w:bodyDiv w:val="1"/>
      <w:marLeft w:val="0"/>
      <w:marRight w:val="0"/>
      <w:marTop w:val="0"/>
      <w:marBottom w:val="0"/>
      <w:divBdr>
        <w:top w:val="none" w:sz="0" w:space="0" w:color="auto"/>
        <w:left w:val="none" w:sz="0" w:space="0" w:color="auto"/>
        <w:bottom w:val="none" w:sz="0" w:space="0" w:color="auto"/>
        <w:right w:val="none" w:sz="0" w:space="0" w:color="auto"/>
      </w:divBdr>
    </w:div>
    <w:div w:id="1140804446">
      <w:bodyDiv w:val="1"/>
      <w:marLeft w:val="0"/>
      <w:marRight w:val="0"/>
      <w:marTop w:val="0"/>
      <w:marBottom w:val="0"/>
      <w:divBdr>
        <w:top w:val="none" w:sz="0" w:space="0" w:color="auto"/>
        <w:left w:val="none" w:sz="0" w:space="0" w:color="auto"/>
        <w:bottom w:val="none" w:sz="0" w:space="0" w:color="auto"/>
        <w:right w:val="none" w:sz="0" w:space="0" w:color="auto"/>
      </w:divBdr>
    </w:div>
    <w:div w:id="1143616726">
      <w:bodyDiv w:val="1"/>
      <w:marLeft w:val="0"/>
      <w:marRight w:val="0"/>
      <w:marTop w:val="0"/>
      <w:marBottom w:val="0"/>
      <w:divBdr>
        <w:top w:val="none" w:sz="0" w:space="0" w:color="auto"/>
        <w:left w:val="none" w:sz="0" w:space="0" w:color="auto"/>
        <w:bottom w:val="none" w:sz="0" w:space="0" w:color="auto"/>
        <w:right w:val="none" w:sz="0" w:space="0" w:color="auto"/>
      </w:divBdr>
    </w:div>
    <w:div w:id="1145006107">
      <w:bodyDiv w:val="1"/>
      <w:marLeft w:val="0"/>
      <w:marRight w:val="0"/>
      <w:marTop w:val="0"/>
      <w:marBottom w:val="0"/>
      <w:divBdr>
        <w:top w:val="none" w:sz="0" w:space="0" w:color="auto"/>
        <w:left w:val="none" w:sz="0" w:space="0" w:color="auto"/>
        <w:bottom w:val="none" w:sz="0" w:space="0" w:color="auto"/>
        <w:right w:val="none" w:sz="0" w:space="0" w:color="auto"/>
      </w:divBdr>
    </w:div>
    <w:div w:id="1155335100">
      <w:bodyDiv w:val="1"/>
      <w:marLeft w:val="0"/>
      <w:marRight w:val="0"/>
      <w:marTop w:val="0"/>
      <w:marBottom w:val="0"/>
      <w:divBdr>
        <w:top w:val="none" w:sz="0" w:space="0" w:color="auto"/>
        <w:left w:val="none" w:sz="0" w:space="0" w:color="auto"/>
        <w:bottom w:val="none" w:sz="0" w:space="0" w:color="auto"/>
        <w:right w:val="none" w:sz="0" w:space="0" w:color="auto"/>
      </w:divBdr>
    </w:div>
    <w:div w:id="1162937221">
      <w:bodyDiv w:val="1"/>
      <w:marLeft w:val="0"/>
      <w:marRight w:val="0"/>
      <w:marTop w:val="0"/>
      <w:marBottom w:val="0"/>
      <w:divBdr>
        <w:top w:val="none" w:sz="0" w:space="0" w:color="auto"/>
        <w:left w:val="none" w:sz="0" w:space="0" w:color="auto"/>
        <w:bottom w:val="none" w:sz="0" w:space="0" w:color="auto"/>
        <w:right w:val="none" w:sz="0" w:space="0" w:color="auto"/>
      </w:divBdr>
    </w:div>
    <w:div w:id="1179276113">
      <w:bodyDiv w:val="1"/>
      <w:marLeft w:val="0"/>
      <w:marRight w:val="0"/>
      <w:marTop w:val="0"/>
      <w:marBottom w:val="0"/>
      <w:divBdr>
        <w:top w:val="none" w:sz="0" w:space="0" w:color="auto"/>
        <w:left w:val="none" w:sz="0" w:space="0" w:color="auto"/>
        <w:bottom w:val="none" w:sz="0" w:space="0" w:color="auto"/>
        <w:right w:val="none" w:sz="0" w:space="0" w:color="auto"/>
      </w:divBdr>
    </w:div>
    <w:div w:id="1212420236">
      <w:bodyDiv w:val="1"/>
      <w:marLeft w:val="0"/>
      <w:marRight w:val="0"/>
      <w:marTop w:val="0"/>
      <w:marBottom w:val="0"/>
      <w:divBdr>
        <w:top w:val="none" w:sz="0" w:space="0" w:color="auto"/>
        <w:left w:val="none" w:sz="0" w:space="0" w:color="auto"/>
        <w:bottom w:val="none" w:sz="0" w:space="0" w:color="auto"/>
        <w:right w:val="none" w:sz="0" w:space="0" w:color="auto"/>
      </w:divBdr>
    </w:div>
    <w:div w:id="1226791977">
      <w:bodyDiv w:val="1"/>
      <w:marLeft w:val="0"/>
      <w:marRight w:val="0"/>
      <w:marTop w:val="0"/>
      <w:marBottom w:val="0"/>
      <w:divBdr>
        <w:top w:val="none" w:sz="0" w:space="0" w:color="auto"/>
        <w:left w:val="none" w:sz="0" w:space="0" w:color="auto"/>
        <w:bottom w:val="none" w:sz="0" w:space="0" w:color="auto"/>
        <w:right w:val="none" w:sz="0" w:space="0" w:color="auto"/>
      </w:divBdr>
    </w:div>
    <w:div w:id="1253197090">
      <w:bodyDiv w:val="1"/>
      <w:marLeft w:val="0"/>
      <w:marRight w:val="0"/>
      <w:marTop w:val="0"/>
      <w:marBottom w:val="0"/>
      <w:divBdr>
        <w:top w:val="none" w:sz="0" w:space="0" w:color="auto"/>
        <w:left w:val="none" w:sz="0" w:space="0" w:color="auto"/>
        <w:bottom w:val="none" w:sz="0" w:space="0" w:color="auto"/>
        <w:right w:val="none" w:sz="0" w:space="0" w:color="auto"/>
      </w:divBdr>
    </w:div>
    <w:div w:id="1345669677">
      <w:bodyDiv w:val="1"/>
      <w:marLeft w:val="0"/>
      <w:marRight w:val="0"/>
      <w:marTop w:val="0"/>
      <w:marBottom w:val="0"/>
      <w:divBdr>
        <w:top w:val="none" w:sz="0" w:space="0" w:color="auto"/>
        <w:left w:val="none" w:sz="0" w:space="0" w:color="auto"/>
        <w:bottom w:val="none" w:sz="0" w:space="0" w:color="auto"/>
        <w:right w:val="none" w:sz="0" w:space="0" w:color="auto"/>
      </w:divBdr>
    </w:div>
    <w:div w:id="1354115820">
      <w:bodyDiv w:val="1"/>
      <w:marLeft w:val="0"/>
      <w:marRight w:val="0"/>
      <w:marTop w:val="0"/>
      <w:marBottom w:val="0"/>
      <w:divBdr>
        <w:top w:val="none" w:sz="0" w:space="0" w:color="auto"/>
        <w:left w:val="none" w:sz="0" w:space="0" w:color="auto"/>
        <w:bottom w:val="none" w:sz="0" w:space="0" w:color="auto"/>
        <w:right w:val="none" w:sz="0" w:space="0" w:color="auto"/>
      </w:divBdr>
    </w:div>
    <w:div w:id="1411997356">
      <w:bodyDiv w:val="1"/>
      <w:marLeft w:val="0"/>
      <w:marRight w:val="0"/>
      <w:marTop w:val="0"/>
      <w:marBottom w:val="0"/>
      <w:divBdr>
        <w:top w:val="none" w:sz="0" w:space="0" w:color="auto"/>
        <w:left w:val="none" w:sz="0" w:space="0" w:color="auto"/>
        <w:bottom w:val="none" w:sz="0" w:space="0" w:color="auto"/>
        <w:right w:val="none" w:sz="0" w:space="0" w:color="auto"/>
      </w:divBdr>
    </w:div>
    <w:div w:id="1452475982">
      <w:bodyDiv w:val="1"/>
      <w:marLeft w:val="0"/>
      <w:marRight w:val="0"/>
      <w:marTop w:val="0"/>
      <w:marBottom w:val="0"/>
      <w:divBdr>
        <w:top w:val="none" w:sz="0" w:space="0" w:color="auto"/>
        <w:left w:val="none" w:sz="0" w:space="0" w:color="auto"/>
        <w:bottom w:val="none" w:sz="0" w:space="0" w:color="auto"/>
        <w:right w:val="none" w:sz="0" w:space="0" w:color="auto"/>
      </w:divBdr>
    </w:div>
    <w:div w:id="1456172529">
      <w:bodyDiv w:val="1"/>
      <w:marLeft w:val="0"/>
      <w:marRight w:val="0"/>
      <w:marTop w:val="0"/>
      <w:marBottom w:val="0"/>
      <w:divBdr>
        <w:top w:val="none" w:sz="0" w:space="0" w:color="auto"/>
        <w:left w:val="none" w:sz="0" w:space="0" w:color="auto"/>
        <w:bottom w:val="none" w:sz="0" w:space="0" w:color="auto"/>
        <w:right w:val="none" w:sz="0" w:space="0" w:color="auto"/>
      </w:divBdr>
    </w:div>
    <w:div w:id="1479416322">
      <w:bodyDiv w:val="1"/>
      <w:marLeft w:val="0"/>
      <w:marRight w:val="0"/>
      <w:marTop w:val="0"/>
      <w:marBottom w:val="0"/>
      <w:divBdr>
        <w:top w:val="none" w:sz="0" w:space="0" w:color="auto"/>
        <w:left w:val="none" w:sz="0" w:space="0" w:color="auto"/>
        <w:bottom w:val="none" w:sz="0" w:space="0" w:color="auto"/>
        <w:right w:val="none" w:sz="0" w:space="0" w:color="auto"/>
      </w:divBdr>
    </w:div>
    <w:div w:id="1491824583">
      <w:bodyDiv w:val="1"/>
      <w:marLeft w:val="0"/>
      <w:marRight w:val="0"/>
      <w:marTop w:val="0"/>
      <w:marBottom w:val="0"/>
      <w:divBdr>
        <w:top w:val="none" w:sz="0" w:space="0" w:color="auto"/>
        <w:left w:val="none" w:sz="0" w:space="0" w:color="auto"/>
        <w:bottom w:val="none" w:sz="0" w:space="0" w:color="auto"/>
        <w:right w:val="none" w:sz="0" w:space="0" w:color="auto"/>
      </w:divBdr>
    </w:div>
    <w:div w:id="1506899041">
      <w:bodyDiv w:val="1"/>
      <w:marLeft w:val="0"/>
      <w:marRight w:val="0"/>
      <w:marTop w:val="0"/>
      <w:marBottom w:val="0"/>
      <w:divBdr>
        <w:top w:val="none" w:sz="0" w:space="0" w:color="auto"/>
        <w:left w:val="none" w:sz="0" w:space="0" w:color="auto"/>
        <w:bottom w:val="none" w:sz="0" w:space="0" w:color="auto"/>
        <w:right w:val="none" w:sz="0" w:space="0" w:color="auto"/>
      </w:divBdr>
    </w:div>
    <w:div w:id="1617324378">
      <w:bodyDiv w:val="1"/>
      <w:marLeft w:val="0"/>
      <w:marRight w:val="0"/>
      <w:marTop w:val="0"/>
      <w:marBottom w:val="0"/>
      <w:divBdr>
        <w:top w:val="none" w:sz="0" w:space="0" w:color="auto"/>
        <w:left w:val="none" w:sz="0" w:space="0" w:color="auto"/>
        <w:bottom w:val="none" w:sz="0" w:space="0" w:color="auto"/>
        <w:right w:val="none" w:sz="0" w:space="0" w:color="auto"/>
      </w:divBdr>
    </w:div>
    <w:div w:id="1627545797">
      <w:bodyDiv w:val="1"/>
      <w:marLeft w:val="0"/>
      <w:marRight w:val="0"/>
      <w:marTop w:val="0"/>
      <w:marBottom w:val="0"/>
      <w:divBdr>
        <w:top w:val="none" w:sz="0" w:space="0" w:color="auto"/>
        <w:left w:val="none" w:sz="0" w:space="0" w:color="auto"/>
        <w:bottom w:val="none" w:sz="0" w:space="0" w:color="auto"/>
        <w:right w:val="none" w:sz="0" w:space="0" w:color="auto"/>
      </w:divBdr>
    </w:div>
    <w:div w:id="1627616938">
      <w:bodyDiv w:val="1"/>
      <w:marLeft w:val="0"/>
      <w:marRight w:val="0"/>
      <w:marTop w:val="0"/>
      <w:marBottom w:val="0"/>
      <w:divBdr>
        <w:top w:val="none" w:sz="0" w:space="0" w:color="auto"/>
        <w:left w:val="none" w:sz="0" w:space="0" w:color="auto"/>
        <w:bottom w:val="none" w:sz="0" w:space="0" w:color="auto"/>
        <w:right w:val="none" w:sz="0" w:space="0" w:color="auto"/>
      </w:divBdr>
    </w:div>
    <w:div w:id="1650741451">
      <w:bodyDiv w:val="1"/>
      <w:marLeft w:val="0"/>
      <w:marRight w:val="0"/>
      <w:marTop w:val="0"/>
      <w:marBottom w:val="0"/>
      <w:divBdr>
        <w:top w:val="none" w:sz="0" w:space="0" w:color="auto"/>
        <w:left w:val="none" w:sz="0" w:space="0" w:color="auto"/>
        <w:bottom w:val="none" w:sz="0" w:space="0" w:color="auto"/>
        <w:right w:val="none" w:sz="0" w:space="0" w:color="auto"/>
      </w:divBdr>
    </w:div>
    <w:div w:id="1686516950">
      <w:bodyDiv w:val="1"/>
      <w:marLeft w:val="0"/>
      <w:marRight w:val="0"/>
      <w:marTop w:val="0"/>
      <w:marBottom w:val="0"/>
      <w:divBdr>
        <w:top w:val="none" w:sz="0" w:space="0" w:color="auto"/>
        <w:left w:val="none" w:sz="0" w:space="0" w:color="auto"/>
        <w:bottom w:val="none" w:sz="0" w:space="0" w:color="auto"/>
        <w:right w:val="none" w:sz="0" w:space="0" w:color="auto"/>
      </w:divBdr>
    </w:div>
    <w:div w:id="1710256909">
      <w:bodyDiv w:val="1"/>
      <w:marLeft w:val="0"/>
      <w:marRight w:val="0"/>
      <w:marTop w:val="0"/>
      <w:marBottom w:val="0"/>
      <w:divBdr>
        <w:top w:val="none" w:sz="0" w:space="0" w:color="auto"/>
        <w:left w:val="none" w:sz="0" w:space="0" w:color="auto"/>
        <w:bottom w:val="none" w:sz="0" w:space="0" w:color="auto"/>
        <w:right w:val="none" w:sz="0" w:space="0" w:color="auto"/>
      </w:divBdr>
    </w:div>
    <w:div w:id="1714230417">
      <w:bodyDiv w:val="1"/>
      <w:marLeft w:val="0"/>
      <w:marRight w:val="0"/>
      <w:marTop w:val="0"/>
      <w:marBottom w:val="0"/>
      <w:divBdr>
        <w:top w:val="none" w:sz="0" w:space="0" w:color="auto"/>
        <w:left w:val="none" w:sz="0" w:space="0" w:color="auto"/>
        <w:bottom w:val="none" w:sz="0" w:space="0" w:color="auto"/>
        <w:right w:val="none" w:sz="0" w:space="0" w:color="auto"/>
      </w:divBdr>
    </w:div>
    <w:div w:id="1757438192">
      <w:bodyDiv w:val="1"/>
      <w:marLeft w:val="0"/>
      <w:marRight w:val="0"/>
      <w:marTop w:val="0"/>
      <w:marBottom w:val="0"/>
      <w:divBdr>
        <w:top w:val="none" w:sz="0" w:space="0" w:color="auto"/>
        <w:left w:val="none" w:sz="0" w:space="0" w:color="auto"/>
        <w:bottom w:val="none" w:sz="0" w:space="0" w:color="auto"/>
        <w:right w:val="none" w:sz="0" w:space="0" w:color="auto"/>
      </w:divBdr>
    </w:div>
    <w:div w:id="1814447800">
      <w:bodyDiv w:val="1"/>
      <w:marLeft w:val="0"/>
      <w:marRight w:val="0"/>
      <w:marTop w:val="0"/>
      <w:marBottom w:val="0"/>
      <w:divBdr>
        <w:top w:val="none" w:sz="0" w:space="0" w:color="auto"/>
        <w:left w:val="none" w:sz="0" w:space="0" w:color="auto"/>
        <w:bottom w:val="none" w:sz="0" w:space="0" w:color="auto"/>
        <w:right w:val="none" w:sz="0" w:space="0" w:color="auto"/>
      </w:divBdr>
    </w:div>
    <w:div w:id="1819760720">
      <w:bodyDiv w:val="1"/>
      <w:marLeft w:val="0"/>
      <w:marRight w:val="0"/>
      <w:marTop w:val="0"/>
      <w:marBottom w:val="0"/>
      <w:divBdr>
        <w:top w:val="none" w:sz="0" w:space="0" w:color="auto"/>
        <w:left w:val="none" w:sz="0" w:space="0" w:color="auto"/>
        <w:bottom w:val="none" w:sz="0" w:space="0" w:color="auto"/>
        <w:right w:val="none" w:sz="0" w:space="0" w:color="auto"/>
      </w:divBdr>
    </w:div>
    <w:div w:id="1822959480">
      <w:bodyDiv w:val="1"/>
      <w:marLeft w:val="0"/>
      <w:marRight w:val="0"/>
      <w:marTop w:val="0"/>
      <w:marBottom w:val="0"/>
      <w:divBdr>
        <w:top w:val="none" w:sz="0" w:space="0" w:color="auto"/>
        <w:left w:val="none" w:sz="0" w:space="0" w:color="auto"/>
        <w:bottom w:val="none" w:sz="0" w:space="0" w:color="auto"/>
        <w:right w:val="none" w:sz="0" w:space="0" w:color="auto"/>
      </w:divBdr>
    </w:div>
    <w:div w:id="1834178026">
      <w:bodyDiv w:val="1"/>
      <w:marLeft w:val="0"/>
      <w:marRight w:val="0"/>
      <w:marTop w:val="0"/>
      <w:marBottom w:val="0"/>
      <w:divBdr>
        <w:top w:val="none" w:sz="0" w:space="0" w:color="auto"/>
        <w:left w:val="none" w:sz="0" w:space="0" w:color="auto"/>
        <w:bottom w:val="none" w:sz="0" w:space="0" w:color="auto"/>
        <w:right w:val="none" w:sz="0" w:space="0" w:color="auto"/>
      </w:divBdr>
    </w:div>
    <w:div w:id="1836918481">
      <w:bodyDiv w:val="1"/>
      <w:marLeft w:val="0"/>
      <w:marRight w:val="0"/>
      <w:marTop w:val="0"/>
      <w:marBottom w:val="0"/>
      <w:divBdr>
        <w:top w:val="none" w:sz="0" w:space="0" w:color="auto"/>
        <w:left w:val="none" w:sz="0" w:space="0" w:color="auto"/>
        <w:bottom w:val="none" w:sz="0" w:space="0" w:color="auto"/>
        <w:right w:val="none" w:sz="0" w:space="0" w:color="auto"/>
      </w:divBdr>
    </w:div>
    <w:div w:id="1855144465">
      <w:bodyDiv w:val="1"/>
      <w:marLeft w:val="0"/>
      <w:marRight w:val="0"/>
      <w:marTop w:val="0"/>
      <w:marBottom w:val="0"/>
      <w:divBdr>
        <w:top w:val="none" w:sz="0" w:space="0" w:color="auto"/>
        <w:left w:val="none" w:sz="0" w:space="0" w:color="auto"/>
        <w:bottom w:val="none" w:sz="0" w:space="0" w:color="auto"/>
        <w:right w:val="none" w:sz="0" w:space="0" w:color="auto"/>
      </w:divBdr>
    </w:div>
    <w:div w:id="1872112543">
      <w:bodyDiv w:val="1"/>
      <w:marLeft w:val="0"/>
      <w:marRight w:val="0"/>
      <w:marTop w:val="0"/>
      <w:marBottom w:val="0"/>
      <w:divBdr>
        <w:top w:val="none" w:sz="0" w:space="0" w:color="auto"/>
        <w:left w:val="none" w:sz="0" w:space="0" w:color="auto"/>
        <w:bottom w:val="none" w:sz="0" w:space="0" w:color="auto"/>
        <w:right w:val="none" w:sz="0" w:space="0" w:color="auto"/>
      </w:divBdr>
    </w:div>
    <w:div w:id="1888250269">
      <w:bodyDiv w:val="1"/>
      <w:marLeft w:val="0"/>
      <w:marRight w:val="0"/>
      <w:marTop w:val="0"/>
      <w:marBottom w:val="0"/>
      <w:divBdr>
        <w:top w:val="none" w:sz="0" w:space="0" w:color="auto"/>
        <w:left w:val="none" w:sz="0" w:space="0" w:color="auto"/>
        <w:bottom w:val="none" w:sz="0" w:space="0" w:color="auto"/>
        <w:right w:val="none" w:sz="0" w:space="0" w:color="auto"/>
      </w:divBdr>
    </w:div>
    <w:div w:id="1889023873">
      <w:bodyDiv w:val="1"/>
      <w:marLeft w:val="0"/>
      <w:marRight w:val="0"/>
      <w:marTop w:val="0"/>
      <w:marBottom w:val="0"/>
      <w:divBdr>
        <w:top w:val="none" w:sz="0" w:space="0" w:color="auto"/>
        <w:left w:val="none" w:sz="0" w:space="0" w:color="auto"/>
        <w:bottom w:val="none" w:sz="0" w:space="0" w:color="auto"/>
        <w:right w:val="none" w:sz="0" w:space="0" w:color="auto"/>
      </w:divBdr>
    </w:div>
    <w:div w:id="1896312584">
      <w:bodyDiv w:val="1"/>
      <w:marLeft w:val="0"/>
      <w:marRight w:val="0"/>
      <w:marTop w:val="0"/>
      <w:marBottom w:val="0"/>
      <w:divBdr>
        <w:top w:val="none" w:sz="0" w:space="0" w:color="auto"/>
        <w:left w:val="none" w:sz="0" w:space="0" w:color="auto"/>
        <w:bottom w:val="none" w:sz="0" w:space="0" w:color="auto"/>
        <w:right w:val="none" w:sz="0" w:space="0" w:color="auto"/>
      </w:divBdr>
    </w:div>
    <w:div w:id="1927760035">
      <w:bodyDiv w:val="1"/>
      <w:marLeft w:val="0"/>
      <w:marRight w:val="0"/>
      <w:marTop w:val="0"/>
      <w:marBottom w:val="0"/>
      <w:divBdr>
        <w:top w:val="none" w:sz="0" w:space="0" w:color="auto"/>
        <w:left w:val="none" w:sz="0" w:space="0" w:color="auto"/>
        <w:bottom w:val="none" w:sz="0" w:space="0" w:color="auto"/>
        <w:right w:val="none" w:sz="0" w:space="0" w:color="auto"/>
      </w:divBdr>
    </w:div>
    <w:div w:id="1934195711">
      <w:bodyDiv w:val="1"/>
      <w:marLeft w:val="0"/>
      <w:marRight w:val="0"/>
      <w:marTop w:val="0"/>
      <w:marBottom w:val="0"/>
      <w:divBdr>
        <w:top w:val="none" w:sz="0" w:space="0" w:color="auto"/>
        <w:left w:val="none" w:sz="0" w:space="0" w:color="auto"/>
        <w:bottom w:val="none" w:sz="0" w:space="0" w:color="auto"/>
        <w:right w:val="none" w:sz="0" w:space="0" w:color="auto"/>
      </w:divBdr>
    </w:div>
    <w:div w:id="1940600604">
      <w:bodyDiv w:val="1"/>
      <w:marLeft w:val="0"/>
      <w:marRight w:val="0"/>
      <w:marTop w:val="0"/>
      <w:marBottom w:val="0"/>
      <w:divBdr>
        <w:top w:val="none" w:sz="0" w:space="0" w:color="auto"/>
        <w:left w:val="none" w:sz="0" w:space="0" w:color="auto"/>
        <w:bottom w:val="none" w:sz="0" w:space="0" w:color="auto"/>
        <w:right w:val="none" w:sz="0" w:space="0" w:color="auto"/>
      </w:divBdr>
    </w:div>
    <w:div w:id="1948153375">
      <w:bodyDiv w:val="1"/>
      <w:marLeft w:val="0"/>
      <w:marRight w:val="0"/>
      <w:marTop w:val="0"/>
      <w:marBottom w:val="0"/>
      <w:divBdr>
        <w:top w:val="none" w:sz="0" w:space="0" w:color="auto"/>
        <w:left w:val="none" w:sz="0" w:space="0" w:color="auto"/>
        <w:bottom w:val="none" w:sz="0" w:space="0" w:color="auto"/>
        <w:right w:val="none" w:sz="0" w:space="0" w:color="auto"/>
      </w:divBdr>
    </w:div>
    <w:div w:id="1995722974">
      <w:bodyDiv w:val="1"/>
      <w:marLeft w:val="0"/>
      <w:marRight w:val="0"/>
      <w:marTop w:val="0"/>
      <w:marBottom w:val="0"/>
      <w:divBdr>
        <w:top w:val="none" w:sz="0" w:space="0" w:color="auto"/>
        <w:left w:val="none" w:sz="0" w:space="0" w:color="auto"/>
        <w:bottom w:val="none" w:sz="0" w:space="0" w:color="auto"/>
        <w:right w:val="none" w:sz="0" w:space="0" w:color="auto"/>
      </w:divBdr>
    </w:div>
    <w:div w:id="2018606799">
      <w:bodyDiv w:val="1"/>
      <w:marLeft w:val="0"/>
      <w:marRight w:val="0"/>
      <w:marTop w:val="0"/>
      <w:marBottom w:val="0"/>
      <w:divBdr>
        <w:top w:val="none" w:sz="0" w:space="0" w:color="auto"/>
        <w:left w:val="none" w:sz="0" w:space="0" w:color="auto"/>
        <w:bottom w:val="none" w:sz="0" w:space="0" w:color="auto"/>
        <w:right w:val="none" w:sz="0" w:space="0" w:color="auto"/>
      </w:divBdr>
    </w:div>
    <w:div w:id="2035033766">
      <w:bodyDiv w:val="1"/>
      <w:marLeft w:val="0"/>
      <w:marRight w:val="0"/>
      <w:marTop w:val="0"/>
      <w:marBottom w:val="0"/>
      <w:divBdr>
        <w:top w:val="none" w:sz="0" w:space="0" w:color="auto"/>
        <w:left w:val="none" w:sz="0" w:space="0" w:color="auto"/>
        <w:bottom w:val="none" w:sz="0" w:space="0" w:color="auto"/>
        <w:right w:val="none" w:sz="0" w:space="0" w:color="auto"/>
      </w:divBdr>
    </w:div>
    <w:div w:id="2075423579">
      <w:bodyDiv w:val="1"/>
      <w:marLeft w:val="0"/>
      <w:marRight w:val="0"/>
      <w:marTop w:val="0"/>
      <w:marBottom w:val="0"/>
      <w:divBdr>
        <w:top w:val="none" w:sz="0" w:space="0" w:color="auto"/>
        <w:left w:val="none" w:sz="0" w:space="0" w:color="auto"/>
        <w:bottom w:val="none" w:sz="0" w:space="0" w:color="auto"/>
        <w:right w:val="none" w:sz="0" w:space="0" w:color="auto"/>
      </w:divBdr>
    </w:div>
    <w:div w:id="2100172168">
      <w:bodyDiv w:val="1"/>
      <w:marLeft w:val="0"/>
      <w:marRight w:val="0"/>
      <w:marTop w:val="0"/>
      <w:marBottom w:val="0"/>
      <w:divBdr>
        <w:top w:val="none" w:sz="0" w:space="0" w:color="auto"/>
        <w:left w:val="none" w:sz="0" w:space="0" w:color="auto"/>
        <w:bottom w:val="none" w:sz="0" w:space="0" w:color="auto"/>
        <w:right w:val="none" w:sz="0" w:space="0" w:color="auto"/>
      </w:divBdr>
    </w:div>
    <w:div w:id="2108184629">
      <w:bodyDiv w:val="1"/>
      <w:marLeft w:val="0"/>
      <w:marRight w:val="0"/>
      <w:marTop w:val="0"/>
      <w:marBottom w:val="0"/>
      <w:divBdr>
        <w:top w:val="none" w:sz="0" w:space="0" w:color="auto"/>
        <w:left w:val="none" w:sz="0" w:space="0" w:color="auto"/>
        <w:bottom w:val="none" w:sz="0" w:space="0" w:color="auto"/>
        <w:right w:val="none" w:sz="0" w:space="0" w:color="auto"/>
      </w:divBdr>
    </w:div>
    <w:div w:id="212153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BEBD2-3695-46F3-9E48-0C7015A97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1435</Words>
  <Characters>8186</Characters>
  <Application>Microsoft Office Word</Application>
  <DocSecurity>0</DocSecurity>
  <Lines>68</Lines>
  <Paragraphs>19</Paragraphs>
  <ScaleCrop>false</ScaleCrop>
  <Company/>
  <LinksUpToDate>false</LinksUpToDate>
  <CharactersWithSpaces>9602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pp</dc:creator>
  <cp:keywords/>
  <dc:description/>
  <cp:lastModifiedBy>Vigneshwaran R.</cp:lastModifiedBy>
  <cp:revision>6</cp:revision>
  <cp:lastPrinted>2018-12-02T11:20:00Z</cp:lastPrinted>
  <dcterms:created xsi:type="dcterms:W3CDTF">2020-11-26T09:37:00Z</dcterms:created>
  <dcterms:modified xsi:type="dcterms:W3CDTF">2021-01-07T12:07:00Z</dcterms:modified>
</cp:coreProperties>
</file>