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458" w:rsidRDefault="009C2458" w:rsidP="009C2458">
      <w:pPr>
        <w:jc w:val="center"/>
        <w:rPr>
          <w:b/>
          <w:sz w:val="32"/>
          <w:szCs w:val="28"/>
        </w:rPr>
      </w:pPr>
      <w:r w:rsidRPr="00B246FB">
        <w:rPr>
          <w:rFonts w:hint="eastAsia"/>
          <w:b/>
          <w:sz w:val="32"/>
          <w:szCs w:val="28"/>
        </w:rPr>
        <w:t>Su</w:t>
      </w:r>
      <w:r w:rsidRPr="00B246FB">
        <w:rPr>
          <w:b/>
          <w:sz w:val="32"/>
          <w:szCs w:val="28"/>
        </w:rPr>
        <w:t>pp</w:t>
      </w:r>
      <w:r>
        <w:rPr>
          <w:b/>
          <w:sz w:val="32"/>
          <w:szCs w:val="28"/>
        </w:rPr>
        <w:t>lementary</w:t>
      </w:r>
      <w:r w:rsidRPr="00B246FB">
        <w:rPr>
          <w:b/>
          <w:sz w:val="32"/>
          <w:szCs w:val="28"/>
        </w:rPr>
        <w:t xml:space="preserve"> Information</w:t>
      </w:r>
    </w:p>
    <w:p w:rsidR="00FA41DE" w:rsidRPr="0070062A" w:rsidRDefault="00FA41DE" w:rsidP="00FA41DE">
      <w:pPr>
        <w:spacing w:line="480" w:lineRule="auto"/>
        <w:ind w:firstLine="420"/>
        <w:rPr>
          <w:rFonts w:ascii="Arial" w:hAnsi="Arial" w:cs="Arial"/>
          <w:color w:val="333333"/>
          <w:sz w:val="24"/>
          <w:shd w:val="clear" w:color="auto" w:fill="FFFFFF"/>
        </w:rPr>
      </w:pPr>
    </w:p>
    <w:p w:rsidR="009B6865" w:rsidRPr="00287FFE" w:rsidRDefault="009B6865" w:rsidP="009B6865">
      <w:pPr>
        <w:spacing w:line="480" w:lineRule="auto"/>
        <w:rPr>
          <w:rFonts w:ascii="Arial" w:hAnsi="Arial" w:cs="Arial"/>
          <w:b/>
          <w:color w:val="333333"/>
          <w:sz w:val="22"/>
          <w:shd w:val="clear" w:color="auto" w:fill="FFFFFF"/>
        </w:rPr>
      </w:pPr>
      <w:r w:rsidRPr="00287FFE">
        <w:rPr>
          <w:rFonts w:ascii="Arial" w:hAnsi="Arial" w:cs="Arial"/>
          <w:b/>
          <w:color w:val="333333"/>
          <w:sz w:val="22"/>
          <w:shd w:val="clear" w:color="auto" w:fill="FFFFFF"/>
        </w:rPr>
        <w:t xml:space="preserve">Supplementary Figure S1. </w:t>
      </w:r>
      <w:r w:rsidRPr="00287FFE">
        <w:rPr>
          <w:rFonts w:ascii="Arial" w:hAnsi="Arial" w:cs="Arial"/>
          <w:b/>
          <w:color w:val="000000" w:themeColor="text1"/>
          <w:sz w:val="22"/>
        </w:rPr>
        <w:t>Hypoxia-related gene expression was positively correlated with EMT-related gene expression in pancreatic cancer specimens.</w:t>
      </w:r>
      <w:r w:rsidRPr="00287FFE">
        <w:rPr>
          <w:rFonts w:ascii="Arial" w:hAnsi="Arial" w:cs="Arial"/>
          <w:b/>
          <w:color w:val="333333"/>
          <w:sz w:val="22"/>
          <w:shd w:val="clear" w:color="auto" w:fill="FFFFFF"/>
        </w:rPr>
        <w:t xml:space="preserve"> </w:t>
      </w:r>
      <w:r w:rsidRPr="00287FFE">
        <w:rPr>
          <w:rFonts w:ascii="Arial" w:hAnsi="Arial" w:cs="Arial"/>
          <w:color w:val="000000" w:themeColor="text1"/>
          <w:sz w:val="22"/>
        </w:rPr>
        <w:t>(A) Expression profiles of 30 hypoxia-related genes across pancreatic cancer samples in TCGA. (B) Hypoxia related GO biological processes and (C) Hallmark gene sets were enriched and visualized. p&lt;0.05. (D) Expression profiles of 200 EMT markers were shown across pancreatic cancer samples in TCGA.</w:t>
      </w:r>
    </w:p>
    <w:p w:rsidR="009B6865" w:rsidRPr="00287FFE" w:rsidRDefault="009B6865" w:rsidP="00FA41DE">
      <w:pPr>
        <w:spacing w:line="480" w:lineRule="auto"/>
        <w:rPr>
          <w:rFonts w:ascii="Arial" w:hAnsi="Arial" w:cs="Arial"/>
          <w:b/>
          <w:color w:val="333333"/>
          <w:sz w:val="22"/>
          <w:shd w:val="clear" w:color="auto" w:fill="FFFFFF"/>
        </w:rPr>
      </w:pPr>
    </w:p>
    <w:p w:rsidR="00FA41DE" w:rsidRPr="00287FFE" w:rsidRDefault="00FA41DE" w:rsidP="00FA41DE">
      <w:pPr>
        <w:spacing w:line="480" w:lineRule="auto"/>
        <w:rPr>
          <w:rFonts w:ascii="Arial" w:hAnsi="Arial" w:cs="Arial"/>
          <w:b/>
          <w:color w:val="333333"/>
          <w:sz w:val="22"/>
          <w:shd w:val="clear" w:color="auto" w:fill="FFFFFF"/>
        </w:rPr>
      </w:pPr>
      <w:r w:rsidRPr="00287FFE">
        <w:rPr>
          <w:rFonts w:ascii="Arial" w:hAnsi="Arial" w:cs="Arial"/>
          <w:b/>
          <w:color w:val="333333"/>
          <w:sz w:val="22"/>
          <w:shd w:val="clear" w:color="auto" w:fill="FFFFFF"/>
        </w:rPr>
        <w:t>Supplementary Figure S</w:t>
      </w:r>
      <w:r w:rsidR="009B6865" w:rsidRPr="00287FFE">
        <w:rPr>
          <w:rFonts w:ascii="Arial" w:hAnsi="Arial" w:cs="Arial"/>
          <w:b/>
          <w:color w:val="333333"/>
          <w:sz w:val="22"/>
          <w:shd w:val="clear" w:color="auto" w:fill="FFFFFF"/>
        </w:rPr>
        <w:t>2</w:t>
      </w:r>
      <w:r w:rsidRPr="00287FFE">
        <w:rPr>
          <w:rFonts w:ascii="Arial" w:hAnsi="Arial" w:cs="Arial"/>
          <w:b/>
          <w:color w:val="333333"/>
          <w:sz w:val="22"/>
          <w:shd w:val="clear" w:color="auto" w:fill="FFFFFF"/>
        </w:rPr>
        <w:t xml:space="preserve">. </w:t>
      </w:r>
      <w:bookmarkStart w:id="0" w:name="OLE_LINK1"/>
      <w:r w:rsidRPr="00287FFE">
        <w:rPr>
          <w:rFonts w:ascii="Arial" w:hAnsi="Arial" w:cs="Arial"/>
          <w:b/>
          <w:color w:val="333333"/>
          <w:sz w:val="22"/>
          <w:shd w:val="clear" w:color="auto" w:fill="FFFFFF"/>
        </w:rPr>
        <w:t>NOX4 was overexpressed in pancreatic cancer cells and activated EMT pathway</w:t>
      </w:r>
      <w:r w:rsidR="00F60F73" w:rsidRPr="00287FFE">
        <w:rPr>
          <w:rFonts w:ascii="Arial" w:hAnsi="Arial" w:cs="Arial"/>
          <w:b/>
          <w:color w:val="333333"/>
          <w:sz w:val="22"/>
          <w:shd w:val="clear" w:color="auto" w:fill="FFFFFF"/>
        </w:rPr>
        <w:t>.</w:t>
      </w:r>
      <w:bookmarkEnd w:id="0"/>
      <w:r w:rsidR="00F60F73" w:rsidRPr="00287FFE">
        <w:rPr>
          <w:rFonts w:ascii="Arial" w:hAnsi="Arial" w:cs="Arial"/>
          <w:b/>
          <w:color w:val="333333"/>
          <w:sz w:val="22"/>
          <w:shd w:val="clear" w:color="auto" w:fill="FFFFFF"/>
        </w:rPr>
        <w:t xml:space="preserve"> </w:t>
      </w:r>
      <w:r w:rsidR="00F60F73" w:rsidRPr="00287FFE">
        <w:rPr>
          <w:rFonts w:ascii="Arial" w:hAnsi="Arial" w:cs="Arial"/>
          <w:color w:val="000000" w:themeColor="text1"/>
          <w:sz w:val="22"/>
        </w:rPr>
        <w:t>(A) GSEA analysis of genes positively related to NOX4 expression showed enriched pathways associated with EMT and hypoxia. (B)</w:t>
      </w:r>
      <w:r w:rsidR="00F60F73" w:rsidRPr="00287FFE">
        <w:rPr>
          <w:rFonts w:ascii="Arial" w:hAnsi="Arial" w:cs="Arial"/>
          <w:color w:val="333333"/>
          <w:sz w:val="22"/>
          <w:shd w:val="clear" w:color="auto" w:fill="FFFFFF"/>
        </w:rPr>
        <w:t xml:space="preserve"> </w:t>
      </w:r>
      <w:r w:rsidR="00F60F73" w:rsidRPr="00A8520A">
        <w:rPr>
          <w:rFonts w:ascii="Arial" w:hAnsi="Arial" w:cs="Arial"/>
          <w:color w:val="FF0000"/>
          <w:sz w:val="22"/>
          <w:shd w:val="clear" w:color="auto" w:fill="FFFFFF"/>
        </w:rPr>
        <w:t xml:space="preserve">The expression of NOX4 in PC tissues was determined by </w:t>
      </w:r>
      <w:r w:rsidR="00A8520A" w:rsidRPr="00A8520A">
        <w:rPr>
          <w:rFonts w:ascii="Arial" w:hAnsi="Arial" w:cs="Arial"/>
          <w:color w:val="FF0000"/>
          <w:sz w:val="22"/>
          <w:shd w:val="clear" w:color="auto" w:fill="FFFFFF"/>
        </w:rPr>
        <w:t>immunohistochemistry</w:t>
      </w:r>
      <w:r w:rsidR="00F60F73" w:rsidRPr="00A8520A">
        <w:rPr>
          <w:rFonts w:ascii="Arial" w:hAnsi="Arial" w:cs="Arial"/>
          <w:color w:val="FF0000"/>
          <w:sz w:val="22"/>
          <w:shd w:val="clear" w:color="auto" w:fill="FFFFFF"/>
        </w:rPr>
        <w:t>.</w:t>
      </w:r>
      <w:r w:rsidR="00F60F73" w:rsidRPr="00287FFE">
        <w:rPr>
          <w:rFonts w:ascii="Arial" w:hAnsi="Arial" w:cs="Arial"/>
          <w:color w:val="333333"/>
          <w:sz w:val="22"/>
          <w:shd w:val="clear" w:color="auto" w:fill="FFFFFF"/>
        </w:rPr>
        <w:t xml:space="preserve"> </w:t>
      </w:r>
      <w:r w:rsidR="00F60F73" w:rsidRPr="00A8520A">
        <w:rPr>
          <w:rFonts w:ascii="Arial" w:hAnsi="Arial" w:cs="Arial"/>
          <w:color w:val="FF0000"/>
          <w:sz w:val="22"/>
          <w:shd w:val="clear" w:color="auto" w:fill="FFFFFF"/>
        </w:rPr>
        <w:t>Bar=2</w:t>
      </w:r>
      <w:r w:rsidR="00A8520A" w:rsidRPr="00A8520A">
        <w:rPr>
          <w:rFonts w:ascii="Arial" w:hAnsi="Arial" w:cs="Arial"/>
          <w:color w:val="FF0000"/>
          <w:sz w:val="22"/>
          <w:shd w:val="clear" w:color="auto" w:fill="FFFFFF"/>
        </w:rPr>
        <w:t>5</w:t>
      </w:r>
      <w:r w:rsidR="00F60F73" w:rsidRPr="00A8520A">
        <w:rPr>
          <w:rFonts w:ascii="Arial" w:hAnsi="Arial" w:cs="Arial"/>
          <w:color w:val="FF0000"/>
          <w:sz w:val="22"/>
          <w:shd w:val="clear" w:color="auto" w:fill="FFFFFF"/>
        </w:rPr>
        <w:t>μm.</w:t>
      </w:r>
      <w:r w:rsidR="00F60F73" w:rsidRPr="00287FFE">
        <w:rPr>
          <w:rFonts w:ascii="Arial" w:hAnsi="Arial" w:cs="Arial"/>
          <w:color w:val="333333"/>
          <w:sz w:val="22"/>
          <w:shd w:val="clear" w:color="auto" w:fill="FFFFFF"/>
        </w:rPr>
        <w:t>(C) Intracellular ROS level and quantification of signal after 1%O2 treatment in HPAC cells was measured by fluorescence assay. (D) Intracellular ROS level and quantification of signal aft</w:t>
      </w:r>
      <w:bookmarkStart w:id="1" w:name="_GoBack"/>
      <w:bookmarkEnd w:id="1"/>
      <w:r w:rsidR="00F60F73" w:rsidRPr="00287FFE">
        <w:rPr>
          <w:rFonts w:ascii="Arial" w:hAnsi="Arial" w:cs="Arial"/>
          <w:color w:val="333333"/>
          <w:sz w:val="22"/>
          <w:shd w:val="clear" w:color="auto" w:fill="FFFFFF"/>
        </w:rPr>
        <w:t>er NOX4 overexpression in HPAC cells was measured by fluorescence assay.</w:t>
      </w:r>
      <w:r w:rsidR="00F60F73" w:rsidRPr="00287FFE">
        <w:rPr>
          <w:rFonts w:ascii="Arial" w:hAnsi="Arial" w:cs="Arial"/>
          <w:color w:val="000000" w:themeColor="text1"/>
          <w:sz w:val="22"/>
        </w:rPr>
        <w:t xml:space="preserve"> (E) The protein expression of NOX4 in human PC tissues and benign pancreatic lesions (F) The protein expression of NOX4 in human ductal pancreatic epithelial cells and human PC cells.</w:t>
      </w:r>
      <w:r w:rsidR="00F60F73" w:rsidRPr="00287FFE">
        <w:rPr>
          <w:rFonts w:ascii="Arial" w:hAnsi="Arial" w:cs="Arial"/>
          <w:sz w:val="22"/>
        </w:rPr>
        <w:t xml:space="preserve"> </w:t>
      </w:r>
      <w:r w:rsidR="00F60F73" w:rsidRPr="00287FFE">
        <w:rPr>
          <w:rFonts w:ascii="Arial" w:hAnsi="Arial" w:cs="Arial"/>
          <w:color w:val="000000" w:themeColor="text1"/>
          <w:sz w:val="22"/>
        </w:rPr>
        <w:t>*P &lt; 0.05, **P &lt; 0.01, *** P &lt; 0.001.</w:t>
      </w:r>
    </w:p>
    <w:p w:rsidR="00FA41DE" w:rsidRPr="00287FFE" w:rsidRDefault="00FA41DE" w:rsidP="000D1DDA">
      <w:pPr>
        <w:spacing w:line="480" w:lineRule="auto"/>
        <w:rPr>
          <w:rFonts w:ascii="Arial" w:hAnsi="Arial" w:cs="Arial"/>
          <w:sz w:val="22"/>
        </w:rPr>
      </w:pPr>
    </w:p>
    <w:p w:rsidR="000D1DDA" w:rsidRPr="00287FFE" w:rsidRDefault="000D1DDA" w:rsidP="000D1DDA">
      <w:pPr>
        <w:spacing w:line="480" w:lineRule="auto"/>
        <w:rPr>
          <w:rFonts w:ascii="Arial" w:hAnsi="Arial" w:cs="Arial"/>
          <w:color w:val="333333"/>
          <w:sz w:val="22"/>
          <w:shd w:val="clear" w:color="auto" w:fill="FFFFFF"/>
        </w:rPr>
      </w:pPr>
    </w:p>
    <w:p w:rsidR="00462A3B" w:rsidRPr="00287FFE" w:rsidRDefault="00462A3B" w:rsidP="00462A3B">
      <w:pPr>
        <w:jc w:val="left"/>
        <w:rPr>
          <w:rFonts w:ascii="Arial" w:hAnsi="Arial" w:cs="Arial"/>
          <w:b/>
          <w:sz w:val="22"/>
        </w:rPr>
      </w:pPr>
      <w:r w:rsidRPr="00287FFE">
        <w:rPr>
          <w:rFonts w:ascii="Arial" w:hAnsi="Arial" w:cs="Arial"/>
          <w:b/>
          <w:sz w:val="22"/>
        </w:rPr>
        <w:lastRenderedPageBreak/>
        <w:t>Supplemental Methods and Materials</w:t>
      </w:r>
    </w:p>
    <w:p w:rsidR="000D1DDA" w:rsidRPr="00287FFE" w:rsidRDefault="000D1DDA" w:rsidP="00462A3B">
      <w:pPr>
        <w:jc w:val="left"/>
        <w:rPr>
          <w:rFonts w:ascii="Arial" w:hAnsi="Arial" w:cs="Arial"/>
          <w:b/>
          <w:sz w:val="22"/>
        </w:rPr>
      </w:pPr>
    </w:p>
    <w:p w:rsidR="003C2B7A" w:rsidRPr="00287FFE" w:rsidRDefault="003C2B7A" w:rsidP="003C2B7A">
      <w:pPr>
        <w:spacing w:line="480" w:lineRule="auto"/>
        <w:rPr>
          <w:rFonts w:ascii="Arial" w:hAnsi="Arial" w:cs="Arial"/>
          <w:b/>
          <w:bCs/>
          <w:sz w:val="22"/>
        </w:rPr>
      </w:pPr>
      <w:r w:rsidRPr="00287FFE">
        <w:rPr>
          <w:rFonts w:ascii="Arial" w:hAnsi="Arial" w:cs="Arial"/>
          <w:b/>
          <w:bCs/>
          <w:sz w:val="22"/>
        </w:rPr>
        <w:t>Immunoblot analysis</w:t>
      </w:r>
    </w:p>
    <w:p w:rsidR="00462A3B" w:rsidRPr="00287FFE" w:rsidRDefault="003C2B7A" w:rsidP="00AC4230">
      <w:pPr>
        <w:spacing w:line="480" w:lineRule="auto"/>
        <w:rPr>
          <w:rFonts w:ascii="Arial" w:hAnsi="Arial" w:cs="Arial"/>
          <w:color w:val="333333"/>
          <w:sz w:val="22"/>
          <w:shd w:val="clear" w:color="auto" w:fill="FFFFFF"/>
        </w:rPr>
      </w:pPr>
      <w:r w:rsidRPr="00287FFE">
        <w:rPr>
          <w:rFonts w:ascii="Arial" w:hAnsi="Arial" w:cs="Arial"/>
          <w:color w:val="333333"/>
          <w:sz w:val="22"/>
          <w:shd w:val="clear" w:color="auto" w:fill="FFFFFF"/>
        </w:rPr>
        <w:t>Cell or tissue homogenate were washed twice using ice-cold PBS and lysed in RIPA buffer (Beyotime, Shanghai, China) enriched with Cocktail (Roche Diagnostics) and PMSF (Beyotime) for 30 minutes. Then the lysate was collected using 1.5 ml fresh tubes and centrifuged at 14,000 g for 15 minutes. The concentration of supernatant was determined using BCA Protein Assay kit (Beyotime) following the manufacturer’s instructions. 30-40 ug protein were loaded in 10% SDS-PAGE for electrophoresis and then transferred to PVDF membranes. After that, the membranes were blocked with 5% skimmed milk in TBS solution and incubated with primary antibodies (see below) overnight at 4°C.  Membranes were washed 3 times (each for 10 min) with 0.05% Tween-20-TBS and were incubated with a horseradish peroxidase (HRP)-conjugated secondary antibody (1:5000) for 2h at room temperature (supplementary material). The protein signals were visualized using an ECL kit (Millipore, Billerica, MA, USA) with a CCD camera (Tanon, Shanghai, China).</w:t>
      </w:r>
    </w:p>
    <w:p w:rsidR="003C2B7A" w:rsidRPr="00287FFE" w:rsidRDefault="003C2B7A" w:rsidP="003C2B7A">
      <w:pPr>
        <w:ind w:firstLine="420"/>
        <w:jc w:val="left"/>
        <w:rPr>
          <w:rFonts w:ascii="Arial" w:hAnsi="Arial" w:cs="Arial"/>
          <w:color w:val="333333"/>
          <w:sz w:val="22"/>
          <w:shd w:val="clear" w:color="auto" w:fill="FFFFFF"/>
        </w:rPr>
      </w:pPr>
    </w:p>
    <w:p w:rsidR="003C2B7A" w:rsidRPr="00287FFE" w:rsidRDefault="003C2B7A" w:rsidP="003C2B7A">
      <w:pPr>
        <w:jc w:val="left"/>
        <w:rPr>
          <w:rFonts w:ascii="Arial" w:hAnsi="Arial" w:cs="Arial"/>
          <w:b/>
          <w:color w:val="333333"/>
          <w:sz w:val="22"/>
          <w:shd w:val="clear" w:color="auto" w:fill="FFFFFF"/>
        </w:rPr>
      </w:pPr>
      <w:r w:rsidRPr="00287FFE">
        <w:rPr>
          <w:rFonts w:ascii="Arial" w:hAnsi="Arial" w:cs="Arial"/>
          <w:b/>
          <w:color w:val="333333"/>
          <w:sz w:val="22"/>
          <w:shd w:val="clear" w:color="auto" w:fill="FFFFFF"/>
        </w:rPr>
        <w:t>Immunohistochemistry</w:t>
      </w:r>
    </w:p>
    <w:p w:rsidR="003C2B7A" w:rsidRPr="00287FFE" w:rsidRDefault="003C2B7A" w:rsidP="00AC4147">
      <w:pPr>
        <w:spacing w:line="480" w:lineRule="auto"/>
        <w:rPr>
          <w:rFonts w:ascii="Arial" w:hAnsi="Arial" w:cs="Arial"/>
          <w:color w:val="333333"/>
          <w:sz w:val="22"/>
          <w:shd w:val="clear" w:color="auto" w:fill="FFFFFF"/>
        </w:rPr>
      </w:pPr>
      <w:r w:rsidRPr="00287FFE">
        <w:rPr>
          <w:rFonts w:ascii="Arial" w:hAnsi="Arial" w:cs="Arial"/>
          <w:color w:val="333333"/>
          <w:sz w:val="22"/>
          <w:shd w:val="clear" w:color="auto" w:fill="FFFFFF"/>
        </w:rPr>
        <w:t>Sections were cut from FFEP tissues (4μm thick). Then sections were deparaffinized with xylene and rehydrated in using graded ethanol. The further staining steps were proceeded in accordance with the manufacturer's protocol of Immunohistochemistry Kit (KIT-9720, MXB Biotechnologies, China). Antigen retrieval was carried out in citrate buffer (10Nm, pH 6.0) after high pressure heating for 15 min. Sections were incubated overnight with the NOX4 antibody (proteintech, 14347-1-AP, Rosemont, USA)</w:t>
      </w:r>
      <w:r w:rsidR="00AC4147">
        <w:rPr>
          <w:rFonts w:ascii="Arial" w:hAnsi="Arial" w:cs="Arial"/>
          <w:color w:val="333333"/>
          <w:sz w:val="22"/>
          <w:shd w:val="clear" w:color="auto" w:fill="FFFFFF"/>
        </w:rPr>
        <w:t xml:space="preserve"> or </w:t>
      </w:r>
      <w:r w:rsidR="00AC4147">
        <w:rPr>
          <w:rFonts w:ascii="Arial" w:hAnsi="Arial" w:cs="Arial"/>
          <w:color w:val="333333"/>
          <w:sz w:val="22"/>
          <w:shd w:val="clear" w:color="auto" w:fill="FFFFFF"/>
        </w:rPr>
        <w:lastRenderedPageBreak/>
        <w:t>HIF1A antibody (Abcam, ab16066, MA, USA)</w:t>
      </w:r>
      <w:r w:rsidRPr="00287FFE">
        <w:rPr>
          <w:rFonts w:ascii="Arial" w:hAnsi="Arial" w:cs="Arial"/>
          <w:color w:val="333333"/>
          <w:sz w:val="22"/>
          <w:shd w:val="clear" w:color="auto" w:fill="FFFFFF"/>
        </w:rPr>
        <w:t>. The staining w</w:t>
      </w:r>
      <w:r w:rsidR="00AC4147">
        <w:rPr>
          <w:rFonts w:ascii="Arial" w:hAnsi="Arial" w:cs="Arial"/>
          <w:color w:val="333333"/>
          <w:sz w:val="22"/>
          <w:shd w:val="clear" w:color="auto" w:fill="FFFFFF"/>
        </w:rPr>
        <w:t>as</w:t>
      </w:r>
      <w:r w:rsidRPr="00287FFE">
        <w:rPr>
          <w:rFonts w:ascii="Arial" w:hAnsi="Arial" w:cs="Arial"/>
          <w:color w:val="333333"/>
          <w:sz w:val="22"/>
          <w:shd w:val="clear" w:color="auto" w:fill="FFFFFF"/>
        </w:rPr>
        <w:t xml:space="preserve"> observed using DAB kit (DAB-0031, MXB Biotechnologies, China). All sections were evaluated by two independent pathologists</w:t>
      </w:r>
      <w:r w:rsidR="002F78BF">
        <w:rPr>
          <w:rFonts w:ascii="Arial" w:hAnsi="Arial" w:cs="Arial"/>
          <w:color w:val="333333"/>
          <w:sz w:val="22"/>
          <w:shd w:val="clear" w:color="auto" w:fill="FFFFFF"/>
        </w:rPr>
        <w:t xml:space="preserve"> w</w:t>
      </w:r>
      <w:r w:rsidR="002F78BF" w:rsidRPr="002F78BF">
        <w:rPr>
          <w:rFonts w:ascii="Arial" w:hAnsi="Arial" w:cs="Arial"/>
          <w:color w:val="333333"/>
          <w:sz w:val="22"/>
          <w:shd w:val="clear" w:color="auto" w:fill="FFFFFF"/>
        </w:rPr>
        <w:t>ithout knowing the clinical information of the patient</w:t>
      </w:r>
      <w:r w:rsidRPr="00287FFE">
        <w:rPr>
          <w:rFonts w:ascii="Arial" w:hAnsi="Arial" w:cs="Arial"/>
          <w:color w:val="333333"/>
          <w:sz w:val="22"/>
          <w:shd w:val="clear" w:color="auto" w:fill="FFFFFF"/>
        </w:rPr>
        <w:t xml:space="preserve">. </w:t>
      </w:r>
      <w:r w:rsidR="00AC4147">
        <w:rPr>
          <w:rFonts w:ascii="Arial" w:hAnsi="Arial" w:cs="Arial"/>
          <w:color w:val="333333"/>
          <w:sz w:val="22"/>
          <w:shd w:val="clear" w:color="auto" w:fill="FFFFFF"/>
        </w:rPr>
        <w:t>The proportion of</w:t>
      </w:r>
      <w:r w:rsidR="00AC4147">
        <w:rPr>
          <w:rFonts w:ascii="Arial" w:hAnsi="Arial" w:cs="Arial" w:hint="eastAsia"/>
          <w:color w:val="333333"/>
          <w:sz w:val="22"/>
          <w:shd w:val="clear" w:color="auto" w:fill="FFFFFF"/>
        </w:rPr>
        <w:t xml:space="preserve"> </w:t>
      </w:r>
      <w:r w:rsidR="00AC4147" w:rsidRPr="00AC4147">
        <w:rPr>
          <w:rFonts w:ascii="Arial" w:hAnsi="Arial" w:cs="Arial"/>
          <w:color w:val="333333"/>
          <w:sz w:val="22"/>
          <w:shd w:val="clear" w:color="auto" w:fill="FFFFFF"/>
        </w:rPr>
        <w:t>stained areas was evaluated</w:t>
      </w:r>
      <w:r w:rsidR="00AC4147">
        <w:rPr>
          <w:rFonts w:ascii="Arial" w:hAnsi="Arial" w:cs="Arial"/>
          <w:color w:val="333333"/>
          <w:sz w:val="22"/>
          <w:shd w:val="clear" w:color="auto" w:fill="FFFFFF"/>
        </w:rPr>
        <w:t xml:space="preserve"> as follows: 0, &lt;5%; 1, ≥5% and</w:t>
      </w:r>
      <w:r w:rsidR="00AC4147">
        <w:rPr>
          <w:rFonts w:ascii="Arial" w:hAnsi="Arial" w:cs="Arial" w:hint="eastAsia"/>
          <w:color w:val="333333"/>
          <w:sz w:val="22"/>
          <w:shd w:val="clear" w:color="auto" w:fill="FFFFFF"/>
        </w:rPr>
        <w:t xml:space="preserve"> </w:t>
      </w:r>
      <w:r w:rsidR="00AC4147" w:rsidRPr="00AC4147">
        <w:rPr>
          <w:rFonts w:ascii="Arial" w:hAnsi="Arial" w:cs="Arial"/>
          <w:color w:val="333333"/>
          <w:sz w:val="22"/>
          <w:shd w:val="clear" w:color="auto" w:fill="FFFFFF"/>
        </w:rPr>
        <w:t>&lt;25%; 2, ≥25% and &lt;5</w:t>
      </w:r>
      <w:r w:rsidR="00AC4147">
        <w:rPr>
          <w:rFonts w:ascii="Arial" w:hAnsi="Arial" w:cs="Arial"/>
          <w:color w:val="333333"/>
          <w:sz w:val="22"/>
          <w:shd w:val="clear" w:color="auto" w:fill="FFFFFF"/>
        </w:rPr>
        <w:t>0%; 3, ≥ 50% and &lt;75%; 4, ≥75%.</w:t>
      </w:r>
      <w:r w:rsidR="00AC4147">
        <w:rPr>
          <w:rFonts w:ascii="Arial" w:hAnsi="Arial" w:cs="Arial" w:hint="eastAsia"/>
          <w:color w:val="333333"/>
          <w:sz w:val="22"/>
          <w:shd w:val="clear" w:color="auto" w:fill="FFFFFF"/>
        </w:rPr>
        <w:t xml:space="preserve"> </w:t>
      </w:r>
      <w:r w:rsidR="00AC4147" w:rsidRPr="00AC4147">
        <w:rPr>
          <w:rFonts w:ascii="Arial" w:hAnsi="Arial" w:cs="Arial"/>
          <w:color w:val="333333"/>
          <w:sz w:val="22"/>
          <w:shd w:val="clear" w:color="auto" w:fill="FFFFFF"/>
        </w:rPr>
        <w:t>The intensity of staining was s</w:t>
      </w:r>
      <w:r w:rsidR="00AC4147">
        <w:rPr>
          <w:rFonts w:ascii="Arial" w:hAnsi="Arial" w:cs="Arial"/>
          <w:color w:val="333333"/>
          <w:sz w:val="22"/>
          <w:shd w:val="clear" w:color="auto" w:fill="FFFFFF"/>
        </w:rPr>
        <w:t xml:space="preserve">cored as follows: </w:t>
      </w:r>
      <w:r w:rsidR="00AC4147" w:rsidRPr="00AC4147">
        <w:rPr>
          <w:rFonts w:ascii="Arial" w:hAnsi="Arial" w:cs="Arial"/>
          <w:color w:val="333333"/>
          <w:sz w:val="22"/>
          <w:shd w:val="clear" w:color="auto" w:fill="FFFFFF"/>
        </w:rPr>
        <w:t>0, negative</w:t>
      </w:r>
      <w:r w:rsidR="00AC4147">
        <w:rPr>
          <w:rFonts w:ascii="Arial" w:hAnsi="Arial" w:cs="Arial"/>
          <w:color w:val="333333"/>
          <w:sz w:val="22"/>
          <w:shd w:val="clear" w:color="auto" w:fill="FFFFFF"/>
        </w:rPr>
        <w:t>; 1, weak; 2, medium; 3, strong</w:t>
      </w:r>
      <w:r w:rsidR="00AC4147" w:rsidRPr="00AC4147">
        <w:rPr>
          <w:rFonts w:ascii="Arial" w:hAnsi="Arial" w:cs="Arial"/>
          <w:color w:val="333333"/>
          <w:sz w:val="22"/>
          <w:shd w:val="clear" w:color="auto" w:fill="FFFFFF"/>
        </w:rPr>
        <w:t>.</w:t>
      </w:r>
      <w:r w:rsidR="00AC4147">
        <w:rPr>
          <w:rFonts w:ascii="Arial" w:hAnsi="Arial" w:cs="Arial"/>
          <w:color w:val="333333"/>
          <w:sz w:val="22"/>
          <w:shd w:val="clear" w:color="auto" w:fill="FFFFFF"/>
        </w:rPr>
        <w:t xml:space="preserve"> The</w:t>
      </w:r>
      <w:r w:rsidR="00AC4147">
        <w:rPr>
          <w:rFonts w:ascii="Arial" w:hAnsi="Arial" w:cs="Arial" w:hint="eastAsia"/>
          <w:color w:val="333333"/>
          <w:sz w:val="22"/>
          <w:shd w:val="clear" w:color="auto" w:fill="FFFFFF"/>
        </w:rPr>
        <w:t xml:space="preserve"> </w:t>
      </w:r>
      <w:r w:rsidR="00AC4147" w:rsidRPr="00AC4147">
        <w:rPr>
          <w:rFonts w:ascii="Arial" w:hAnsi="Arial" w:cs="Arial"/>
          <w:color w:val="333333"/>
          <w:sz w:val="22"/>
          <w:shd w:val="clear" w:color="auto" w:fill="FFFFFF"/>
        </w:rPr>
        <w:t xml:space="preserve">final scores were obtained by multiplying the area and intensity scores, producing a range of 0-12. </w:t>
      </w:r>
    </w:p>
    <w:p w:rsidR="000D1DDA" w:rsidRPr="00287FFE" w:rsidRDefault="000D1DDA" w:rsidP="00AC4230">
      <w:pPr>
        <w:spacing w:line="480" w:lineRule="auto"/>
        <w:rPr>
          <w:rFonts w:ascii="Arial" w:hAnsi="Arial" w:cs="Arial"/>
          <w:color w:val="333333"/>
          <w:sz w:val="22"/>
          <w:shd w:val="clear" w:color="auto" w:fill="FFFFFF"/>
        </w:rPr>
      </w:pPr>
    </w:p>
    <w:p w:rsidR="00D75F50" w:rsidRPr="00287FFE" w:rsidRDefault="00D75F50" w:rsidP="00D75F50">
      <w:pPr>
        <w:spacing w:line="480" w:lineRule="auto"/>
        <w:rPr>
          <w:rFonts w:ascii="Arial" w:hAnsi="Arial" w:cs="Arial"/>
          <w:b/>
          <w:color w:val="333333"/>
          <w:sz w:val="22"/>
          <w:shd w:val="clear" w:color="auto" w:fill="FFFFFF"/>
        </w:rPr>
      </w:pPr>
      <w:r w:rsidRPr="00287FFE">
        <w:rPr>
          <w:rFonts w:ascii="Arial" w:hAnsi="Arial" w:cs="Arial"/>
          <w:b/>
          <w:color w:val="333333"/>
          <w:sz w:val="22"/>
          <w:shd w:val="clear" w:color="auto" w:fill="FFFFFF"/>
        </w:rPr>
        <w:t>CHIP-PCR</w:t>
      </w:r>
    </w:p>
    <w:p w:rsidR="00D75F50" w:rsidRPr="00287FFE" w:rsidRDefault="00D75F50" w:rsidP="00AC4230">
      <w:pPr>
        <w:spacing w:line="480" w:lineRule="auto"/>
        <w:rPr>
          <w:rFonts w:ascii="Arial" w:hAnsi="Arial" w:cs="Arial"/>
          <w:color w:val="333333"/>
          <w:sz w:val="22"/>
          <w:shd w:val="clear" w:color="auto" w:fill="FFFFFF"/>
        </w:rPr>
      </w:pPr>
      <w:r w:rsidRPr="00287FFE">
        <w:rPr>
          <w:rFonts w:ascii="Arial" w:hAnsi="Arial" w:cs="Arial"/>
          <w:color w:val="333333"/>
          <w:sz w:val="22"/>
          <w:shd w:val="clear" w:color="auto" w:fill="FFFFFF"/>
        </w:rPr>
        <w:t>Protein was cross-linked to chromatin by 1% formaldehyde for 10min at 37°C and 0.125 M glycine was used to stop crosslinking. Then cells were washed twice in DPBS, harvested in ChIP lysis buffer and sonicated. supernatants were collected (input). Then samples were diluted in dilution buffer, incubated with antibodies or IgG overnight at 4°C and captured using protein A/G magnetic beads (MCE, Shanghai, China).</w:t>
      </w:r>
      <w:r w:rsidRPr="00287FFE">
        <w:rPr>
          <w:rFonts w:ascii="Arial" w:hAnsi="Arial" w:cs="Arial"/>
          <w:sz w:val="22"/>
        </w:rPr>
        <w:t xml:space="preserve"> </w:t>
      </w:r>
      <w:r w:rsidRPr="00287FFE">
        <w:rPr>
          <w:rFonts w:ascii="Arial" w:hAnsi="Arial" w:cs="Arial"/>
          <w:color w:val="333333"/>
          <w:sz w:val="22"/>
          <w:shd w:val="clear" w:color="auto" w:fill="FFFFFF"/>
        </w:rPr>
        <w:t>Immunoprecipitates were washed using Wash Buffer 1, Wash Buffer 2, Wash Buffer 3 and TE buffer (twice) and then eluted with 120μL of Elution Buffer. Crosslinks were reversed using 0.2M NaCl overnight at 65</w:t>
      </w:r>
      <w:r w:rsidRPr="00287FFE">
        <w:rPr>
          <w:rFonts w:ascii="微软雅黑" w:eastAsia="微软雅黑" w:hAnsi="微软雅黑" w:cs="微软雅黑" w:hint="eastAsia"/>
          <w:color w:val="333333"/>
          <w:sz w:val="22"/>
          <w:shd w:val="clear" w:color="auto" w:fill="FFFFFF"/>
        </w:rPr>
        <w:t>℃</w:t>
      </w:r>
      <w:r w:rsidRPr="00287FFE">
        <w:rPr>
          <w:rFonts w:ascii="Arial" w:hAnsi="Arial" w:cs="Arial"/>
          <w:color w:val="333333"/>
          <w:sz w:val="22"/>
          <w:shd w:val="clear" w:color="auto" w:fill="FFFFFF"/>
        </w:rPr>
        <w:t xml:space="preserve"> and proteins were digested by 40mM Tris-HCl (pH6.5), 10mM EDTA and 20μg Proteinase K for 1h at 45°C. DNA was purified and used for RT-PCR. </w:t>
      </w:r>
    </w:p>
    <w:p w:rsidR="000D1DDA" w:rsidRPr="00287FFE" w:rsidRDefault="000D1DDA" w:rsidP="00AC4230">
      <w:pPr>
        <w:spacing w:line="480" w:lineRule="auto"/>
        <w:rPr>
          <w:rFonts w:ascii="Arial" w:hAnsi="Arial" w:cs="Arial"/>
          <w:color w:val="333333"/>
          <w:sz w:val="22"/>
          <w:shd w:val="clear" w:color="auto" w:fill="FFFFFF"/>
        </w:rPr>
      </w:pPr>
    </w:p>
    <w:p w:rsidR="00D75F50" w:rsidRPr="00287FFE" w:rsidRDefault="00D75F50" w:rsidP="00AC4230">
      <w:pPr>
        <w:spacing w:line="480" w:lineRule="auto"/>
        <w:rPr>
          <w:rFonts w:ascii="Arial" w:hAnsi="Arial" w:cs="Arial"/>
          <w:color w:val="333333"/>
          <w:sz w:val="22"/>
          <w:shd w:val="clear" w:color="auto" w:fill="FFFFFF"/>
        </w:rPr>
      </w:pPr>
      <w:r w:rsidRPr="00287FFE">
        <w:rPr>
          <w:rFonts w:ascii="Arial" w:hAnsi="Arial" w:cs="Arial"/>
          <w:color w:val="333333"/>
          <w:sz w:val="22"/>
          <w:shd w:val="clear" w:color="auto" w:fill="FFFFFF"/>
        </w:rPr>
        <w:t xml:space="preserve">The buffer formulations were as follows: Wash Buffer 1: 20mM Tris-HCl (pH 8.1), 0.1% SDS, 1% Triton X-100, 2mM EDTA and150mM NaCl; Wash Buffer 2: 20mM Tris-HCl </w:t>
      </w:r>
      <w:r w:rsidRPr="00287FFE">
        <w:rPr>
          <w:rFonts w:ascii="Arial" w:hAnsi="Arial" w:cs="Arial"/>
          <w:color w:val="333333"/>
          <w:sz w:val="22"/>
          <w:shd w:val="clear" w:color="auto" w:fill="FFFFFF"/>
        </w:rPr>
        <w:lastRenderedPageBreak/>
        <w:t>(pH 8.1), 0.1% SDS, 1% Triton X-100, 2mM EDTA and 500mM NaCl; Wash Buffer 3: 10mM Tris-HCl (pH 8.1), 0.25M LiCl,</w:t>
      </w:r>
      <w:r w:rsidRPr="00287FFE">
        <w:rPr>
          <w:rFonts w:ascii="Arial" w:hAnsi="Arial" w:cs="Arial"/>
          <w:sz w:val="22"/>
        </w:rPr>
        <w:t xml:space="preserve"> </w:t>
      </w:r>
      <w:r w:rsidRPr="00287FFE">
        <w:rPr>
          <w:rFonts w:ascii="Arial" w:hAnsi="Arial" w:cs="Arial"/>
          <w:color w:val="333333"/>
          <w:sz w:val="22"/>
          <w:shd w:val="clear" w:color="auto" w:fill="FFFFFF"/>
        </w:rPr>
        <w:t>1% (v/v) NP-40, 1% Na-deoxycholate and 1mM EDTA; TE Buffer:</w:t>
      </w:r>
      <w:r w:rsidRPr="00287FFE">
        <w:rPr>
          <w:rFonts w:ascii="Arial" w:hAnsi="Arial" w:cs="Arial"/>
          <w:sz w:val="22"/>
        </w:rPr>
        <w:t xml:space="preserve"> </w:t>
      </w:r>
      <w:r w:rsidRPr="00287FFE">
        <w:rPr>
          <w:rFonts w:ascii="Arial" w:hAnsi="Arial" w:cs="Arial"/>
          <w:color w:val="333333"/>
          <w:sz w:val="22"/>
          <w:shd w:val="clear" w:color="auto" w:fill="FFFFFF"/>
        </w:rPr>
        <w:t>10mM Tris-HCl (pH 8.0) and 1mM EDTA; Elution Buffer: 1% SDS and 0.1M Na-bicarbonate. The primer sequences used were shown in supplementary material.</w:t>
      </w:r>
    </w:p>
    <w:p w:rsidR="000D1DDA" w:rsidRPr="00287FFE" w:rsidRDefault="000D1DDA" w:rsidP="00AC4230">
      <w:pPr>
        <w:spacing w:line="480" w:lineRule="auto"/>
        <w:rPr>
          <w:rFonts w:ascii="Arial" w:hAnsi="Arial" w:cs="Arial"/>
          <w:color w:val="333333"/>
          <w:sz w:val="22"/>
          <w:shd w:val="clear" w:color="auto" w:fill="FFFFFF"/>
        </w:rPr>
      </w:pPr>
    </w:p>
    <w:p w:rsidR="003C2B7A" w:rsidRPr="00287FFE" w:rsidRDefault="00D549A8" w:rsidP="003C2B7A">
      <w:pPr>
        <w:spacing w:line="480" w:lineRule="auto"/>
        <w:rPr>
          <w:rFonts w:ascii="Arial" w:hAnsi="Arial" w:cs="Arial"/>
          <w:b/>
          <w:color w:val="333333"/>
          <w:sz w:val="22"/>
          <w:shd w:val="clear" w:color="auto" w:fill="FFFFFF"/>
        </w:rPr>
      </w:pPr>
      <w:r w:rsidRPr="00287FFE">
        <w:rPr>
          <w:rFonts w:ascii="Arial" w:hAnsi="Arial" w:cs="Arial"/>
          <w:b/>
          <w:color w:val="333333"/>
          <w:sz w:val="22"/>
          <w:shd w:val="clear" w:color="auto" w:fill="FFFFFF"/>
        </w:rPr>
        <w:t>TGF-beta</w:t>
      </w:r>
      <w:r w:rsidR="003C2B7A" w:rsidRPr="00287FFE">
        <w:rPr>
          <w:rFonts w:ascii="Arial" w:hAnsi="Arial" w:cs="Arial"/>
          <w:b/>
          <w:color w:val="333333"/>
          <w:sz w:val="22"/>
          <w:shd w:val="clear" w:color="auto" w:fill="FFFFFF"/>
        </w:rPr>
        <w:t xml:space="preserve"> ELISA</w:t>
      </w:r>
    </w:p>
    <w:p w:rsidR="003C2B7A" w:rsidRPr="00287FFE" w:rsidRDefault="003C2B7A" w:rsidP="00AC4230">
      <w:pPr>
        <w:spacing w:line="480" w:lineRule="auto"/>
        <w:rPr>
          <w:rFonts w:ascii="Arial" w:hAnsi="Arial" w:cs="Arial"/>
          <w:color w:val="333333"/>
          <w:sz w:val="22"/>
          <w:shd w:val="clear" w:color="auto" w:fill="FFFFFF"/>
        </w:rPr>
      </w:pPr>
      <w:r w:rsidRPr="00287FFE">
        <w:rPr>
          <w:rFonts w:ascii="Arial" w:hAnsi="Arial" w:cs="Arial"/>
          <w:color w:val="333333"/>
          <w:sz w:val="22"/>
          <w:shd w:val="clear" w:color="auto" w:fill="FFFFFF"/>
        </w:rPr>
        <w:t>The supernatant of HPAC cells with or without 1% O2 treatment for 24 hours was used to detect the secretion of TGF</w:t>
      </w:r>
      <w:r w:rsidR="00D549A8" w:rsidRPr="00287FFE">
        <w:rPr>
          <w:rFonts w:ascii="Arial" w:hAnsi="Arial" w:cs="Arial"/>
          <w:color w:val="333333"/>
          <w:sz w:val="22"/>
          <w:shd w:val="clear" w:color="auto" w:fill="FFFFFF"/>
        </w:rPr>
        <w:t>-beta</w:t>
      </w:r>
      <w:r w:rsidRPr="00287FFE">
        <w:rPr>
          <w:rFonts w:ascii="Arial" w:hAnsi="Arial" w:cs="Arial"/>
          <w:color w:val="333333"/>
          <w:sz w:val="22"/>
          <w:shd w:val="clear" w:color="auto" w:fill="FFFFFF"/>
        </w:rPr>
        <w:t xml:space="preserve"> according to the manufacturer's instructions (MULTISCIENCES BIOTECH, CO., LTD, Hangzhou, China).</w:t>
      </w:r>
    </w:p>
    <w:p w:rsidR="000D1DDA" w:rsidRPr="00287FFE" w:rsidRDefault="000D1DDA" w:rsidP="00AC4230">
      <w:pPr>
        <w:spacing w:line="480" w:lineRule="auto"/>
        <w:rPr>
          <w:rFonts w:ascii="Arial" w:hAnsi="Arial" w:cs="Arial"/>
          <w:color w:val="333333"/>
          <w:sz w:val="22"/>
          <w:shd w:val="clear" w:color="auto" w:fill="FFFFFF"/>
        </w:rPr>
      </w:pPr>
    </w:p>
    <w:p w:rsidR="00D75F50" w:rsidRPr="00287FFE" w:rsidRDefault="00D75F50" w:rsidP="00D75F50">
      <w:pPr>
        <w:spacing w:line="480" w:lineRule="auto"/>
        <w:rPr>
          <w:rFonts w:ascii="Arial" w:hAnsi="Arial" w:cs="Arial"/>
          <w:b/>
          <w:color w:val="333333"/>
          <w:sz w:val="22"/>
          <w:shd w:val="clear" w:color="auto" w:fill="FFFFFF"/>
        </w:rPr>
      </w:pPr>
      <w:r w:rsidRPr="00287FFE">
        <w:rPr>
          <w:rFonts w:ascii="Arial" w:hAnsi="Arial" w:cs="Arial"/>
          <w:b/>
          <w:color w:val="333333"/>
          <w:sz w:val="22"/>
          <w:shd w:val="clear" w:color="auto" w:fill="FFFFFF"/>
        </w:rPr>
        <w:t>Cell treatment</w:t>
      </w:r>
    </w:p>
    <w:p w:rsidR="00D75F50" w:rsidRPr="00287FFE" w:rsidRDefault="00D75F50" w:rsidP="00AC4230">
      <w:pPr>
        <w:spacing w:line="480" w:lineRule="auto"/>
        <w:rPr>
          <w:rFonts w:ascii="Arial" w:hAnsi="Arial" w:cs="Arial"/>
          <w:color w:val="333333"/>
          <w:sz w:val="22"/>
          <w:shd w:val="clear" w:color="auto" w:fill="FFFFFF"/>
        </w:rPr>
      </w:pPr>
      <w:r w:rsidRPr="00287FFE">
        <w:rPr>
          <w:rFonts w:ascii="Arial" w:hAnsi="Arial" w:cs="Arial"/>
          <w:color w:val="333333"/>
          <w:sz w:val="22"/>
          <w:shd w:val="clear" w:color="auto" w:fill="FFFFFF"/>
        </w:rPr>
        <w:t>HPAC cells were treated with TGF</w:t>
      </w:r>
      <w:r w:rsidR="00D549A8" w:rsidRPr="00287FFE">
        <w:rPr>
          <w:rFonts w:ascii="Arial" w:hAnsi="Arial" w:cs="Arial"/>
          <w:color w:val="333333"/>
          <w:sz w:val="22"/>
          <w:shd w:val="clear" w:color="auto" w:fill="FFFFFF"/>
        </w:rPr>
        <w:t xml:space="preserve">-beta 1 (R&amp;D systems, MI, USA) </w:t>
      </w:r>
      <w:r w:rsidRPr="00287FFE">
        <w:rPr>
          <w:rFonts w:ascii="Arial" w:hAnsi="Arial" w:cs="Arial"/>
          <w:color w:val="333333"/>
          <w:sz w:val="22"/>
          <w:shd w:val="clear" w:color="auto" w:fill="FFFFFF"/>
        </w:rPr>
        <w:t>with the concentration of 0, 1, 2, 5, 10, 20μg/ml for 24 hours or with the concentration of 10μg/ml for 0, 2, 4, 8, 12, 24 hours, then cells are used for Immunoblot analysis.</w:t>
      </w:r>
      <w:r w:rsidR="00D549A8" w:rsidRPr="00287FFE">
        <w:rPr>
          <w:rFonts w:ascii="Arial" w:hAnsi="Arial" w:cs="Arial"/>
          <w:color w:val="333333"/>
          <w:sz w:val="22"/>
          <w:shd w:val="clear" w:color="auto" w:fill="FFFFFF"/>
        </w:rPr>
        <w:t xml:space="preserve"> HPAC cells were treated with TGF-beta 1 antibody (R&amp;D systems) with the concentration</w:t>
      </w:r>
      <w:r w:rsidR="00D25DF3" w:rsidRPr="00287FFE">
        <w:rPr>
          <w:rFonts w:ascii="Arial" w:hAnsi="Arial" w:cs="Arial"/>
          <w:color w:val="333333"/>
          <w:sz w:val="22"/>
          <w:shd w:val="clear" w:color="auto" w:fill="FFFFFF"/>
        </w:rPr>
        <w:t xml:space="preserve"> of 1μg/ml</w:t>
      </w:r>
      <w:r w:rsidR="00D549A8" w:rsidRPr="00287FFE">
        <w:rPr>
          <w:rFonts w:ascii="Arial" w:hAnsi="Arial" w:cs="Arial"/>
          <w:color w:val="333333"/>
          <w:sz w:val="22"/>
          <w:shd w:val="clear" w:color="auto" w:fill="FFFFFF"/>
        </w:rPr>
        <w:t xml:space="preserve"> for 24 hours, then cells are used for Immunoblot analysis.</w:t>
      </w:r>
    </w:p>
    <w:p w:rsidR="000D1DDA" w:rsidRPr="00287FFE" w:rsidRDefault="000D1DDA" w:rsidP="00AC4230">
      <w:pPr>
        <w:spacing w:line="480" w:lineRule="auto"/>
        <w:rPr>
          <w:rFonts w:ascii="Arial" w:hAnsi="Arial" w:cs="Arial"/>
          <w:color w:val="333333"/>
          <w:sz w:val="22"/>
          <w:shd w:val="clear" w:color="auto" w:fill="FFFFFF"/>
        </w:rPr>
      </w:pPr>
    </w:p>
    <w:p w:rsidR="00D75F50" w:rsidRPr="00287FFE" w:rsidRDefault="00D75F50" w:rsidP="00D75F50">
      <w:pPr>
        <w:spacing w:line="480" w:lineRule="auto"/>
        <w:rPr>
          <w:rFonts w:ascii="Arial" w:hAnsi="Arial" w:cs="Arial"/>
          <w:b/>
          <w:color w:val="333333"/>
          <w:sz w:val="22"/>
          <w:shd w:val="clear" w:color="auto" w:fill="FFFFFF"/>
        </w:rPr>
      </w:pPr>
      <w:r w:rsidRPr="00287FFE">
        <w:rPr>
          <w:rFonts w:ascii="Arial" w:hAnsi="Arial" w:cs="Arial"/>
          <w:b/>
          <w:color w:val="333333"/>
          <w:sz w:val="22"/>
          <w:shd w:val="clear" w:color="auto" w:fill="FFFFFF"/>
        </w:rPr>
        <w:t>HIF1A</w:t>
      </w:r>
      <w:r w:rsidR="00F60F73" w:rsidRPr="00287FFE">
        <w:rPr>
          <w:rFonts w:ascii="Arial" w:hAnsi="Arial" w:cs="Arial"/>
          <w:b/>
          <w:color w:val="333333"/>
          <w:sz w:val="22"/>
          <w:shd w:val="clear" w:color="auto" w:fill="FFFFFF"/>
        </w:rPr>
        <w:t xml:space="preserve"> and KDM5A</w:t>
      </w:r>
      <w:r w:rsidRPr="00287FFE">
        <w:rPr>
          <w:rFonts w:ascii="Arial" w:hAnsi="Arial" w:cs="Arial"/>
          <w:b/>
          <w:color w:val="333333"/>
          <w:sz w:val="22"/>
          <w:shd w:val="clear" w:color="auto" w:fill="FFFFFF"/>
        </w:rPr>
        <w:t xml:space="preserve"> knockdown</w:t>
      </w:r>
    </w:p>
    <w:p w:rsidR="0070062A" w:rsidRPr="00287FFE" w:rsidRDefault="00D75F50" w:rsidP="00AC4230">
      <w:pPr>
        <w:spacing w:line="480" w:lineRule="auto"/>
        <w:rPr>
          <w:rFonts w:ascii="Arial" w:hAnsi="Arial" w:cs="Arial"/>
          <w:color w:val="333333"/>
          <w:sz w:val="22"/>
          <w:shd w:val="clear" w:color="auto" w:fill="FFFFFF"/>
        </w:rPr>
      </w:pPr>
      <w:r w:rsidRPr="00287FFE">
        <w:rPr>
          <w:rFonts w:ascii="Arial" w:hAnsi="Arial" w:cs="Arial"/>
          <w:color w:val="333333"/>
          <w:sz w:val="22"/>
          <w:shd w:val="clear" w:color="auto" w:fill="FFFFFF"/>
        </w:rPr>
        <w:t>HIF1A</w:t>
      </w:r>
      <w:r w:rsidR="00F60F73" w:rsidRPr="00287FFE">
        <w:rPr>
          <w:rFonts w:ascii="Arial" w:hAnsi="Arial" w:cs="Arial"/>
          <w:color w:val="333333"/>
          <w:sz w:val="22"/>
          <w:shd w:val="clear" w:color="auto" w:fill="FFFFFF"/>
        </w:rPr>
        <w:t xml:space="preserve"> and KDM5A </w:t>
      </w:r>
      <w:r w:rsidR="0070062A" w:rsidRPr="00287FFE">
        <w:rPr>
          <w:rFonts w:ascii="Arial" w:hAnsi="Arial" w:cs="Arial"/>
          <w:color w:val="333333"/>
          <w:sz w:val="22"/>
          <w:shd w:val="clear" w:color="auto" w:fill="FFFFFF"/>
        </w:rPr>
        <w:t>si</w:t>
      </w:r>
      <w:r w:rsidRPr="00287FFE">
        <w:rPr>
          <w:rFonts w:ascii="Arial" w:hAnsi="Arial" w:cs="Arial"/>
          <w:color w:val="333333"/>
          <w:sz w:val="22"/>
          <w:shd w:val="clear" w:color="auto" w:fill="FFFFFF"/>
        </w:rPr>
        <w:t>RNAs or scrambled control s</w:t>
      </w:r>
      <w:r w:rsidR="0070062A" w:rsidRPr="00287FFE">
        <w:rPr>
          <w:rFonts w:ascii="Arial" w:hAnsi="Arial" w:cs="Arial"/>
          <w:color w:val="333333"/>
          <w:sz w:val="22"/>
          <w:shd w:val="clear" w:color="auto" w:fill="FFFFFF"/>
        </w:rPr>
        <w:t>i</w:t>
      </w:r>
      <w:r w:rsidRPr="00287FFE">
        <w:rPr>
          <w:rFonts w:ascii="Arial" w:hAnsi="Arial" w:cs="Arial"/>
          <w:color w:val="333333"/>
          <w:sz w:val="22"/>
          <w:shd w:val="clear" w:color="auto" w:fill="FFFFFF"/>
        </w:rPr>
        <w:t>RNA were designed</w:t>
      </w:r>
      <w:r w:rsidR="0070062A" w:rsidRPr="00287FFE">
        <w:rPr>
          <w:rFonts w:ascii="Arial" w:hAnsi="Arial" w:cs="Arial"/>
          <w:color w:val="333333"/>
          <w:sz w:val="22"/>
          <w:shd w:val="clear" w:color="auto" w:fill="FFFFFF"/>
        </w:rPr>
        <w:t xml:space="preserve"> and</w:t>
      </w:r>
      <w:r w:rsidRPr="00287FFE">
        <w:rPr>
          <w:rFonts w:ascii="Arial" w:hAnsi="Arial" w:cs="Arial"/>
          <w:color w:val="333333"/>
          <w:sz w:val="22"/>
          <w:shd w:val="clear" w:color="auto" w:fill="FFFFFF"/>
        </w:rPr>
        <w:t xml:space="preserve"> synthesized </w:t>
      </w:r>
      <w:r w:rsidR="0070062A" w:rsidRPr="00287FFE">
        <w:rPr>
          <w:rFonts w:ascii="Arial" w:hAnsi="Arial" w:cs="Arial"/>
          <w:color w:val="333333"/>
          <w:sz w:val="22"/>
          <w:shd w:val="clear" w:color="auto" w:fill="FFFFFF"/>
        </w:rPr>
        <w:t xml:space="preserve">from HANBIO (Shanghai, China). Cells were plated into six-well plates (3×105 cells per well). </w:t>
      </w:r>
      <w:r w:rsidR="00FA41DE" w:rsidRPr="00287FFE">
        <w:rPr>
          <w:rFonts w:ascii="Arial" w:hAnsi="Arial" w:cs="Arial"/>
          <w:color w:val="333333"/>
          <w:sz w:val="22"/>
          <w:shd w:val="clear" w:color="auto" w:fill="FFFFFF"/>
        </w:rPr>
        <w:t xml:space="preserve">Before transfection, the culture medium was replaced with </w:t>
      </w:r>
      <w:r w:rsidR="00FA41DE" w:rsidRPr="00287FFE">
        <w:rPr>
          <w:rFonts w:ascii="Arial" w:hAnsi="Arial" w:cs="Arial"/>
          <w:color w:val="333333"/>
          <w:sz w:val="22"/>
          <w:shd w:val="clear" w:color="auto" w:fill="FFFFFF"/>
        </w:rPr>
        <w:lastRenderedPageBreak/>
        <w:t xml:space="preserve">DMEM with 10%FBS. </w:t>
      </w:r>
      <w:r w:rsidR="0070062A" w:rsidRPr="00287FFE">
        <w:rPr>
          <w:rFonts w:ascii="Arial" w:hAnsi="Arial" w:cs="Arial"/>
          <w:color w:val="333333"/>
          <w:sz w:val="22"/>
          <w:shd w:val="clear" w:color="auto" w:fill="FFFFFF"/>
        </w:rPr>
        <w:t>SiRNA and negative control siRNA were incubated with iMAX</w:t>
      </w:r>
      <w:r w:rsidR="00F94835" w:rsidRPr="00287FFE">
        <w:rPr>
          <w:rFonts w:ascii="Arial" w:hAnsi="Arial" w:cs="Arial"/>
          <w:color w:val="333333"/>
          <w:sz w:val="22"/>
          <w:shd w:val="clear" w:color="auto" w:fill="FFFFFF"/>
        </w:rPr>
        <w:t xml:space="preserve"> (Thermo Fisher Scientific)</w:t>
      </w:r>
      <w:r w:rsidR="0070062A" w:rsidRPr="00287FFE">
        <w:rPr>
          <w:rFonts w:ascii="Arial" w:hAnsi="Arial" w:cs="Arial"/>
          <w:color w:val="333333"/>
          <w:sz w:val="22"/>
          <w:shd w:val="clear" w:color="auto" w:fill="FFFFFF"/>
        </w:rPr>
        <w:t xml:space="preserve"> in OPTIMEM medium for 15 minutes, and </w:t>
      </w:r>
      <w:r w:rsidR="00FA41DE" w:rsidRPr="00287FFE">
        <w:rPr>
          <w:rFonts w:ascii="Arial" w:hAnsi="Arial" w:cs="Arial"/>
          <w:color w:val="333333"/>
          <w:sz w:val="22"/>
          <w:shd w:val="clear" w:color="auto" w:fill="FFFFFF"/>
        </w:rPr>
        <w:t>then transferred to DMEM medium for 72 hours.</w:t>
      </w:r>
    </w:p>
    <w:p w:rsidR="007C660B" w:rsidRPr="00287FFE" w:rsidRDefault="007C660B" w:rsidP="003C2B7A">
      <w:pPr>
        <w:jc w:val="left"/>
        <w:rPr>
          <w:rFonts w:ascii="Arial" w:hAnsi="Arial" w:cs="Arial"/>
          <w:color w:val="333333"/>
          <w:sz w:val="22"/>
          <w:shd w:val="clear" w:color="auto" w:fill="FFFFFF"/>
        </w:rPr>
      </w:pPr>
    </w:p>
    <w:p w:rsidR="00311632" w:rsidRPr="00287FFE" w:rsidRDefault="00BC0C46" w:rsidP="003C2B7A">
      <w:pPr>
        <w:jc w:val="left"/>
        <w:rPr>
          <w:rFonts w:ascii="Arial" w:hAnsi="Arial" w:cs="Arial"/>
          <w:b/>
          <w:color w:val="333333"/>
          <w:sz w:val="22"/>
          <w:shd w:val="clear" w:color="auto" w:fill="FFFFFF"/>
        </w:rPr>
      </w:pPr>
      <w:r w:rsidRPr="00287FFE">
        <w:rPr>
          <w:rFonts w:ascii="Arial" w:hAnsi="Arial" w:cs="Arial"/>
          <w:b/>
          <w:color w:val="333333"/>
          <w:sz w:val="22"/>
          <w:shd w:val="clear" w:color="auto" w:fill="FFFFFF"/>
        </w:rPr>
        <w:t>Sequences of primers for quantitative RT-PCR</w:t>
      </w:r>
      <w:r w:rsidR="009C2458" w:rsidRPr="00287FFE">
        <w:rPr>
          <w:rFonts w:ascii="Arial" w:hAnsi="Arial" w:cs="Arial"/>
          <w:b/>
          <w:color w:val="333333"/>
          <w:sz w:val="22"/>
          <w:shd w:val="clear" w:color="auto" w:fill="FFFFFF"/>
        </w:rPr>
        <w:t xml:space="preserve"> and CHIP-PCR</w:t>
      </w:r>
    </w:p>
    <w:p w:rsidR="009D0F6E" w:rsidRPr="00287FFE" w:rsidRDefault="009D0F6E" w:rsidP="003C2B7A">
      <w:pPr>
        <w:jc w:val="left"/>
        <w:rPr>
          <w:rFonts w:ascii="Arial" w:hAnsi="Arial" w:cs="Arial"/>
          <w:color w:val="333333"/>
          <w:sz w:val="22"/>
          <w:shd w:val="clear" w:color="auto" w:fill="FFFFFF"/>
        </w:rPr>
      </w:pP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9"/>
        <w:gridCol w:w="3700"/>
        <w:gridCol w:w="3317"/>
      </w:tblGrid>
      <w:tr w:rsidR="00BC0C46" w:rsidRPr="00287FFE" w:rsidTr="009C2458">
        <w:tc>
          <w:tcPr>
            <w:tcW w:w="1852" w:type="dxa"/>
            <w:vMerge w:val="restart"/>
            <w:tcBorders>
              <w:top w:val="single" w:sz="4" w:space="0" w:color="auto"/>
              <w:bottom w:val="nil"/>
            </w:tcBorders>
          </w:tcPr>
          <w:p w:rsidR="00BC0C46" w:rsidRPr="00287FFE" w:rsidRDefault="00BC0C46" w:rsidP="00BC0C46">
            <w:pPr>
              <w:jc w:val="center"/>
              <w:rPr>
                <w:rFonts w:ascii="Arial" w:hAnsi="Arial" w:cs="Arial"/>
                <w:sz w:val="22"/>
              </w:rPr>
            </w:pPr>
            <w:r w:rsidRPr="00287FFE">
              <w:rPr>
                <w:rFonts w:ascii="Arial" w:hAnsi="Arial" w:cs="Arial"/>
                <w:b/>
                <w:sz w:val="22"/>
              </w:rPr>
              <w:t>Gene</w:t>
            </w:r>
          </w:p>
        </w:tc>
        <w:tc>
          <w:tcPr>
            <w:tcW w:w="6454" w:type="dxa"/>
            <w:gridSpan w:val="2"/>
            <w:tcBorders>
              <w:top w:val="single" w:sz="4" w:space="0" w:color="auto"/>
              <w:bottom w:val="nil"/>
            </w:tcBorders>
          </w:tcPr>
          <w:p w:rsidR="00BC0C46" w:rsidRPr="00287FFE" w:rsidRDefault="00BC0C46" w:rsidP="00BC0C46">
            <w:pPr>
              <w:jc w:val="center"/>
              <w:rPr>
                <w:rFonts w:ascii="Arial" w:hAnsi="Arial" w:cs="Arial"/>
                <w:b/>
                <w:color w:val="000000"/>
                <w:sz w:val="22"/>
              </w:rPr>
            </w:pPr>
            <w:r w:rsidRPr="00287FFE">
              <w:rPr>
                <w:rFonts w:ascii="Arial" w:hAnsi="Arial" w:cs="Arial"/>
                <w:b/>
                <w:color w:val="000000"/>
                <w:sz w:val="22"/>
              </w:rPr>
              <w:t>Sequence 5′-3′</w:t>
            </w:r>
          </w:p>
        </w:tc>
      </w:tr>
      <w:tr w:rsidR="00BC0C46" w:rsidRPr="00287FFE" w:rsidTr="009C2458">
        <w:tc>
          <w:tcPr>
            <w:tcW w:w="1852" w:type="dxa"/>
            <w:vMerge/>
            <w:tcBorders>
              <w:top w:val="nil"/>
              <w:bottom w:val="single" w:sz="4" w:space="0" w:color="auto"/>
            </w:tcBorders>
          </w:tcPr>
          <w:p w:rsidR="00BC0C46" w:rsidRPr="00287FFE" w:rsidRDefault="00BC0C46">
            <w:pPr>
              <w:rPr>
                <w:rFonts w:ascii="Arial" w:hAnsi="Arial" w:cs="Arial"/>
                <w:sz w:val="22"/>
              </w:rPr>
            </w:pPr>
          </w:p>
        </w:tc>
        <w:tc>
          <w:tcPr>
            <w:tcW w:w="3226" w:type="dxa"/>
            <w:tcBorders>
              <w:top w:val="nil"/>
              <w:bottom w:val="single" w:sz="4" w:space="0" w:color="auto"/>
            </w:tcBorders>
          </w:tcPr>
          <w:p w:rsidR="00BC0C46" w:rsidRPr="00287FFE" w:rsidRDefault="00BC0C46" w:rsidP="00BC0C46">
            <w:pPr>
              <w:jc w:val="center"/>
              <w:rPr>
                <w:rFonts w:ascii="Arial" w:hAnsi="Arial" w:cs="Arial"/>
                <w:b/>
                <w:sz w:val="22"/>
              </w:rPr>
            </w:pPr>
            <w:r w:rsidRPr="00287FFE">
              <w:rPr>
                <w:rFonts w:ascii="Arial" w:hAnsi="Arial" w:cs="Arial"/>
                <w:b/>
                <w:sz w:val="22"/>
              </w:rPr>
              <w:t>forward</w:t>
            </w:r>
          </w:p>
        </w:tc>
        <w:tc>
          <w:tcPr>
            <w:tcW w:w="3228" w:type="dxa"/>
            <w:tcBorders>
              <w:top w:val="nil"/>
              <w:bottom w:val="single" w:sz="4" w:space="0" w:color="auto"/>
            </w:tcBorders>
          </w:tcPr>
          <w:p w:rsidR="00BC0C46" w:rsidRPr="00287FFE" w:rsidRDefault="00BC0C46" w:rsidP="00BC0C46">
            <w:pPr>
              <w:jc w:val="center"/>
              <w:rPr>
                <w:rFonts w:ascii="Arial" w:hAnsi="Arial" w:cs="Arial"/>
                <w:b/>
                <w:sz w:val="22"/>
              </w:rPr>
            </w:pPr>
            <w:r w:rsidRPr="00287FFE">
              <w:rPr>
                <w:rFonts w:ascii="Arial" w:hAnsi="Arial" w:cs="Arial"/>
                <w:b/>
                <w:sz w:val="22"/>
              </w:rPr>
              <w:t>reverse</w:t>
            </w:r>
          </w:p>
        </w:tc>
      </w:tr>
      <w:tr w:rsidR="00BC0C46" w:rsidRPr="00287FFE" w:rsidTr="009C2458">
        <w:tc>
          <w:tcPr>
            <w:tcW w:w="1852" w:type="dxa"/>
            <w:tcBorders>
              <w:top w:val="single" w:sz="4" w:space="0" w:color="auto"/>
              <w:bottom w:val="single" w:sz="4" w:space="0" w:color="auto"/>
            </w:tcBorders>
          </w:tcPr>
          <w:p w:rsidR="00BC0C46" w:rsidRPr="00287FFE" w:rsidRDefault="009C2458">
            <w:pPr>
              <w:rPr>
                <w:rFonts w:ascii="Arial" w:hAnsi="Arial" w:cs="Arial"/>
                <w:b/>
                <w:sz w:val="22"/>
              </w:rPr>
            </w:pPr>
            <w:r w:rsidRPr="00287FFE">
              <w:rPr>
                <w:rFonts w:ascii="Arial" w:hAnsi="Arial" w:cs="Arial"/>
                <w:b/>
                <w:sz w:val="22"/>
              </w:rPr>
              <w:t>RT-PCR</w:t>
            </w:r>
          </w:p>
        </w:tc>
        <w:tc>
          <w:tcPr>
            <w:tcW w:w="3226" w:type="dxa"/>
            <w:tcBorders>
              <w:top w:val="single" w:sz="4" w:space="0" w:color="auto"/>
              <w:bottom w:val="single" w:sz="4" w:space="0" w:color="auto"/>
            </w:tcBorders>
          </w:tcPr>
          <w:p w:rsidR="00BC0C46" w:rsidRPr="00287FFE" w:rsidRDefault="00BC0C46">
            <w:pPr>
              <w:rPr>
                <w:rFonts w:ascii="Arial" w:hAnsi="Arial" w:cs="Arial"/>
                <w:sz w:val="22"/>
              </w:rPr>
            </w:pPr>
          </w:p>
        </w:tc>
        <w:tc>
          <w:tcPr>
            <w:tcW w:w="3228" w:type="dxa"/>
            <w:tcBorders>
              <w:top w:val="single" w:sz="4" w:space="0" w:color="auto"/>
              <w:bottom w:val="single" w:sz="4" w:space="0" w:color="auto"/>
            </w:tcBorders>
          </w:tcPr>
          <w:p w:rsidR="00BC0C46" w:rsidRPr="00287FFE" w:rsidRDefault="00BC0C46">
            <w:pPr>
              <w:rPr>
                <w:rFonts w:ascii="Arial" w:hAnsi="Arial" w:cs="Arial"/>
                <w:sz w:val="22"/>
              </w:rPr>
            </w:pPr>
          </w:p>
        </w:tc>
      </w:tr>
      <w:tr w:rsidR="009C2458" w:rsidRPr="00287FFE" w:rsidTr="009C2458">
        <w:tc>
          <w:tcPr>
            <w:tcW w:w="1852" w:type="dxa"/>
            <w:tcBorders>
              <w:top w:val="single" w:sz="4" w:space="0" w:color="auto"/>
              <w:bottom w:val="nil"/>
            </w:tcBorders>
          </w:tcPr>
          <w:p w:rsidR="009C2458" w:rsidRPr="00287FFE" w:rsidRDefault="009C2458" w:rsidP="009C2458">
            <w:pPr>
              <w:rPr>
                <w:rFonts w:ascii="Arial" w:hAnsi="Arial" w:cs="Arial"/>
                <w:sz w:val="22"/>
              </w:rPr>
            </w:pPr>
            <w:r w:rsidRPr="00287FFE">
              <w:rPr>
                <w:rFonts w:ascii="Arial" w:hAnsi="Arial" w:cs="Arial"/>
                <w:sz w:val="22"/>
              </w:rPr>
              <w:t>NOX4</w:t>
            </w:r>
          </w:p>
        </w:tc>
        <w:tc>
          <w:tcPr>
            <w:tcW w:w="3226" w:type="dxa"/>
            <w:tcBorders>
              <w:top w:val="single" w:sz="4" w:space="0" w:color="auto"/>
              <w:bottom w:val="nil"/>
            </w:tcBorders>
          </w:tcPr>
          <w:p w:rsidR="009C2458" w:rsidRPr="00287FFE" w:rsidRDefault="009C2458" w:rsidP="009C2458">
            <w:pPr>
              <w:rPr>
                <w:rFonts w:ascii="Arial" w:hAnsi="Arial" w:cs="Arial"/>
                <w:sz w:val="22"/>
              </w:rPr>
            </w:pPr>
            <w:r w:rsidRPr="00287FFE">
              <w:rPr>
                <w:rFonts w:ascii="Arial" w:hAnsi="Arial" w:cs="Arial"/>
                <w:sz w:val="22"/>
              </w:rPr>
              <w:t>GTCTTTGACCCTCGGTCCTC</w:t>
            </w:r>
          </w:p>
        </w:tc>
        <w:tc>
          <w:tcPr>
            <w:tcW w:w="3228" w:type="dxa"/>
            <w:tcBorders>
              <w:top w:val="single" w:sz="4" w:space="0" w:color="auto"/>
              <w:bottom w:val="nil"/>
            </w:tcBorders>
          </w:tcPr>
          <w:p w:rsidR="009C2458" w:rsidRPr="00287FFE" w:rsidRDefault="009C2458" w:rsidP="009C2458">
            <w:pPr>
              <w:rPr>
                <w:rFonts w:ascii="Arial" w:hAnsi="Arial" w:cs="Arial"/>
                <w:sz w:val="22"/>
              </w:rPr>
            </w:pPr>
            <w:r w:rsidRPr="00287FFE">
              <w:rPr>
                <w:rFonts w:ascii="Arial" w:hAnsi="Arial" w:cs="Arial"/>
                <w:sz w:val="22"/>
              </w:rPr>
              <w:t>GAGTGTTCGGCACATGGGTA</w:t>
            </w:r>
          </w:p>
        </w:tc>
      </w:tr>
      <w:tr w:rsidR="009C2458" w:rsidRPr="00287FFE" w:rsidTr="009C2458">
        <w:tc>
          <w:tcPr>
            <w:tcW w:w="1852" w:type="dxa"/>
            <w:tcBorders>
              <w:top w:val="nil"/>
              <w:bottom w:val="nil"/>
            </w:tcBorders>
          </w:tcPr>
          <w:p w:rsidR="009C2458" w:rsidRPr="00287FFE" w:rsidRDefault="009C2458" w:rsidP="009C2458">
            <w:pPr>
              <w:rPr>
                <w:rFonts w:ascii="Arial" w:hAnsi="Arial" w:cs="Arial"/>
                <w:sz w:val="22"/>
              </w:rPr>
            </w:pPr>
            <w:r w:rsidRPr="00287FFE">
              <w:rPr>
                <w:rFonts w:ascii="Arial" w:hAnsi="Arial" w:cs="Arial"/>
                <w:sz w:val="22"/>
              </w:rPr>
              <w:t>VIM</w:t>
            </w:r>
          </w:p>
        </w:tc>
        <w:tc>
          <w:tcPr>
            <w:tcW w:w="3226" w:type="dxa"/>
            <w:tcBorders>
              <w:top w:val="nil"/>
              <w:bottom w:val="nil"/>
            </w:tcBorders>
          </w:tcPr>
          <w:p w:rsidR="009C2458" w:rsidRPr="00287FFE" w:rsidRDefault="009C2458" w:rsidP="009C2458">
            <w:pPr>
              <w:rPr>
                <w:rFonts w:ascii="Arial" w:hAnsi="Arial" w:cs="Arial"/>
                <w:sz w:val="22"/>
              </w:rPr>
            </w:pPr>
            <w:r w:rsidRPr="00287FFE">
              <w:rPr>
                <w:rFonts w:ascii="Arial" w:hAnsi="Arial" w:cs="Arial"/>
                <w:sz w:val="22"/>
              </w:rPr>
              <w:t>TCCGCACATTCGAGCAAAGA</w:t>
            </w:r>
          </w:p>
        </w:tc>
        <w:tc>
          <w:tcPr>
            <w:tcW w:w="3228" w:type="dxa"/>
            <w:tcBorders>
              <w:top w:val="nil"/>
              <w:bottom w:val="nil"/>
            </w:tcBorders>
          </w:tcPr>
          <w:p w:rsidR="009C2458" w:rsidRPr="00287FFE" w:rsidRDefault="009C2458" w:rsidP="009C2458">
            <w:pPr>
              <w:rPr>
                <w:rFonts w:ascii="Arial" w:hAnsi="Arial" w:cs="Arial"/>
                <w:sz w:val="22"/>
              </w:rPr>
            </w:pPr>
            <w:r w:rsidRPr="00287FFE">
              <w:rPr>
                <w:rFonts w:ascii="Arial" w:hAnsi="Arial" w:cs="Arial"/>
                <w:sz w:val="22"/>
              </w:rPr>
              <w:t>ATTCAAGTCTCAGCGGGCTC</w:t>
            </w:r>
          </w:p>
        </w:tc>
      </w:tr>
      <w:tr w:rsidR="009C2458" w:rsidRPr="00287FFE" w:rsidTr="009C2458">
        <w:tc>
          <w:tcPr>
            <w:tcW w:w="1852" w:type="dxa"/>
            <w:tcBorders>
              <w:top w:val="nil"/>
              <w:bottom w:val="nil"/>
            </w:tcBorders>
          </w:tcPr>
          <w:p w:rsidR="009C2458" w:rsidRPr="00287FFE" w:rsidRDefault="009C2458" w:rsidP="009C2458">
            <w:pPr>
              <w:rPr>
                <w:rFonts w:ascii="Arial" w:hAnsi="Arial" w:cs="Arial"/>
                <w:sz w:val="22"/>
              </w:rPr>
            </w:pPr>
            <w:r w:rsidRPr="00287FFE">
              <w:rPr>
                <w:rFonts w:ascii="Arial" w:hAnsi="Arial" w:cs="Arial"/>
                <w:sz w:val="22"/>
              </w:rPr>
              <w:t>CDH1</w:t>
            </w:r>
          </w:p>
        </w:tc>
        <w:tc>
          <w:tcPr>
            <w:tcW w:w="3226" w:type="dxa"/>
            <w:tcBorders>
              <w:top w:val="nil"/>
              <w:bottom w:val="nil"/>
            </w:tcBorders>
          </w:tcPr>
          <w:p w:rsidR="009C2458" w:rsidRPr="00287FFE" w:rsidRDefault="009C2458" w:rsidP="009C2458">
            <w:pPr>
              <w:rPr>
                <w:rFonts w:ascii="Arial" w:hAnsi="Arial" w:cs="Arial"/>
                <w:sz w:val="22"/>
              </w:rPr>
            </w:pPr>
            <w:r w:rsidRPr="00287FFE">
              <w:rPr>
                <w:rFonts w:ascii="Arial" w:hAnsi="Arial" w:cs="Arial"/>
                <w:sz w:val="22"/>
              </w:rPr>
              <w:t>GGGGTCTGTCATGGAAGGTG</w:t>
            </w:r>
          </w:p>
        </w:tc>
        <w:tc>
          <w:tcPr>
            <w:tcW w:w="3228" w:type="dxa"/>
            <w:tcBorders>
              <w:top w:val="nil"/>
              <w:bottom w:val="nil"/>
            </w:tcBorders>
          </w:tcPr>
          <w:p w:rsidR="009C2458" w:rsidRPr="00287FFE" w:rsidRDefault="009C2458" w:rsidP="009C2458">
            <w:pPr>
              <w:rPr>
                <w:rFonts w:ascii="Arial" w:hAnsi="Arial" w:cs="Arial"/>
                <w:sz w:val="22"/>
              </w:rPr>
            </w:pPr>
            <w:r w:rsidRPr="00287FFE">
              <w:rPr>
                <w:rFonts w:ascii="Arial" w:hAnsi="Arial" w:cs="Arial"/>
                <w:sz w:val="22"/>
              </w:rPr>
              <w:t>CAAAATCCAAGCCCGTGGTG</w:t>
            </w:r>
          </w:p>
        </w:tc>
      </w:tr>
      <w:tr w:rsidR="009C2458" w:rsidRPr="00287FFE" w:rsidTr="009C2458">
        <w:tc>
          <w:tcPr>
            <w:tcW w:w="1852" w:type="dxa"/>
            <w:tcBorders>
              <w:top w:val="nil"/>
              <w:bottom w:val="nil"/>
            </w:tcBorders>
          </w:tcPr>
          <w:p w:rsidR="009C2458" w:rsidRPr="00287FFE" w:rsidRDefault="009C2458" w:rsidP="009C2458">
            <w:pPr>
              <w:rPr>
                <w:rFonts w:ascii="Arial" w:hAnsi="Arial" w:cs="Arial"/>
                <w:sz w:val="22"/>
              </w:rPr>
            </w:pPr>
            <w:r w:rsidRPr="00287FFE">
              <w:rPr>
                <w:rFonts w:ascii="Arial" w:hAnsi="Arial" w:cs="Arial"/>
                <w:sz w:val="22"/>
              </w:rPr>
              <w:t>CDH2</w:t>
            </w:r>
          </w:p>
        </w:tc>
        <w:tc>
          <w:tcPr>
            <w:tcW w:w="3226" w:type="dxa"/>
            <w:tcBorders>
              <w:top w:val="nil"/>
              <w:bottom w:val="nil"/>
            </w:tcBorders>
          </w:tcPr>
          <w:p w:rsidR="009C2458" w:rsidRPr="00287FFE" w:rsidRDefault="009C2458" w:rsidP="009C2458">
            <w:pPr>
              <w:rPr>
                <w:rFonts w:ascii="Arial" w:hAnsi="Arial" w:cs="Arial"/>
                <w:sz w:val="22"/>
              </w:rPr>
            </w:pPr>
            <w:r w:rsidRPr="00287FFE">
              <w:rPr>
                <w:rFonts w:ascii="Arial" w:hAnsi="Arial" w:cs="Arial"/>
                <w:sz w:val="22"/>
              </w:rPr>
              <w:t>ATGGGAAATGGAAACTTGATGGC</w:t>
            </w:r>
          </w:p>
        </w:tc>
        <w:tc>
          <w:tcPr>
            <w:tcW w:w="3228" w:type="dxa"/>
            <w:tcBorders>
              <w:top w:val="nil"/>
              <w:bottom w:val="nil"/>
            </w:tcBorders>
          </w:tcPr>
          <w:p w:rsidR="009C2458" w:rsidRPr="00287FFE" w:rsidRDefault="009C2458" w:rsidP="009C2458">
            <w:pPr>
              <w:rPr>
                <w:rFonts w:ascii="Arial" w:hAnsi="Arial" w:cs="Arial"/>
                <w:sz w:val="22"/>
              </w:rPr>
            </w:pPr>
            <w:r w:rsidRPr="00287FFE">
              <w:rPr>
                <w:rFonts w:ascii="Arial" w:hAnsi="Arial" w:cs="Arial"/>
                <w:sz w:val="22"/>
              </w:rPr>
              <w:t>TGGAAAGCTTCTCACGGCAT</w:t>
            </w:r>
          </w:p>
        </w:tc>
      </w:tr>
      <w:tr w:rsidR="009C2458" w:rsidRPr="00287FFE" w:rsidTr="009C2458">
        <w:tc>
          <w:tcPr>
            <w:tcW w:w="1852" w:type="dxa"/>
            <w:tcBorders>
              <w:top w:val="nil"/>
              <w:bottom w:val="nil"/>
            </w:tcBorders>
          </w:tcPr>
          <w:p w:rsidR="009C2458" w:rsidRPr="00287FFE" w:rsidRDefault="009C2458" w:rsidP="009C2458">
            <w:pPr>
              <w:rPr>
                <w:rFonts w:ascii="Arial" w:hAnsi="Arial" w:cs="Arial"/>
                <w:sz w:val="22"/>
              </w:rPr>
            </w:pPr>
            <w:r w:rsidRPr="00287FFE">
              <w:rPr>
                <w:rFonts w:ascii="Arial" w:hAnsi="Arial" w:cs="Arial"/>
                <w:sz w:val="22"/>
              </w:rPr>
              <w:t>SNAIL1</w:t>
            </w:r>
          </w:p>
        </w:tc>
        <w:tc>
          <w:tcPr>
            <w:tcW w:w="3226" w:type="dxa"/>
            <w:tcBorders>
              <w:top w:val="nil"/>
              <w:bottom w:val="nil"/>
            </w:tcBorders>
          </w:tcPr>
          <w:p w:rsidR="009C2458" w:rsidRPr="00287FFE" w:rsidRDefault="009C2458" w:rsidP="009C2458">
            <w:pPr>
              <w:rPr>
                <w:rFonts w:ascii="Arial" w:hAnsi="Arial" w:cs="Arial"/>
                <w:sz w:val="22"/>
              </w:rPr>
            </w:pPr>
            <w:r w:rsidRPr="00287FFE">
              <w:rPr>
                <w:rFonts w:ascii="Arial" w:hAnsi="Arial" w:cs="Arial"/>
                <w:sz w:val="22"/>
              </w:rPr>
              <w:t>CGAGTGGTTCTTCTGCGCTA</w:t>
            </w:r>
          </w:p>
        </w:tc>
        <w:tc>
          <w:tcPr>
            <w:tcW w:w="3228" w:type="dxa"/>
            <w:tcBorders>
              <w:top w:val="nil"/>
              <w:bottom w:val="nil"/>
            </w:tcBorders>
          </w:tcPr>
          <w:p w:rsidR="009C2458" w:rsidRPr="00287FFE" w:rsidRDefault="009C2458" w:rsidP="009C2458">
            <w:pPr>
              <w:rPr>
                <w:rFonts w:ascii="Arial" w:hAnsi="Arial" w:cs="Arial"/>
                <w:sz w:val="22"/>
              </w:rPr>
            </w:pPr>
            <w:r w:rsidRPr="00287FFE">
              <w:rPr>
                <w:rFonts w:ascii="Arial" w:hAnsi="Arial" w:cs="Arial"/>
                <w:sz w:val="22"/>
              </w:rPr>
              <w:t>GGGCTGCTGGAAGGTAAACT</w:t>
            </w:r>
          </w:p>
        </w:tc>
      </w:tr>
      <w:tr w:rsidR="009C2458" w:rsidRPr="00287FFE" w:rsidTr="009C2458">
        <w:tc>
          <w:tcPr>
            <w:tcW w:w="1852" w:type="dxa"/>
            <w:tcBorders>
              <w:top w:val="nil"/>
              <w:bottom w:val="single" w:sz="4" w:space="0" w:color="auto"/>
            </w:tcBorders>
          </w:tcPr>
          <w:p w:rsidR="009C2458" w:rsidRPr="00287FFE" w:rsidRDefault="009C2458" w:rsidP="009C2458">
            <w:pPr>
              <w:rPr>
                <w:rFonts w:ascii="Arial" w:hAnsi="Arial" w:cs="Arial"/>
                <w:sz w:val="22"/>
              </w:rPr>
            </w:pPr>
            <w:r w:rsidRPr="00287FFE">
              <w:rPr>
                <w:rFonts w:ascii="Arial" w:hAnsi="Arial" w:cs="Arial"/>
                <w:sz w:val="22"/>
              </w:rPr>
              <w:t>ACTB</w:t>
            </w:r>
          </w:p>
        </w:tc>
        <w:tc>
          <w:tcPr>
            <w:tcW w:w="3226" w:type="dxa"/>
            <w:tcBorders>
              <w:top w:val="nil"/>
              <w:bottom w:val="single" w:sz="4" w:space="0" w:color="auto"/>
            </w:tcBorders>
          </w:tcPr>
          <w:p w:rsidR="009C2458" w:rsidRPr="00287FFE" w:rsidRDefault="009C2458" w:rsidP="009C2458">
            <w:pPr>
              <w:rPr>
                <w:rFonts w:ascii="Arial" w:hAnsi="Arial" w:cs="Arial"/>
                <w:sz w:val="22"/>
              </w:rPr>
            </w:pPr>
            <w:r w:rsidRPr="00287FFE">
              <w:rPr>
                <w:rFonts w:ascii="Arial" w:hAnsi="Arial" w:cs="Arial"/>
                <w:sz w:val="22"/>
              </w:rPr>
              <w:t>CTCGCCTTTGCCGATCC</w:t>
            </w:r>
          </w:p>
        </w:tc>
        <w:tc>
          <w:tcPr>
            <w:tcW w:w="3228" w:type="dxa"/>
            <w:tcBorders>
              <w:top w:val="nil"/>
              <w:bottom w:val="single" w:sz="4" w:space="0" w:color="auto"/>
            </w:tcBorders>
          </w:tcPr>
          <w:p w:rsidR="009C2458" w:rsidRPr="00287FFE" w:rsidRDefault="009C2458" w:rsidP="009C2458">
            <w:pPr>
              <w:rPr>
                <w:rFonts w:ascii="Arial" w:hAnsi="Arial" w:cs="Arial"/>
                <w:sz w:val="22"/>
              </w:rPr>
            </w:pPr>
            <w:r w:rsidRPr="00287FFE">
              <w:rPr>
                <w:rFonts w:ascii="Arial" w:hAnsi="Arial" w:cs="Arial"/>
                <w:sz w:val="22"/>
              </w:rPr>
              <w:t>TCTCCATGTCGTCCCAGTTG</w:t>
            </w:r>
          </w:p>
        </w:tc>
      </w:tr>
      <w:tr w:rsidR="009C2458" w:rsidRPr="00287FFE" w:rsidTr="009C2458">
        <w:tc>
          <w:tcPr>
            <w:tcW w:w="1852" w:type="dxa"/>
            <w:tcBorders>
              <w:top w:val="single" w:sz="4" w:space="0" w:color="auto"/>
              <w:bottom w:val="single" w:sz="4" w:space="0" w:color="auto"/>
            </w:tcBorders>
          </w:tcPr>
          <w:p w:rsidR="009C2458" w:rsidRPr="00287FFE" w:rsidRDefault="009C2458" w:rsidP="009C2458">
            <w:pPr>
              <w:rPr>
                <w:rFonts w:ascii="Arial" w:hAnsi="Arial" w:cs="Arial"/>
                <w:b/>
                <w:sz w:val="22"/>
              </w:rPr>
            </w:pPr>
            <w:r w:rsidRPr="00287FFE">
              <w:rPr>
                <w:rFonts w:ascii="Arial" w:hAnsi="Arial" w:cs="Arial"/>
                <w:b/>
                <w:sz w:val="22"/>
              </w:rPr>
              <w:t>CHIP-PCR</w:t>
            </w:r>
          </w:p>
        </w:tc>
        <w:tc>
          <w:tcPr>
            <w:tcW w:w="3226" w:type="dxa"/>
            <w:tcBorders>
              <w:top w:val="single" w:sz="4" w:space="0" w:color="auto"/>
              <w:bottom w:val="single" w:sz="4" w:space="0" w:color="auto"/>
            </w:tcBorders>
          </w:tcPr>
          <w:p w:rsidR="009C2458" w:rsidRPr="00287FFE" w:rsidRDefault="009C2458" w:rsidP="009C2458">
            <w:pPr>
              <w:rPr>
                <w:rFonts w:ascii="Arial" w:hAnsi="Arial" w:cs="Arial"/>
                <w:sz w:val="22"/>
              </w:rPr>
            </w:pPr>
          </w:p>
        </w:tc>
        <w:tc>
          <w:tcPr>
            <w:tcW w:w="3228" w:type="dxa"/>
            <w:tcBorders>
              <w:top w:val="single" w:sz="4" w:space="0" w:color="auto"/>
              <w:bottom w:val="single" w:sz="4" w:space="0" w:color="auto"/>
            </w:tcBorders>
          </w:tcPr>
          <w:p w:rsidR="009C2458" w:rsidRPr="00287FFE" w:rsidRDefault="009C2458" w:rsidP="009C2458">
            <w:pPr>
              <w:rPr>
                <w:rFonts w:ascii="Arial" w:hAnsi="Arial" w:cs="Arial"/>
                <w:sz w:val="22"/>
              </w:rPr>
            </w:pPr>
          </w:p>
        </w:tc>
      </w:tr>
      <w:tr w:rsidR="009C2458" w:rsidRPr="00287FFE" w:rsidTr="009C2458">
        <w:tc>
          <w:tcPr>
            <w:tcW w:w="1852" w:type="dxa"/>
            <w:tcBorders>
              <w:top w:val="single" w:sz="4" w:space="0" w:color="auto"/>
              <w:bottom w:val="nil"/>
            </w:tcBorders>
          </w:tcPr>
          <w:p w:rsidR="009C2458" w:rsidRPr="00287FFE" w:rsidRDefault="009C2458" w:rsidP="009C2458">
            <w:pPr>
              <w:rPr>
                <w:rFonts w:ascii="Arial" w:hAnsi="Arial" w:cs="Arial"/>
                <w:sz w:val="22"/>
              </w:rPr>
            </w:pPr>
            <w:r w:rsidRPr="00287FFE">
              <w:rPr>
                <w:rFonts w:ascii="Arial" w:hAnsi="Arial" w:cs="Arial"/>
                <w:sz w:val="22"/>
              </w:rPr>
              <w:t xml:space="preserve">SNAIL1 </w:t>
            </w:r>
          </w:p>
        </w:tc>
        <w:tc>
          <w:tcPr>
            <w:tcW w:w="3226" w:type="dxa"/>
            <w:tcBorders>
              <w:top w:val="single" w:sz="4" w:space="0" w:color="auto"/>
              <w:bottom w:val="nil"/>
            </w:tcBorders>
          </w:tcPr>
          <w:p w:rsidR="009C2458" w:rsidRPr="00287FFE" w:rsidRDefault="009C2458" w:rsidP="009C2458">
            <w:pPr>
              <w:rPr>
                <w:rFonts w:ascii="Arial" w:hAnsi="Arial" w:cs="Arial"/>
                <w:sz w:val="22"/>
              </w:rPr>
            </w:pPr>
            <w:r w:rsidRPr="00287FFE">
              <w:rPr>
                <w:rFonts w:ascii="Arial" w:hAnsi="Arial" w:cs="Arial"/>
                <w:sz w:val="22"/>
              </w:rPr>
              <w:t>AGAACCAGGGGAGGACGATT</w:t>
            </w:r>
          </w:p>
        </w:tc>
        <w:tc>
          <w:tcPr>
            <w:tcW w:w="3228" w:type="dxa"/>
            <w:tcBorders>
              <w:top w:val="single" w:sz="4" w:space="0" w:color="auto"/>
              <w:bottom w:val="nil"/>
            </w:tcBorders>
          </w:tcPr>
          <w:p w:rsidR="009C2458" w:rsidRPr="00287FFE" w:rsidRDefault="009C2458" w:rsidP="009C2458">
            <w:pPr>
              <w:rPr>
                <w:rFonts w:ascii="Arial" w:hAnsi="Arial" w:cs="Arial"/>
                <w:sz w:val="22"/>
              </w:rPr>
            </w:pPr>
            <w:r w:rsidRPr="00287FFE">
              <w:rPr>
                <w:rFonts w:ascii="Arial" w:hAnsi="Arial" w:cs="Arial"/>
                <w:sz w:val="22"/>
              </w:rPr>
              <w:t>GGCCTCGTAGGAGTTTGGAC</w:t>
            </w:r>
          </w:p>
        </w:tc>
      </w:tr>
      <w:tr w:rsidR="009C2458" w:rsidRPr="00287FFE" w:rsidTr="009C2458">
        <w:tc>
          <w:tcPr>
            <w:tcW w:w="1852" w:type="dxa"/>
            <w:tcBorders>
              <w:top w:val="nil"/>
            </w:tcBorders>
          </w:tcPr>
          <w:p w:rsidR="009C2458" w:rsidRPr="00287FFE" w:rsidRDefault="009C2458" w:rsidP="009C2458">
            <w:pPr>
              <w:rPr>
                <w:rFonts w:ascii="Arial" w:hAnsi="Arial" w:cs="Arial"/>
                <w:sz w:val="22"/>
              </w:rPr>
            </w:pPr>
            <w:r w:rsidRPr="00287FFE">
              <w:rPr>
                <w:rFonts w:ascii="Arial" w:hAnsi="Arial" w:cs="Arial"/>
                <w:sz w:val="22"/>
              </w:rPr>
              <w:t>SNAIL1 control</w:t>
            </w:r>
          </w:p>
        </w:tc>
        <w:tc>
          <w:tcPr>
            <w:tcW w:w="3226" w:type="dxa"/>
            <w:tcBorders>
              <w:top w:val="nil"/>
            </w:tcBorders>
          </w:tcPr>
          <w:p w:rsidR="009C2458" w:rsidRPr="00287FFE" w:rsidRDefault="009C2458" w:rsidP="009C2458">
            <w:pPr>
              <w:rPr>
                <w:rFonts w:ascii="Arial" w:hAnsi="Arial" w:cs="Arial"/>
                <w:sz w:val="22"/>
              </w:rPr>
            </w:pPr>
            <w:r w:rsidRPr="00287FFE">
              <w:rPr>
                <w:rFonts w:ascii="Arial" w:hAnsi="Arial" w:cs="Arial"/>
                <w:sz w:val="22"/>
              </w:rPr>
              <w:t>CTCGGGCCTTTTCCCTTGAT</w:t>
            </w:r>
          </w:p>
        </w:tc>
        <w:tc>
          <w:tcPr>
            <w:tcW w:w="3228" w:type="dxa"/>
            <w:tcBorders>
              <w:top w:val="nil"/>
            </w:tcBorders>
          </w:tcPr>
          <w:p w:rsidR="009C2458" w:rsidRPr="00287FFE" w:rsidRDefault="009C2458" w:rsidP="009C2458">
            <w:pPr>
              <w:rPr>
                <w:rFonts w:ascii="Arial" w:hAnsi="Arial" w:cs="Arial"/>
                <w:sz w:val="22"/>
              </w:rPr>
            </w:pPr>
            <w:r w:rsidRPr="00287FFE">
              <w:rPr>
                <w:rFonts w:ascii="Arial" w:hAnsi="Arial" w:cs="Arial"/>
                <w:sz w:val="22"/>
              </w:rPr>
              <w:t>TTGACGAGGGAAACGCACAT</w:t>
            </w:r>
          </w:p>
        </w:tc>
      </w:tr>
    </w:tbl>
    <w:p w:rsidR="00BC0C46" w:rsidRPr="00287FFE" w:rsidRDefault="009C2458" w:rsidP="009C2458">
      <w:pPr>
        <w:ind w:firstLineChars="50" w:firstLine="110"/>
        <w:rPr>
          <w:rFonts w:ascii="Arial" w:hAnsi="Arial" w:cs="Arial"/>
          <w:sz w:val="22"/>
        </w:rPr>
      </w:pPr>
      <w:r w:rsidRPr="00287FFE">
        <w:rPr>
          <w:rFonts w:ascii="Arial" w:hAnsi="Arial" w:cs="Arial"/>
          <w:sz w:val="22"/>
        </w:rPr>
        <w:t xml:space="preserve">        </w:t>
      </w:r>
    </w:p>
    <w:p w:rsidR="00BF3897" w:rsidRPr="00287FFE" w:rsidRDefault="00311632" w:rsidP="00FA41DE">
      <w:pPr>
        <w:jc w:val="left"/>
        <w:rPr>
          <w:rFonts w:ascii="Arial" w:hAnsi="Arial" w:cs="Arial"/>
          <w:b/>
          <w:color w:val="333333"/>
          <w:sz w:val="22"/>
          <w:shd w:val="clear" w:color="auto" w:fill="FFFFFF"/>
        </w:rPr>
      </w:pPr>
      <w:r w:rsidRPr="00287FFE">
        <w:rPr>
          <w:rFonts w:ascii="Arial" w:hAnsi="Arial" w:cs="Arial"/>
          <w:b/>
          <w:color w:val="333333"/>
          <w:sz w:val="22"/>
          <w:shd w:val="clear" w:color="auto" w:fill="FFFFFF"/>
        </w:rPr>
        <w:t>Antibodies for western blot</w:t>
      </w:r>
      <w:r w:rsidR="00FA41DE" w:rsidRPr="00287FFE">
        <w:rPr>
          <w:rFonts w:ascii="Arial" w:hAnsi="Arial" w:cs="Arial"/>
          <w:b/>
          <w:color w:val="333333"/>
          <w:sz w:val="22"/>
          <w:shd w:val="clear" w:color="auto" w:fill="FFFFFF"/>
        </w:rPr>
        <w:t xml:space="preserve">, immunohistochemistry and </w:t>
      </w:r>
      <w:r w:rsidR="009C2458" w:rsidRPr="00287FFE">
        <w:rPr>
          <w:rFonts w:ascii="Arial" w:hAnsi="Arial" w:cs="Arial"/>
          <w:b/>
          <w:color w:val="333333"/>
          <w:sz w:val="22"/>
          <w:shd w:val="clear" w:color="auto" w:fill="FFFFFF"/>
        </w:rPr>
        <w:t>immunofluo</w:t>
      </w:r>
      <w:r w:rsidR="00FA41DE" w:rsidRPr="00287FFE">
        <w:rPr>
          <w:rFonts w:ascii="Arial" w:hAnsi="Arial" w:cs="Arial"/>
          <w:b/>
          <w:color w:val="333333"/>
          <w:sz w:val="22"/>
          <w:shd w:val="clear" w:color="auto" w:fill="FFFFFF"/>
        </w:rPr>
        <w:t>-</w:t>
      </w:r>
      <w:r w:rsidR="009C2458" w:rsidRPr="00287FFE">
        <w:rPr>
          <w:rFonts w:ascii="Arial" w:hAnsi="Arial" w:cs="Arial"/>
          <w:b/>
          <w:color w:val="333333"/>
          <w:sz w:val="22"/>
          <w:shd w:val="clear" w:color="auto" w:fill="FFFFFF"/>
        </w:rPr>
        <w:t>rescence</w:t>
      </w:r>
    </w:p>
    <w:tbl>
      <w:tblPr>
        <w:tblW w:w="0" w:type="auto"/>
        <w:jc w:val="center"/>
        <w:tblBorders>
          <w:top w:val="single" w:sz="4" w:space="0" w:color="auto"/>
          <w:bottom w:val="single" w:sz="4" w:space="0" w:color="auto"/>
        </w:tblBorders>
        <w:tblLook w:val="04A0" w:firstRow="1" w:lastRow="0" w:firstColumn="1" w:lastColumn="0" w:noHBand="0" w:noVBand="1"/>
      </w:tblPr>
      <w:tblGrid>
        <w:gridCol w:w="2567"/>
        <w:gridCol w:w="3467"/>
        <w:gridCol w:w="1940"/>
      </w:tblGrid>
      <w:tr w:rsidR="00311632" w:rsidRPr="00287FFE" w:rsidTr="009C2458">
        <w:trPr>
          <w:trHeight w:val="502"/>
          <w:jc w:val="center"/>
        </w:trPr>
        <w:tc>
          <w:tcPr>
            <w:tcW w:w="2567" w:type="dxa"/>
            <w:tcBorders>
              <w:top w:val="single" w:sz="4" w:space="0" w:color="auto"/>
              <w:left w:val="nil"/>
              <w:bottom w:val="single" w:sz="4" w:space="0" w:color="auto"/>
              <w:right w:val="nil"/>
            </w:tcBorders>
            <w:vAlign w:val="center"/>
            <w:hideMark/>
          </w:tcPr>
          <w:p w:rsidR="00311632" w:rsidRPr="00287FFE" w:rsidRDefault="00311632" w:rsidP="00274D40">
            <w:pPr>
              <w:spacing w:line="360" w:lineRule="auto"/>
              <w:jc w:val="center"/>
              <w:rPr>
                <w:rFonts w:ascii="Arial" w:hAnsi="Arial" w:cs="Arial"/>
                <w:b/>
                <w:sz w:val="22"/>
              </w:rPr>
            </w:pPr>
            <w:r w:rsidRPr="00287FFE">
              <w:rPr>
                <w:rFonts w:ascii="Arial" w:hAnsi="Arial" w:cs="Arial"/>
                <w:b/>
                <w:sz w:val="22"/>
              </w:rPr>
              <w:t>Antibody</w:t>
            </w:r>
          </w:p>
        </w:tc>
        <w:tc>
          <w:tcPr>
            <w:tcW w:w="3467" w:type="dxa"/>
            <w:tcBorders>
              <w:top w:val="single" w:sz="4" w:space="0" w:color="auto"/>
              <w:left w:val="nil"/>
              <w:bottom w:val="single" w:sz="4" w:space="0" w:color="auto"/>
              <w:right w:val="nil"/>
            </w:tcBorders>
            <w:vAlign w:val="center"/>
            <w:hideMark/>
          </w:tcPr>
          <w:p w:rsidR="00311632" w:rsidRPr="00287FFE" w:rsidRDefault="00311632" w:rsidP="00274D40">
            <w:pPr>
              <w:spacing w:line="360" w:lineRule="auto"/>
              <w:jc w:val="center"/>
              <w:rPr>
                <w:rFonts w:ascii="Arial" w:hAnsi="Arial" w:cs="Arial"/>
                <w:b/>
                <w:sz w:val="22"/>
              </w:rPr>
            </w:pPr>
            <w:r w:rsidRPr="00287FFE">
              <w:rPr>
                <w:rFonts w:ascii="Arial" w:hAnsi="Arial" w:cs="Arial"/>
                <w:b/>
                <w:sz w:val="22"/>
              </w:rPr>
              <w:t>Vendor</w:t>
            </w:r>
          </w:p>
        </w:tc>
        <w:tc>
          <w:tcPr>
            <w:tcW w:w="1940" w:type="dxa"/>
            <w:tcBorders>
              <w:top w:val="single" w:sz="4" w:space="0" w:color="auto"/>
              <w:left w:val="nil"/>
              <w:bottom w:val="single" w:sz="4" w:space="0" w:color="auto"/>
              <w:right w:val="nil"/>
            </w:tcBorders>
            <w:vAlign w:val="center"/>
            <w:hideMark/>
          </w:tcPr>
          <w:p w:rsidR="00311632" w:rsidRPr="00287FFE" w:rsidRDefault="00311632" w:rsidP="00274D40">
            <w:pPr>
              <w:spacing w:line="360" w:lineRule="auto"/>
              <w:jc w:val="center"/>
              <w:rPr>
                <w:rFonts w:ascii="Arial" w:hAnsi="Arial" w:cs="Arial"/>
                <w:b/>
                <w:sz w:val="22"/>
              </w:rPr>
            </w:pPr>
            <w:r w:rsidRPr="00287FFE">
              <w:rPr>
                <w:rFonts w:ascii="Arial" w:hAnsi="Arial" w:cs="Arial"/>
                <w:b/>
                <w:sz w:val="22"/>
              </w:rPr>
              <w:t>Catalog No.</w:t>
            </w:r>
          </w:p>
        </w:tc>
      </w:tr>
      <w:tr w:rsidR="00311632" w:rsidRPr="00287FFE" w:rsidTr="009C2458">
        <w:trPr>
          <w:trHeight w:val="345"/>
          <w:jc w:val="center"/>
        </w:trPr>
        <w:tc>
          <w:tcPr>
            <w:tcW w:w="2567" w:type="dxa"/>
            <w:tcBorders>
              <w:top w:val="single" w:sz="4" w:space="0" w:color="auto"/>
              <w:left w:val="nil"/>
              <w:bottom w:val="single" w:sz="4" w:space="0" w:color="auto"/>
              <w:right w:val="nil"/>
            </w:tcBorders>
            <w:vAlign w:val="center"/>
          </w:tcPr>
          <w:p w:rsidR="00311632" w:rsidRPr="00287FFE" w:rsidRDefault="009C2458" w:rsidP="00311632">
            <w:pPr>
              <w:spacing w:line="360" w:lineRule="auto"/>
              <w:jc w:val="center"/>
              <w:rPr>
                <w:rFonts w:ascii="Arial" w:hAnsi="Arial" w:cs="Arial"/>
                <w:b/>
                <w:sz w:val="22"/>
              </w:rPr>
            </w:pPr>
            <w:r w:rsidRPr="00287FFE">
              <w:rPr>
                <w:rFonts w:ascii="Arial" w:hAnsi="Arial" w:cs="Arial"/>
                <w:b/>
                <w:sz w:val="22"/>
              </w:rPr>
              <w:t>Primary antibody</w:t>
            </w:r>
          </w:p>
        </w:tc>
        <w:tc>
          <w:tcPr>
            <w:tcW w:w="3467" w:type="dxa"/>
            <w:tcBorders>
              <w:top w:val="single" w:sz="4" w:space="0" w:color="auto"/>
              <w:left w:val="nil"/>
              <w:bottom w:val="single" w:sz="4" w:space="0" w:color="auto"/>
              <w:right w:val="nil"/>
            </w:tcBorders>
            <w:vAlign w:val="center"/>
          </w:tcPr>
          <w:p w:rsidR="00311632" w:rsidRPr="00287FFE" w:rsidRDefault="00311632" w:rsidP="00274D40">
            <w:pPr>
              <w:spacing w:line="360" w:lineRule="auto"/>
              <w:jc w:val="center"/>
              <w:rPr>
                <w:rFonts w:ascii="Arial" w:hAnsi="Arial" w:cs="Arial"/>
                <w:sz w:val="22"/>
              </w:rPr>
            </w:pPr>
          </w:p>
        </w:tc>
        <w:tc>
          <w:tcPr>
            <w:tcW w:w="1940" w:type="dxa"/>
            <w:tcBorders>
              <w:top w:val="single" w:sz="4" w:space="0" w:color="auto"/>
              <w:left w:val="nil"/>
              <w:bottom w:val="single" w:sz="4" w:space="0" w:color="auto"/>
              <w:right w:val="nil"/>
            </w:tcBorders>
            <w:vAlign w:val="center"/>
          </w:tcPr>
          <w:p w:rsidR="00311632" w:rsidRPr="00287FFE" w:rsidRDefault="00311632" w:rsidP="00274D40">
            <w:pPr>
              <w:spacing w:line="360" w:lineRule="auto"/>
              <w:jc w:val="center"/>
              <w:rPr>
                <w:rFonts w:ascii="Arial" w:hAnsi="Arial" w:cs="Arial"/>
                <w:sz w:val="22"/>
              </w:rPr>
            </w:pPr>
          </w:p>
        </w:tc>
      </w:tr>
      <w:tr w:rsidR="009C2458" w:rsidRPr="00287FFE" w:rsidTr="009C2458">
        <w:trPr>
          <w:trHeight w:val="345"/>
          <w:jc w:val="center"/>
        </w:trPr>
        <w:tc>
          <w:tcPr>
            <w:tcW w:w="2567" w:type="dxa"/>
            <w:tcBorders>
              <w:top w:val="single" w:sz="4" w:space="0" w:color="auto"/>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anti-ACTIN</w:t>
            </w:r>
          </w:p>
        </w:tc>
        <w:tc>
          <w:tcPr>
            <w:tcW w:w="3467" w:type="dxa"/>
            <w:tcBorders>
              <w:top w:val="single" w:sz="4" w:space="0" w:color="auto"/>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Sigma</w:t>
            </w:r>
          </w:p>
        </w:tc>
        <w:tc>
          <w:tcPr>
            <w:tcW w:w="1940" w:type="dxa"/>
            <w:tcBorders>
              <w:top w:val="single" w:sz="4" w:space="0" w:color="auto"/>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A3854</w:t>
            </w:r>
          </w:p>
        </w:tc>
      </w:tr>
      <w:tr w:rsidR="009C2458" w:rsidRPr="00287FFE" w:rsidTr="00274D40">
        <w:trPr>
          <w:trHeight w:val="345"/>
          <w:jc w:val="center"/>
        </w:trPr>
        <w:tc>
          <w:tcPr>
            <w:tcW w:w="2567" w:type="dxa"/>
            <w:tcBorders>
              <w:top w:val="nil"/>
              <w:left w:val="nil"/>
              <w:bottom w:val="nil"/>
              <w:right w:val="nil"/>
            </w:tcBorders>
            <w:vAlign w:val="center"/>
            <w:hideMark/>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anti-NOX4</w:t>
            </w:r>
          </w:p>
        </w:tc>
        <w:tc>
          <w:tcPr>
            <w:tcW w:w="3467" w:type="dxa"/>
            <w:tcBorders>
              <w:top w:val="nil"/>
              <w:left w:val="nil"/>
              <w:bottom w:val="nil"/>
              <w:right w:val="nil"/>
            </w:tcBorders>
            <w:vAlign w:val="center"/>
            <w:hideMark/>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Proteintech</w:t>
            </w:r>
          </w:p>
        </w:tc>
        <w:tc>
          <w:tcPr>
            <w:tcW w:w="1940" w:type="dxa"/>
            <w:tcBorders>
              <w:top w:val="nil"/>
              <w:left w:val="nil"/>
              <w:bottom w:val="nil"/>
              <w:right w:val="nil"/>
            </w:tcBorders>
            <w:vAlign w:val="center"/>
            <w:hideMark/>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14347-1-AP</w:t>
            </w:r>
          </w:p>
        </w:tc>
      </w:tr>
      <w:tr w:rsidR="009C2458" w:rsidRPr="00287FFE" w:rsidTr="00274D40">
        <w:trPr>
          <w:trHeight w:val="345"/>
          <w:jc w:val="center"/>
        </w:trPr>
        <w:tc>
          <w:tcPr>
            <w:tcW w:w="25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anti-CDH1</w:t>
            </w:r>
          </w:p>
        </w:tc>
        <w:tc>
          <w:tcPr>
            <w:tcW w:w="34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Abcam</w:t>
            </w:r>
          </w:p>
        </w:tc>
        <w:tc>
          <w:tcPr>
            <w:tcW w:w="1940"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ab1416</w:t>
            </w:r>
          </w:p>
        </w:tc>
      </w:tr>
      <w:tr w:rsidR="009C2458" w:rsidRPr="00287FFE" w:rsidTr="00274D40">
        <w:trPr>
          <w:trHeight w:val="345"/>
          <w:jc w:val="center"/>
        </w:trPr>
        <w:tc>
          <w:tcPr>
            <w:tcW w:w="25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anti-CDH2</w:t>
            </w:r>
          </w:p>
        </w:tc>
        <w:tc>
          <w:tcPr>
            <w:tcW w:w="34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Santa Cruz</w:t>
            </w:r>
          </w:p>
        </w:tc>
        <w:tc>
          <w:tcPr>
            <w:tcW w:w="1940"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sc7939</w:t>
            </w:r>
          </w:p>
        </w:tc>
      </w:tr>
      <w:tr w:rsidR="009C2458" w:rsidRPr="00287FFE" w:rsidTr="00274D40">
        <w:trPr>
          <w:trHeight w:val="345"/>
          <w:jc w:val="center"/>
        </w:trPr>
        <w:tc>
          <w:tcPr>
            <w:tcW w:w="25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anti-HIF1A</w:t>
            </w:r>
          </w:p>
        </w:tc>
        <w:tc>
          <w:tcPr>
            <w:tcW w:w="34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Abcam</w:t>
            </w:r>
          </w:p>
        </w:tc>
        <w:tc>
          <w:tcPr>
            <w:tcW w:w="1940"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ab16066</w:t>
            </w:r>
          </w:p>
        </w:tc>
      </w:tr>
      <w:tr w:rsidR="009C2458" w:rsidRPr="00287FFE" w:rsidTr="00274D40">
        <w:trPr>
          <w:trHeight w:val="345"/>
          <w:jc w:val="center"/>
        </w:trPr>
        <w:tc>
          <w:tcPr>
            <w:tcW w:w="25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anti-SNAIL1</w:t>
            </w:r>
          </w:p>
        </w:tc>
        <w:tc>
          <w:tcPr>
            <w:tcW w:w="34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Cell Signaling Technology</w:t>
            </w:r>
          </w:p>
        </w:tc>
        <w:tc>
          <w:tcPr>
            <w:tcW w:w="1940"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3879s</w:t>
            </w:r>
          </w:p>
        </w:tc>
      </w:tr>
      <w:tr w:rsidR="009C2458" w:rsidRPr="00287FFE" w:rsidTr="00274D40">
        <w:trPr>
          <w:trHeight w:val="345"/>
          <w:jc w:val="center"/>
        </w:trPr>
        <w:tc>
          <w:tcPr>
            <w:tcW w:w="25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Anti-VIM</w:t>
            </w:r>
          </w:p>
        </w:tc>
        <w:tc>
          <w:tcPr>
            <w:tcW w:w="34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Proteintech</w:t>
            </w:r>
          </w:p>
        </w:tc>
        <w:tc>
          <w:tcPr>
            <w:tcW w:w="1940"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10366-1-AP</w:t>
            </w:r>
          </w:p>
        </w:tc>
      </w:tr>
      <w:tr w:rsidR="009C2458" w:rsidRPr="00287FFE" w:rsidTr="00274D40">
        <w:trPr>
          <w:trHeight w:val="345"/>
          <w:jc w:val="center"/>
        </w:trPr>
        <w:tc>
          <w:tcPr>
            <w:tcW w:w="25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anti-H3K4ME3</w:t>
            </w:r>
          </w:p>
        </w:tc>
        <w:tc>
          <w:tcPr>
            <w:tcW w:w="34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Cell Signaling Technology</w:t>
            </w:r>
          </w:p>
        </w:tc>
        <w:tc>
          <w:tcPr>
            <w:tcW w:w="1940"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9751s</w:t>
            </w:r>
          </w:p>
        </w:tc>
      </w:tr>
      <w:tr w:rsidR="009C2458" w:rsidRPr="00287FFE" w:rsidTr="00274D40">
        <w:trPr>
          <w:trHeight w:val="345"/>
          <w:jc w:val="center"/>
        </w:trPr>
        <w:tc>
          <w:tcPr>
            <w:tcW w:w="25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anti-HISTONE H3</w:t>
            </w:r>
          </w:p>
        </w:tc>
        <w:tc>
          <w:tcPr>
            <w:tcW w:w="34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Cell Signaling Technology</w:t>
            </w:r>
          </w:p>
        </w:tc>
        <w:tc>
          <w:tcPr>
            <w:tcW w:w="1940"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4499s</w:t>
            </w:r>
          </w:p>
        </w:tc>
      </w:tr>
      <w:tr w:rsidR="009C2458" w:rsidRPr="00287FFE" w:rsidTr="00274D40">
        <w:trPr>
          <w:trHeight w:val="345"/>
          <w:jc w:val="center"/>
        </w:trPr>
        <w:tc>
          <w:tcPr>
            <w:tcW w:w="25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anti-H3K4ME2</w:t>
            </w:r>
          </w:p>
        </w:tc>
        <w:tc>
          <w:tcPr>
            <w:tcW w:w="34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PTM BIO</w:t>
            </w:r>
          </w:p>
        </w:tc>
        <w:tc>
          <w:tcPr>
            <w:tcW w:w="1940"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PTM-641</w:t>
            </w:r>
          </w:p>
        </w:tc>
      </w:tr>
      <w:tr w:rsidR="009C2458" w:rsidRPr="00287FFE" w:rsidTr="00274D40">
        <w:trPr>
          <w:trHeight w:val="345"/>
          <w:jc w:val="center"/>
        </w:trPr>
        <w:tc>
          <w:tcPr>
            <w:tcW w:w="25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anti-H3K9ME3</w:t>
            </w:r>
          </w:p>
        </w:tc>
        <w:tc>
          <w:tcPr>
            <w:tcW w:w="34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PTM BIO</w:t>
            </w:r>
          </w:p>
        </w:tc>
        <w:tc>
          <w:tcPr>
            <w:tcW w:w="1940"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PTM-616</w:t>
            </w:r>
          </w:p>
        </w:tc>
      </w:tr>
      <w:tr w:rsidR="009C2458" w:rsidRPr="00287FFE" w:rsidTr="00274D40">
        <w:trPr>
          <w:trHeight w:val="345"/>
          <w:jc w:val="center"/>
        </w:trPr>
        <w:tc>
          <w:tcPr>
            <w:tcW w:w="25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lastRenderedPageBreak/>
              <w:t>anti-H3K27ME2</w:t>
            </w:r>
          </w:p>
        </w:tc>
        <w:tc>
          <w:tcPr>
            <w:tcW w:w="34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PTM BIO</w:t>
            </w:r>
          </w:p>
        </w:tc>
        <w:tc>
          <w:tcPr>
            <w:tcW w:w="1940"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PTM-621</w:t>
            </w:r>
          </w:p>
        </w:tc>
      </w:tr>
      <w:tr w:rsidR="009C2458" w:rsidRPr="00287FFE" w:rsidTr="00274D40">
        <w:trPr>
          <w:trHeight w:val="345"/>
          <w:jc w:val="center"/>
        </w:trPr>
        <w:tc>
          <w:tcPr>
            <w:tcW w:w="25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anti- H3K27ME3</w:t>
            </w:r>
          </w:p>
        </w:tc>
        <w:tc>
          <w:tcPr>
            <w:tcW w:w="34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PTM BIO</w:t>
            </w:r>
          </w:p>
        </w:tc>
        <w:tc>
          <w:tcPr>
            <w:tcW w:w="1940"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PTM-622</w:t>
            </w:r>
          </w:p>
        </w:tc>
      </w:tr>
      <w:tr w:rsidR="009C2458" w:rsidRPr="00287FFE" w:rsidTr="009C2458">
        <w:trPr>
          <w:trHeight w:val="345"/>
          <w:jc w:val="center"/>
        </w:trPr>
        <w:tc>
          <w:tcPr>
            <w:tcW w:w="25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anti- H3K36ME2</w:t>
            </w:r>
          </w:p>
        </w:tc>
        <w:tc>
          <w:tcPr>
            <w:tcW w:w="3467"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PTM BIO</w:t>
            </w:r>
          </w:p>
        </w:tc>
        <w:tc>
          <w:tcPr>
            <w:tcW w:w="1940" w:type="dxa"/>
            <w:tcBorders>
              <w:top w:val="nil"/>
              <w:left w:val="nil"/>
              <w:bottom w:val="nil"/>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PTM-624</w:t>
            </w:r>
          </w:p>
        </w:tc>
      </w:tr>
      <w:tr w:rsidR="009C2458" w:rsidRPr="00287FFE" w:rsidTr="009C2458">
        <w:trPr>
          <w:trHeight w:val="357"/>
          <w:jc w:val="center"/>
        </w:trPr>
        <w:tc>
          <w:tcPr>
            <w:tcW w:w="2567" w:type="dxa"/>
            <w:tcBorders>
              <w:top w:val="nil"/>
              <w:left w:val="nil"/>
              <w:bottom w:val="single" w:sz="4" w:space="0" w:color="auto"/>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anti- H3K36ME3</w:t>
            </w:r>
          </w:p>
        </w:tc>
        <w:tc>
          <w:tcPr>
            <w:tcW w:w="3467" w:type="dxa"/>
            <w:tcBorders>
              <w:top w:val="nil"/>
              <w:left w:val="nil"/>
              <w:bottom w:val="single" w:sz="4" w:space="0" w:color="auto"/>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PTM BIO</w:t>
            </w:r>
          </w:p>
        </w:tc>
        <w:tc>
          <w:tcPr>
            <w:tcW w:w="1940" w:type="dxa"/>
            <w:tcBorders>
              <w:top w:val="nil"/>
              <w:left w:val="nil"/>
              <w:bottom w:val="single" w:sz="4" w:space="0" w:color="auto"/>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PTM-625</w:t>
            </w:r>
          </w:p>
        </w:tc>
      </w:tr>
      <w:tr w:rsidR="009C2458" w:rsidRPr="00287FFE" w:rsidTr="009C2458">
        <w:trPr>
          <w:trHeight w:val="357"/>
          <w:jc w:val="center"/>
        </w:trPr>
        <w:tc>
          <w:tcPr>
            <w:tcW w:w="2567" w:type="dxa"/>
            <w:tcBorders>
              <w:top w:val="single" w:sz="4" w:space="0" w:color="auto"/>
              <w:left w:val="nil"/>
              <w:bottom w:val="single" w:sz="4" w:space="0" w:color="auto"/>
              <w:right w:val="nil"/>
            </w:tcBorders>
            <w:vAlign w:val="center"/>
          </w:tcPr>
          <w:p w:rsidR="009C2458" w:rsidRPr="00287FFE" w:rsidRDefault="009C2458" w:rsidP="009C2458">
            <w:pPr>
              <w:spacing w:line="360" w:lineRule="auto"/>
              <w:jc w:val="center"/>
              <w:rPr>
                <w:rFonts w:ascii="Arial" w:hAnsi="Arial" w:cs="Arial"/>
                <w:sz w:val="22"/>
              </w:rPr>
            </w:pPr>
            <w:r w:rsidRPr="00287FFE">
              <w:rPr>
                <w:rFonts w:ascii="Arial" w:hAnsi="Arial" w:cs="Arial"/>
                <w:sz w:val="22"/>
              </w:rPr>
              <w:t>Secondary Antibody</w:t>
            </w:r>
          </w:p>
        </w:tc>
        <w:tc>
          <w:tcPr>
            <w:tcW w:w="3467" w:type="dxa"/>
            <w:tcBorders>
              <w:top w:val="single" w:sz="4" w:space="0" w:color="auto"/>
              <w:left w:val="nil"/>
              <w:bottom w:val="single" w:sz="4" w:space="0" w:color="auto"/>
              <w:right w:val="nil"/>
            </w:tcBorders>
            <w:vAlign w:val="center"/>
          </w:tcPr>
          <w:p w:rsidR="009C2458" w:rsidRPr="00287FFE" w:rsidRDefault="009C2458" w:rsidP="009C2458">
            <w:pPr>
              <w:spacing w:line="360" w:lineRule="auto"/>
              <w:jc w:val="center"/>
              <w:rPr>
                <w:rFonts w:ascii="Arial" w:hAnsi="Arial" w:cs="Arial"/>
                <w:sz w:val="22"/>
              </w:rPr>
            </w:pPr>
          </w:p>
        </w:tc>
        <w:tc>
          <w:tcPr>
            <w:tcW w:w="1940" w:type="dxa"/>
            <w:tcBorders>
              <w:top w:val="single" w:sz="4" w:space="0" w:color="auto"/>
              <w:left w:val="nil"/>
              <w:bottom w:val="single" w:sz="4" w:space="0" w:color="auto"/>
              <w:right w:val="nil"/>
            </w:tcBorders>
            <w:vAlign w:val="center"/>
          </w:tcPr>
          <w:p w:rsidR="009C2458" w:rsidRPr="00287FFE" w:rsidRDefault="009C2458" w:rsidP="009C2458">
            <w:pPr>
              <w:spacing w:line="360" w:lineRule="auto"/>
              <w:jc w:val="center"/>
              <w:rPr>
                <w:rFonts w:ascii="Arial" w:hAnsi="Arial" w:cs="Arial"/>
                <w:sz w:val="22"/>
              </w:rPr>
            </w:pPr>
          </w:p>
        </w:tc>
      </w:tr>
      <w:tr w:rsidR="009C2458" w:rsidRPr="00287FFE" w:rsidTr="009C2458">
        <w:trPr>
          <w:trHeight w:val="357"/>
          <w:jc w:val="center"/>
        </w:trPr>
        <w:tc>
          <w:tcPr>
            <w:tcW w:w="2567" w:type="dxa"/>
            <w:tcBorders>
              <w:top w:val="single" w:sz="4" w:space="0" w:color="auto"/>
              <w:left w:val="nil"/>
              <w:bottom w:val="nil"/>
              <w:right w:val="nil"/>
            </w:tcBorders>
            <w:vAlign w:val="center"/>
          </w:tcPr>
          <w:p w:rsidR="009C2458" w:rsidRPr="00287FFE" w:rsidRDefault="006C6EE4" w:rsidP="009C2458">
            <w:pPr>
              <w:spacing w:line="360" w:lineRule="auto"/>
              <w:jc w:val="center"/>
              <w:rPr>
                <w:rFonts w:ascii="Arial" w:hAnsi="Arial" w:cs="Arial"/>
                <w:sz w:val="22"/>
              </w:rPr>
            </w:pPr>
            <w:r w:rsidRPr="00287FFE">
              <w:rPr>
                <w:rFonts w:ascii="Arial" w:hAnsi="Arial" w:cs="Arial"/>
                <w:sz w:val="22"/>
              </w:rPr>
              <w:t>Anti-rabbit IgG, HRP-linked Antibody</w:t>
            </w:r>
          </w:p>
        </w:tc>
        <w:tc>
          <w:tcPr>
            <w:tcW w:w="3467" w:type="dxa"/>
            <w:tcBorders>
              <w:top w:val="single" w:sz="4" w:space="0" w:color="auto"/>
              <w:left w:val="nil"/>
              <w:bottom w:val="nil"/>
              <w:right w:val="nil"/>
            </w:tcBorders>
            <w:vAlign w:val="center"/>
          </w:tcPr>
          <w:p w:rsidR="009C2458" w:rsidRPr="00287FFE" w:rsidRDefault="006C6EE4" w:rsidP="009C2458">
            <w:pPr>
              <w:spacing w:line="360" w:lineRule="auto"/>
              <w:jc w:val="center"/>
              <w:rPr>
                <w:rFonts w:ascii="Arial" w:hAnsi="Arial" w:cs="Arial"/>
                <w:sz w:val="22"/>
              </w:rPr>
            </w:pPr>
            <w:r w:rsidRPr="00287FFE">
              <w:rPr>
                <w:rFonts w:ascii="Arial" w:hAnsi="Arial" w:cs="Arial"/>
                <w:sz w:val="22"/>
              </w:rPr>
              <w:t>Cell Signaling Technology</w:t>
            </w:r>
          </w:p>
        </w:tc>
        <w:tc>
          <w:tcPr>
            <w:tcW w:w="1940" w:type="dxa"/>
            <w:tcBorders>
              <w:top w:val="single" w:sz="4" w:space="0" w:color="auto"/>
              <w:left w:val="nil"/>
              <w:bottom w:val="nil"/>
              <w:right w:val="nil"/>
            </w:tcBorders>
            <w:vAlign w:val="center"/>
          </w:tcPr>
          <w:p w:rsidR="009C2458" w:rsidRPr="00287FFE" w:rsidRDefault="006C6EE4" w:rsidP="009C2458">
            <w:pPr>
              <w:spacing w:line="360" w:lineRule="auto"/>
              <w:jc w:val="center"/>
              <w:rPr>
                <w:rFonts w:ascii="Arial" w:hAnsi="Arial" w:cs="Arial"/>
                <w:sz w:val="22"/>
              </w:rPr>
            </w:pPr>
            <w:r w:rsidRPr="00287FFE">
              <w:rPr>
                <w:rFonts w:ascii="Arial" w:hAnsi="Arial" w:cs="Arial"/>
                <w:sz w:val="22"/>
              </w:rPr>
              <w:t>7074s</w:t>
            </w:r>
          </w:p>
        </w:tc>
      </w:tr>
      <w:tr w:rsidR="006C6EE4" w:rsidRPr="00287FFE" w:rsidTr="009C2458">
        <w:trPr>
          <w:trHeight w:val="357"/>
          <w:jc w:val="center"/>
        </w:trPr>
        <w:tc>
          <w:tcPr>
            <w:tcW w:w="2567" w:type="dxa"/>
            <w:tcBorders>
              <w:top w:val="nil"/>
              <w:left w:val="nil"/>
              <w:bottom w:val="nil"/>
              <w:right w:val="nil"/>
            </w:tcBorders>
            <w:vAlign w:val="center"/>
          </w:tcPr>
          <w:p w:rsidR="006C6EE4" w:rsidRPr="00287FFE" w:rsidRDefault="006C6EE4" w:rsidP="006C6EE4">
            <w:pPr>
              <w:spacing w:line="360" w:lineRule="auto"/>
              <w:jc w:val="center"/>
              <w:rPr>
                <w:rFonts w:ascii="Arial" w:hAnsi="Arial" w:cs="Arial"/>
                <w:sz w:val="22"/>
              </w:rPr>
            </w:pPr>
            <w:r w:rsidRPr="00287FFE">
              <w:rPr>
                <w:rFonts w:ascii="Arial" w:hAnsi="Arial" w:cs="Arial"/>
                <w:sz w:val="22"/>
              </w:rPr>
              <w:t>Anti-mouse IgG, HRP-linked Antibody</w:t>
            </w:r>
          </w:p>
        </w:tc>
        <w:tc>
          <w:tcPr>
            <w:tcW w:w="3467" w:type="dxa"/>
            <w:tcBorders>
              <w:top w:val="nil"/>
              <w:left w:val="nil"/>
              <w:bottom w:val="nil"/>
              <w:right w:val="nil"/>
            </w:tcBorders>
            <w:vAlign w:val="center"/>
          </w:tcPr>
          <w:p w:rsidR="006C6EE4" w:rsidRPr="00287FFE" w:rsidRDefault="006C6EE4" w:rsidP="006C6EE4">
            <w:pPr>
              <w:spacing w:line="360" w:lineRule="auto"/>
              <w:jc w:val="center"/>
              <w:rPr>
                <w:rFonts w:ascii="Arial" w:hAnsi="Arial" w:cs="Arial"/>
                <w:sz w:val="22"/>
              </w:rPr>
            </w:pPr>
            <w:r w:rsidRPr="00287FFE">
              <w:rPr>
                <w:rFonts w:ascii="Arial" w:hAnsi="Arial" w:cs="Arial"/>
                <w:sz w:val="22"/>
              </w:rPr>
              <w:t>Cell Signaling Technology</w:t>
            </w:r>
          </w:p>
        </w:tc>
        <w:tc>
          <w:tcPr>
            <w:tcW w:w="1940" w:type="dxa"/>
            <w:tcBorders>
              <w:top w:val="nil"/>
              <w:left w:val="nil"/>
              <w:bottom w:val="nil"/>
              <w:right w:val="nil"/>
            </w:tcBorders>
            <w:vAlign w:val="center"/>
          </w:tcPr>
          <w:p w:rsidR="006C6EE4" w:rsidRPr="00287FFE" w:rsidRDefault="006C6EE4" w:rsidP="006C6EE4">
            <w:pPr>
              <w:spacing w:line="360" w:lineRule="auto"/>
              <w:jc w:val="center"/>
              <w:rPr>
                <w:rFonts w:ascii="Arial" w:hAnsi="Arial" w:cs="Arial"/>
                <w:sz w:val="22"/>
              </w:rPr>
            </w:pPr>
            <w:r w:rsidRPr="00287FFE">
              <w:rPr>
                <w:rFonts w:ascii="Arial" w:hAnsi="Arial" w:cs="Arial"/>
                <w:sz w:val="22"/>
              </w:rPr>
              <w:t>7076s</w:t>
            </w:r>
          </w:p>
        </w:tc>
      </w:tr>
      <w:tr w:rsidR="006C6EE4" w:rsidRPr="00287FFE" w:rsidTr="006C6EE4">
        <w:trPr>
          <w:trHeight w:val="357"/>
          <w:jc w:val="center"/>
        </w:trPr>
        <w:tc>
          <w:tcPr>
            <w:tcW w:w="2567" w:type="dxa"/>
            <w:tcBorders>
              <w:top w:val="nil"/>
              <w:left w:val="nil"/>
              <w:bottom w:val="nil"/>
              <w:right w:val="nil"/>
            </w:tcBorders>
            <w:vAlign w:val="center"/>
          </w:tcPr>
          <w:p w:rsidR="006C6EE4" w:rsidRPr="00287FFE" w:rsidRDefault="006C6EE4" w:rsidP="006C6EE4">
            <w:pPr>
              <w:spacing w:line="360" w:lineRule="auto"/>
              <w:jc w:val="center"/>
              <w:rPr>
                <w:rFonts w:ascii="Arial" w:hAnsi="Arial" w:cs="Arial"/>
                <w:sz w:val="22"/>
              </w:rPr>
            </w:pPr>
            <w:r w:rsidRPr="00287FFE">
              <w:rPr>
                <w:rFonts w:ascii="Arial" w:hAnsi="Arial" w:cs="Arial"/>
                <w:sz w:val="22"/>
              </w:rPr>
              <w:t>Donkey Anti-Rabbit IgG H&amp;L (DyLight® 594)</w:t>
            </w:r>
          </w:p>
        </w:tc>
        <w:tc>
          <w:tcPr>
            <w:tcW w:w="3467" w:type="dxa"/>
            <w:tcBorders>
              <w:top w:val="nil"/>
              <w:left w:val="nil"/>
              <w:bottom w:val="nil"/>
              <w:right w:val="nil"/>
            </w:tcBorders>
            <w:vAlign w:val="center"/>
          </w:tcPr>
          <w:p w:rsidR="006C6EE4" w:rsidRPr="00287FFE" w:rsidRDefault="006C6EE4" w:rsidP="006C6EE4">
            <w:pPr>
              <w:spacing w:line="360" w:lineRule="auto"/>
              <w:jc w:val="center"/>
              <w:rPr>
                <w:rFonts w:ascii="Arial" w:hAnsi="Arial" w:cs="Arial"/>
                <w:sz w:val="22"/>
              </w:rPr>
            </w:pPr>
            <w:r w:rsidRPr="00287FFE">
              <w:rPr>
                <w:rFonts w:ascii="Arial" w:hAnsi="Arial" w:cs="Arial"/>
                <w:sz w:val="22"/>
              </w:rPr>
              <w:t>Abcam</w:t>
            </w:r>
          </w:p>
        </w:tc>
        <w:tc>
          <w:tcPr>
            <w:tcW w:w="1940" w:type="dxa"/>
            <w:tcBorders>
              <w:top w:val="nil"/>
              <w:left w:val="nil"/>
              <w:bottom w:val="nil"/>
              <w:right w:val="nil"/>
            </w:tcBorders>
            <w:vAlign w:val="center"/>
          </w:tcPr>
          <w:p w:rsidR="006C6EE4" w:rsidRPr="00287FFE" w:rsidRDefault="006C6EE4" w:rsidP="006C6EE4">
            <w:pPr>
              <w:spacing w:line="360" w:lineRule="auto"/>
              <w:jc w:val="center"/>
              <w:rPr>
                <w:rFonts w:ascii="Arial" w:hAnsi="Arial" w:cs="Arial"/>
                <w:sz w:val="22"/>
              </w:rPr>
            </w:pPr>
            <w:r w:rsidRPr="00287FFE">
              <w:rPr>
                <w:rFonts w:ascii="Arial" w:hAnsi="Arial" w:cs="Arial"/>
                <w:sz w:val="22"/>
              </w:rPr>
              <w:t>ab96921</w:t>
            </w:r>
          </w:p>
        </w:tc>
      </w:tr>
      <w:tr w:rsidR="006C6EE4" w:rsidRPr="00287FFE" w:rsidTr="006C6EE4">
        <w:trPr>
          <w:trHeight w:val="357"/>
          <w:jc w:val="center"/>
        </w:trPr>
        <w:tc>
          <w:tcPr>
            <w:tcW w:w="2567" w:type="dxa"/>
            <w:tcBorders>
              <w:top w:val="nil"/>
              <w:left w:val="nil"/>
              <w:bottom w:val="single" w:sz="4" w:space="0" w:color="auto"/>
              <w:right w:val="nil"/>
            </w:tcBorders>
            <w:vAlign w:val="center"/>
          </w:tcPr>
          <w:p w:rsidR="006C6EE4" w:rsidRPr="00287FFE" w:rsidRDefault="006C6EE4" w:rsidP="006C6EE4">
            <w:pPr>
              <w:spacing w:line="360" w:lineRule="auto"/>
              <w:jc w:val="center"/>
              <w:rPr>
                <w:rFonts w:ascii="Arial" w:hAnsi="Arial" w:cs="Arial"/>
                <w:sz w:val="22"/>
              </w:rPr>
            </w:pPr>
            <w:r w:rsidRPr="00287FFE">
              <w:rPr>
                <w:rFonts w:ascii="Arial" w:hAnsi="Arial" w:cs="Arial"/>
                <w:sz w:val="22"/>
              </w:rPr>
              <w:t>Fluorescein (FITC) AffiniPure Goat Anti-Mouse IgG</w:t>
            </w:r>
          </w:p>
        </w:tc>
        <w:tc>
          <w:tcPr>
            <w:tcW w:w="3467" w:type="dxa"/>
            <w:tcBorders>
              <w:top w:val="nil"/>
              <w:left w:val="nil"/>
              <w:bottom w:val="single" w:sz="4" w:space="0" w:color="auto"/>
              <w:right w:val="nil"/>
            </w:tcBorders>
            <w:vAlign w:val="center"/>
          </w:tcPr>
          <w:p w:rsidR="006C6EE4" w:rsidRPr="00287FFE" w:rsidRDefault="006C6EE4" w:rsidP="006C6EE4">
            <w:pPr>
              <w:spacing w:line="360" w:lineRule="auto"/>
              <w:jc w:val="center"/>
              <w:rPr>
                <w:rFonts w:ascii="Arial" w:hAnsi="Arial" w:cs="Arial"/>
                <w:sz w:val="22"/>
              </w:rPr>
            </w:pPr>
            <w:r w:rsidRPr="00287FFE">
              <w:rPr>
                <w:rFonts w:ascii="Arial" w:hAnsi="Arial" w:cs="Arial"/>
                <w:sz w:val="22"/>
              </w:rPr>
              <w:t>Jackson ImmunoResearch</w:t>
            </w:r>
          </w:p>
        </w:tc>
        <w:tc>
          <w:tcPr>
            <w:tcW w:w="1940" w:type="dxa"/>
            <w:tcBorders>
              <w:top w:val="nil"/>
              <w:left w:val="nil"/>
              <w:bottom w:val="single" w:sz="4" w:space="0" w:color="auto"/>
              <w:right w:val="nil"/>
            </w:tcBorders>
            <w:vAlign w:val="center"/>
          </w:tcPr>
          <w:p w:rsidR="006C6EE4" w:rsidRPr="00287FFE" w:rsidRDefault="006C6EE4" w:rsidP="006C6EE4">
            <w:pPr>
              <w:spacing w:line="360" w:lineRule="auto"/>
              <w:jc w:val="center"/>
              <w:rPr>
                <w:rFonts w:ascii="Arial" w:hAnsi="Arial" w:cs="Arial"/>
                <w:sz w:val="22"/>
              </w:rPr>
            </w:pPr>
            <w:r w:rsidRPr="00287FFE">
              <w:rPr>
                <w:rFonts w:ascii="Arial" w:hAnsi="Arial" w:cs="Arial"/>
                <w:sz w:val="22"/>
              </w:rPr>
              <w:t>115-095-071</w:t>
            </w:r>
          </w:p>
        </w:tc>
      </w:tr>
    </w:tbl>
    <w:p w:rsidR="00311632" w:rsidRDefault="00311632"/>
    <w:p w:rsidR="009C2458" w:rsidRDefault="009C2458"/>
    <w:sectPr w:rsidR="009C24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FC" w:rsidRDefault="003C57FC" w:rsidP="00311632">
      <w:r>
        <w:separator/>
      </w:r>
    </w:p>
  </w:endnote>
  <w:endnote w:type="continuationSeparator" w:id="0">
    <w:p w:rsidR="003C57FC" w:rsidRDefault="003C57FC" w:rsidP="00311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FC" w:rsidRDefault="003C57FC" w:rsidP="00311632">
      <w:r>
        <w:separator/>
      </w:r>
    </w:p>
  </w:footnote>
  <w:footnote w:type="continuationSeparator" w:id="0">
    <w:p w:rsidR="003C57FC" w:rsidRDefault="003C57FC" w:rsidP="003116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C796A"/>
    <w:multiLevelType w:val="hybridMultilevel"/>
    <w:tmpl w:val="04F69470"/>
    <w:lvl w:ilvl="0" w:tplc="BF68AF00">
      <w:start w:val="1"/>
      <w:numFmt w:val="low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4517A5C"/>
    <w:multiLevelType w:val="hybridMultilevel"/>
    <w:tmpl w:val="1B1A14E4"/>
    <w:lvl w:ilvl="0" w:tplc="2CF03C5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7854A68"/>
    <w:multiLevelType w:val="hybridMultilevel"/>
    <w:tmpl w:val="C3DA142A"/>
    <w:lvl w:ilvl="0" w:tplc="70A844E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9043F34"/>
    <w:multiLevelType w:val="hybridMultilevel"/>
    <w:tmpl w:val="BBA2E95C"/>
    <w:lvl w:ilvl="0" w:tplc="57502C3E">
      <w:start w:val="1"/>
      <w:numFmt w:val="lowerLetter"/>
      <w:lvlText w:val="(%1)"/>
      <w:lvlJc w:val="left"/>
      <w:pPr>
        <w:ind w:left="360" w:hanging="360"/>
      </w:pPr>
      <w:rPr>
        <w:rFonts w:hint="default"/>
        <w:color w:val="333333"/>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E4F17A1"/>
    <w:multiLevelType w:val="hybridMultilevel"/>
    <w:tmpl w:val="2D72D960"/>
    <w:lvl w:ilvl="0" w:tplc="A7422A3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62C1AC8"/>
    <w:multiLevelType w:val="hybridMultilevel"/>
    <w:tmpl w:val="378A09B0"/>
    <w:lvl w:ilvl="0" w:tplc="A4C6D03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A78"/>
    <w:rsid w:val="00050B93"/>
    <w:rsid w:val="00060FF1"/>
    <w:rsid w:val="000D1DDA"/>
    <w:rsid w:val="001474D3"/>
    <w:rsid w:val="002722B3"/>
    <w:rsid w:val="00274D40"/>
    <w:rsid w:val="00287FFE"/>
    <w:rsid w:val="002F78BF"/>
    <w:rsid w:val="00311632"/>
    <w:rsid w:val="003C2B7A"/>
    <w:rsid w:val="003C4FBD"/>
    <w:rsid w:val="003C57FC"/>
    <w:rsid w:val="00462A3B"/>
    <w:rsid w:val="00652536"/>
    <w:rsid w:val="006C6EE4"/>
    <w:rsid w:val="0070062A"/>
    <w:rsid w:val="00723AA6"/>
    <w:rsid w:val="00731FEB"/>
    <w:rsid w:val="00792CC4"/>
    <w:rsid w:val="007C660B"/>
    <w:rsid w:val="008427A9"/>
    <w:rsid w:val="008C2010"/>
    <w:rsid w:val="00952ADF"/>
    <w:rsid w:val="009B6865"/>
    <w:rsid w:val="009C2458"/>
    <w:rsid w:val="009C2F13"/>
    <w:rsid w:val="009C32FB"/>
    <w:rsid w:val="009D0F6E"/>
    <w:rsid w:val="009F6473"/>
    <w:rsid w:val="00A12273"/>
    <w:rsid w:val="00A168BE"/>
    <w:rsid w:val="00A510E9"/>
    <w:rsid w:val="00A8520A"/>
    <w:rsid w:val="00AC4147"/>
    <w:rsid w:val="00AC4230"/>
    <w:rsid w:val="00AF2AF6"/>
    <w:rsid w:val="00B6274F"/>
    <w:rsid w:val="00BC0C46"/>
    <w:rsid w:val="00BF3897"/>
    <w:rsid w:val="00C14B88"/>
    <w:rsid w:val="00CD4824"/>
    <w:rsid w:val="00D2495D"/>
    <w:rsid w:val="00D25DF3"/>
    <w:rsid w:val="00D549A8"/>
    <w:rsid w:val="00D75F50"/>
    <w:rsid w:val="00DD7F65"/>
    <w:rsid w:val="00E92F7D"/>
    <w:rsid w:val="00EF5A78"/>
    <w:rsid w:val="00F60F73"/>
    <w:rsid w:val="00F94835"/>
    <w:rsid w:val="00FA3F40"/>
    <w:rsid w:val="00FA41DE"/>
    <w:rsid w:val="00FA6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6A09B"/>
  <w15:chartTrackingRefBased/>
  <w15:docId w15:val="{BA5269B1-AAA4-4949-88EC-9145252B6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5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163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11632"/>
    <w:rPr>
      <w:sz w:val="18"/>
      <w:szCs w:val="18"/>
    </w:rPr>
  </w:style>
  <w:style w:type="paragraph" w:styleId="a5">
    <w:name w:val="footer"/>
    <w:basedOn w:val="a"/>
    <w:link w:val="a6"/>
    <w:uiPriority w:val="99"/>
    <w:unhideWhenUsed/>
    <w:rsid w:val="00311632"/>
    <w:pPr>
      <w:tabs>
        <w:tab w:val="center" w:pos="4153"/>
        <w:tab w:val="right" w:pos="8306"/>
      </w:tabs>
      <w:snapToGrid w:val="0"/>
      <w:jc w:val="left"/>
    </w:pPr>
    <w:rPr>
      <w:sz w:val="18"/>
      <w:szCs w:val="18"/>
    </w:rPr>
  </w:style>
  <w:style w:type="character" w:customStyle="1" w:styleId="a6">
    <w:name w:val="页脚 字符"/>
    <w:basedOn w:val="a0"/>
    <w:link w:val="a5"/>
    <w:uiPriority w:val="99"/>
    <w:rsid w:val="00311632"/>
    <w:rPr>
      <w:sz w:val="18"/>
      <w:szCs w:val="18"/>
    </w:rPr>
  </w:style>
  <w:style w:type="table" w:styleId="a7">
    <w:name w:val="Table Grid"/>
    <w:basedOn w:val="a1"/>
    <w:uiPriority w:val="39"/>
    <w:rsid w:val="00BC0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74D4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6699">
      <w:bodyDiv w:val="1"/>
      <w:marLeft w:val="0"/>
      <w:marRight w:val="0"/>
      <w:marTop w:val="0"/>
      <w:marBottom w:val="0"/>
      <w:divBdr>
        <w:top w:val="none" w:sz="0" w:space="0" w:color="auto"/>
        <w:left w:val="none" w:sz="0" w:space="0" w:color="auto"/>
        <w:bottom w:val="none" w:sz="0" w:space="0" w:color="auto"/>
        <w:right w:val="none" w:sz="0" w:space="0" w:color="auto"/>
      </w:divBdr>
    </w:div>
    <w:div w:id="483082983">
      <w:bodyDiv w:val="1"/>
      <w:marLeft w:val="0"/>
      <w:marRight w:val="0"/>
      <w:marTop w:val="0"/>
      <w:marBottom w:val="0"/>
      <w:divBdr>
        <w:top w:val="none" w:sz="0" w:space="0" w:color="auto"/>
        <w:left w:val="none" w:sz="0" w:space="0" w:color="auto"/>
        <w:bottom w:val="none" w:sz="0" w:space="0" w:color="auto"/>
        <w:right w:val="none" w:sz="0" w:space="0" w:color="auto"/>
      </w:divBdr>
    </w:div>
    <w:div w:id="725181755">
      <w:bodyDiv w:val="1"/>
      <w:marLeft w:val="0"/>
      <w:marRight w:val="0"/>
      <w:marTop w:val="0"/>
      <w:marBottom w:val="0"/>
      <w:divBdr>
        <w:top w:val="none" w:sz="0" w:space="0" w:color="auto"/>
        <w:left w:val="none" w:sz="0" w:space="0" w:color="auto"/>
        <w:bottom w:val="none" w:sz="0" w:space="0" w:color="auto"/>
        <w:right w:val="none" w:sz="0" w:space="0" w:color="auto"/>
      </w:divBdr>
    </w:div>
    <w:div w:id="983201267">
      <w:bodyDiv w:val="1"/>
      <w:marLeft w:val="0"/>
      <w:marRight w:val="0"/>
      <w:marTop w:val="0"/>
      <w:marBottom w:val="0"/>
      <w:divBdr>
        <w:top w:val="none" w:sz="0" w:space="0" w:color="auto"/>
        <w:left w:val="none" w:sz="0" w:space="0" w:color="auto"/>
        <w:bottom w:val="none" w:sz="0" w:space="0" w:color="auto"/>
        <w:right w:val="none" w:sz="0" w:space="0" w:color="auto"/>
      </w:divBdr>
    </w:div>
    <w:div w:id="1179390800">
      <w:bodyDiv w:val="1"/>
      <w:marLeft w:val="0"/>
      <w:marRight w:val="0"/>
      <w:marTop w:val="0"/>
      <w:marBottom w:val="0"/>
      <w:divBdr>
        <w:top w:val="none" w:sz="0" w:space="0" w:color="auto"/>
        <w:left w:val="none" w:sz="0" w:space="0" w:color="auto"/>
        <w:bottom w:val="none" w:sz="0" w:space="0" w:color="auto"/>
        <w:right w:val="none" w:sz="0" w:space="0" w:color="auto"/>
      </w:divBdr>
    </w:div>
    <w:div w:id="1828865832">
      <w:bodyDiv w:val="1"/>
      <w:marLeft w:val="0"/>
      <w:marRight w:val="0"/>
      <w:marTop w:val="0"/>
      <w:marBottom w:val="0"/>
      <w:divBdr>
        <w:top w:val="none" w:sz="0" w:space="0" w:color="auto"/>
        <w:left w:val="none" w:sz="0" w:space="0" w:color="auto"/>
        <w:bottom w:val="none" w:sz="0" w:space="0" w:color="auto"/>
        <w:right w:val="none" w:sz="0" w:space="0" w:color="auto"/>
      </w:divBdr>
    </w:div>
    <w:div w:id="2023893955">
      <w:bodyDiv w:val="1"/>
      <w:marLeft w:val="0"/>
      <w:marRight w:val="0"/>
      <w:marTop w:val="0"/>
      <w:marBottom w:val="0"/>
      <w:divBdr>
        <w:top w:val="none" w:sz="0" w:space="0" w:color="auto"/>
        <w:left w:val="none" w:sz="0" w:space="0" w:color="auto"/>
        <w:bottom w:val="none" w:sz="0" w:space="0" w:color="auto"/>
        <w:right w:val="none" w:sz="0" w:space="0" w:color="auto"/>
      </w:divBdr>
    </w:div>
    <w:div w:id="206622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1700</TotalTime>
  <Pages>6</Pages>
  <Words>1080</Words>
  <Characters>6156</Characters>
  <Application>Microsoft Office Word</Application>
  <DocSecurity>0</DocSecurity>
  <Lines>51</Lines>
  <Paragraphs>14</Paragraphs>
  <ScaleCrop>false</ScaleCrop>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Hongzhen Li</dc:creator>
  <cp:keywords/>
  <dc:description/>
  <cp:lastModifiedBy>Hongzhen Li</cp:lastModifiedBy>
  <cp:revision>22</cp:revision>
  <dcterms:created xsi:type="dcterms:W3CDTF">2020-04-24T10:07:00Z</dcterms:created>
  <dcterms:modified xsi:type="dcterms:W3CDTF">2020-10-22T08:37:00Z</dcterms:modified>
</cp:coreProperties>
</file>