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79D13" w14:textId="66689722" w:rsidR="00FD132D" w:rsidRPr="00DF1211" w:rsidRDefault="005D212D">
      <w:pPr>
        <w:rPr>
          <w:b/>
          <w:bCs/>
          <w:sz w:val="22"/>
          <w:szCs w:val="22"/>
          <w:lang w:val="en-US"/>
        </w:rPr>
      </w:pPr>
      <w:r w:rsidRPr="00DF1211">
        <w:rPr>
          <w:b/>
          <w:bCs/>
          <w:sz w:val="22"/>
          <w:szCs w:val="22"/>
          <w:lang w:val="en-US"/>
        </w:rPr>
        <w:t xml:space="preserve">Additional file 4: supplementary results </w:t>
      </w:r>
    </w:p>
    <w:p w14:paraId="47FD4FA0" w14:textId="77777777" w:rsidR="005D212D" w:rsidRPr="00DF1211" w:rsidRDefault="005D212D">
      <w:pPr>
        <w:rPr>
          <w:sz w:val="22"/>
          <w:szCs w:val="22"/>
          <w:lang w:val="en-US"/>
        </w:rPr>
      </w:pPr>
    </w:p>
    <w:p w14:paraId="4A31AF64" w14:textId="4F811C9E" w:rsidR="005D212D" w:rsidRPr="00DF1211" w:rsidRDefault="005D212D" w:rsidP="005D212D">
      <w:pPr>
        <w:spacing w:line="360" w:lineRule="auto"/>
        <w:rPr>
          <w:rFonts w:cstheme="minorHAnsi"/>
          <w:sz w:val="22"/>
          <w:szCs w:val="22"/>
          <w:u w:val="single"/>
          <w:lang w:val="en-US"/>
        </w:rPr>
      </w:pPr>
      <w:r w:rsidRPr="00DF1211">
        <w:rPr>
          <w:rFonts w:cstheme="minorHAnsi"/>
          <w:sz w:val="22"/>
          <w:szCs w:val="22"/>
          <w:u w:val="single"/>
          <w:lang w:val="en-US"/>
        </w:rPr>
        <w:t xml:space="preserve">Supplementary </w:t>
      </w:r>
      <w:r w:rsidR="00A04CA9" w:rsidRPr="00DF1211">
        <w:rPr>
          <w:rFonts w:cstheme="minorHAnsi"/>
          <w:sz w:val="22"/>
          <w:szCs w:val="22"/>
          <w:u w:val="single"/>
          <w:lang w:val="en-US"/>
        </w:rPr>
        <w:t>results</w:t>
      </w:r>
      <w:r w:rsidRPr="00DF1211">
        <w:rPr>
          <w:rFonts w:cstheme="minorHAnsi"/>
          <w:sz w:val="22"/>
          <w:szCs w:val="22"/>
          <w:u w:val="single"/>
          <w:lang w:val="en-US"/>
        </w:rPr>
        <w:t>:</w:t>
      </w:r>
      <w:r w:rsidRPr="00DF1211">
        <w:rPr>
          <w:sz w:val="22"/>
          <w:szCs w:val="22"/>
          <w:u w:val="single"/>
        </w:rPr>
        <w:t xml:space="preserve"> S</w:t>
      </w:r>
      <w:proofErr w:type="spellStart"/>
      <w:r w:rsidRPr="00DF1211">
        <w:rPr>
          <w:rFonts w:cstheme="minorHAnsi"/>
          <w:sz w:val="22"/>
          <w:szCs w:val="22"/>
          <w:u w:val="single"/>
          <w:lang w:val="en-US"/>
        </w:rPr>
        <w:t>ubgroup</w:t>
      </w:r>
      <w:proofErr w:type="spellEnd"/>
      <w:r w:rsidRPr="00DF1211">
        <w:rPr>
          <w:rFonts w:cstheme="minorHAnsi"/>
          <w:sz w:val="22"/>
          <w:szCs w:val="22"/>
          <w:u w:val="single"/>
          <w:lang w:val="en-US"/>
        </w:rPr>
        <w:t xml:space="preserve"> analysis by chronological age</w:t>
      </w:r>
    </w:p>
    <w:p w14:paraId="6F225C34" w14:textId="1C0B3C68" w:rsidR="005D212D" w:rsidRPr="00DF1211" w:rsidRDefault="005D212D" w:rsidP="005D212D">
      <w:pPr>
        <w:spacing w:line="360" w:lineRule="auto"/>
        <w:ind w:firstLine="720"/>
        <w:rPr>
          <w:rFonts w:cstheme="minorHAnsi"/>
          <w:sz w:val="22"/>
          <w:szCs w:val="22"/>
          <w:lang w:val="en-US"/>
        </w:rPr>
      </w:pPr>
      <w:r w:rsidRPr="00DF1211">
        <w:rPr>
          <w:sz w:val="22"/>
          <w:szCs w:val="22"/>
          <w:lang w:val="en-US"/>
        </w:rPr>
        <w:t xml:space="preserve">In a subgroup analysis by </w:t>
      </w:r>
      <w:r w:rsidRPr="00DF1211">
        <w:rPr>
          <w:rFonts w:cstheme="minorHAnsi"/>
          <w:sz w:val="22"/>
          <w:szCs w:val="22"/>
        </w:rPr>
        <w:t>chronological</w:t>
      </w:r>
      <w:r w:rsidRPr="00DF1211">
        <w:rPr>
          <w:sz w:val="22"/>
          <w:szCs w:val="22"/>
          <w:lang w:val="en-US"/>
        </w:rPr>
        <w:t xml:space="preserve"> age, </w:t>
      </w:r>
      <w:r w:rsidRPr="00DF1211">
        <w:rPr>
          <w:rFonts w:cstheme="minorHAnsi"/>
          <w:sz w:val="22"/>
          <w:szCs w:val="22"/>
        </w:rPr>
        <w:t>participants above median age (</w:t>
      </w:r>
      <w:r w:rsidRPr="00DF1211">
        <w:rPr>
          <w:rFonts w:cstheme="minorHAnsi"/>
          <w:sz w:val="22"/>
          <w:szCs w:val="22"/>
          <w:lang w:val="en-US"/>
        </w:rPr>
        <w:t>47.8 years</w:t>
      </w:r>
      <w:r w:rsidRPr="00DF1211">
        <w:rPr>
          <w:rFonts w:cstheme="minorHAnsi"/>
          <w:sz w:val="22"/>
          <w:szCs w:val="22"/>
        </w:rPr>
        <w:t>) in the low fat (LF) group</w:t>
      </w:r>
      <w:r w:rsidRPr="00DF1211">
        <w:rPr>
          <w:rFonts w:cstheme="minorHAnsi"/>
          <w:sz w:val="22"/>
          <w:szCs w:val="22"/>
          <w:lang w:val="en-US"/>
        </w:rPr>
        <w:t xml:space="preserve"> significantly increased their methylation age (mAge) by 1.0±2.1 years (p=0.02 vs. baseline), while older participants from the Mediterranean/low carbohydrate (MED/LC) group had a non-significant change in mAge after 18 months (0.5±1.9 years, p=0.13 vs. baseline), with no significant difference between the groups (p=0.35). In participants below the median age, both diet groups increased significantly their mAge (</w:t>
      </w:r>
      <w:bookmarkStart w:id="0" w:name="_Hlk39218840"/>
      <w:r w:rsidRPr="00DF1211">
        <w:rPr>
          <w:rFonts w:cstheme="minorHAnsi"/>
          <w:sz w:val="22"/>
          <w:szCs w:val="22"/>
          <w:lang w:val="en-US"/>
        </w:rPr>
        <w:t>LF: 1.6±1.7 years, p&lt;0.001; MED/LC: 1.2±1.8 years, p=0.002 vs. baseline</w:t>
      </w:r>
      <w:bookmarkEnd w:id="0"/>
      <w:r w:rsidRPr="00DF1211">
        <w:rPr>
          <w:rFonts w:cstheme="minorHAnsi"/>
          <w:sz w:val="22"/>
          <w:szCs w:val="22"/>
          <w:lang w:val="en-US"/>
        </w:rPr>
        <w:t xml:space="preserve">), with no significant difference between groups (p=0.33). </w:t>
      </w:r>
    </w:p>
    <w:p w14:paraId="3C3FEBEA" w14:textId="33ACF5E7" w:rsidR="00A04CA9" w:rsidRPr="00DF1211" w:rsidRDefault="00A04CA9" w:rsidP="00A04CA9">
      <w:pPr>
        <w:spacing w:line="360" w:lineRule="auto"/>
        <w:rPr>
          <w:rFonts w:cstheme="minorHAnsi"/>
          <w:sz w:val="22"/>
          <w:szCs w:val="22"/>
          <w:u w:val="single"/>
          <w:lang w:val="en-US"/>
        </w:rPr>
      </w:pPr>
      <w:bookmarkStart w:id="1" w:name="_Hlk42414198"/>
      <w:r w:rsidRPr="00DF1211">
        <w:rPr>
          <w:rFonts w:cstheme="minorHAnsi"/>
          <w:sz w:val="22"/>
          <w:szCs w:val="22"/>
          <w:u w:val="single"/>
          <w:lang w:val="en-US"/>
        </w:rPr>
        <w:t xml:space="preserve">Supplementary </w:t>
      </w:r>
      <w:bookmarkEnd w:id="1"/>
      <w:r w:rsidRPr="00DF1211">
        <w:rPr>
          <w:rFonts w:cstheme="minorHAnsi"/>
          <w:sz w:val="22"/>
          <w:szCs w:val="22"/>
          <w:u w:val="single"/>
          <w:lang w:val="en-US"/>
        </w:rPr>
        <w:t>results:</w:t>
      </w:r>
      <w:r w:rsidRPr="00DF1211">
        <w:rPr>
          <w:sz w:val="22"/>
          <w:szCs w:val="22"/>
          <w:u w:val="single"/>
        </w:rPr>
        <w:t xml:space="preserve"> </w:t>
      </w:r>
      <w:r w:rsidRPr="00DF1211">
        <w:rPr>
          <w:rFonts w:cstheme="minorHAnsi"/>
          <w:sz w:val="22"/>
          <w:szCs w:val="22"/>
          <w:u w:val="single"/>
          <w:lang w:val="en-US"/>
        </w:rPr>
        <w:t>Observed mAge change (∆mAge) in relation to the predicted mAge change</w:t>
      </w:r>
    </w:p>
    <w:p w14:paraId="7B4A4CB1" w14:textId="77777777" w:rsidR="00A04CA9" w:rsidRPr="00DF1211" w:rsidRDefault="00A04CA9" w:rsidP="00A04CA9">
      <w:pPr>
        <w:spacing w:line="360" w:lineRule="auto"/>
        <w:ind w:firstLine="720"/>
        <w:rPr>
          <w:rFonts w:cstheme="minorHAnsi"/>
          <w:sz w:val="22"/>
          <w:szCs w:val="22"/>
          <w:lang w:val="en-US"/>
        </w:rPr>
      </w:pPr>
      <w:r w:rsidRPr="00DF1211">
        <w:rPr>
          <w:rFonts w:cstheme="minorHAnsi"/>
          <w:sz w:val="22"/>
          <w:szCs w:val="22"/>
          <w:lang w:val="en-US"/>
        </w:rPr>
        <w:t xml:space="preserve">As predicted by linear regression generated at baseline, </w:t>
      </w:r>
      <w:r w:rsidRPr="00DF1211">
        <w:rPr>
          <w:sz w:val="22"/>
          <w:szCs w:val="22"/>
          <w:lang w:val="en-US"/>
        </w:rPr>
        <w:t>the assumed expected mAge after intervention for the entire cohort was 61.6</w:t>
      </w:r>
      <w:r w:rsidRPr="00DF1211">
        <w:rPr>
          <w:rFonts w:cstheme="minorHAnsi"/>
          <w:sz w:val="22"/>
          <w:szCs w:val="22"/>
          <w:lang w:val="en-US"/>
        </w:rPr>
        <w:t xml:space="preserve">±7.0 years, thus, expected aging of 1.3±2.8 years </w:t>
      </w:r>
      <w:bookmarkStart w:id="2" w:name="_Hlk39219040"/>
      <w:r w:rsidRPr="00DF1211">
        <w:rPr>
          <w:rFonts w:cstheme="minorHAnsi"/>
          <w:sz w:val="22"/>
          <w:szCs w:val="22"/>
          <w:lang w:val="en-US"/>
        </w:rPr>
        <w:t xml:space="preserve">(~15.7 months). </w:t>
      </w:r>
      <w:r w:rsidRPr="00DF1211">
        <w:rPr>
          <w:sz w:val="22"/>
          <w:szCs w:val="22"/>
          <w:lang w:val="en-US"/>
        </w:rPr>
        <w:t xml:space="preserve">As reported, participants actual mAge increased by </w:t>
      </w:r>
      <w:r w:rsidRPr="00DF1211">
        <w:rPr>
          <w:rFonts w:cstheme="minorHAnsi"/>
          <w:sz w:val="22"/>
          <w:szCs w:val="22"/>
          <w:lang w:val="en-US"/>
        </w:rPr>
        <w:t>1.1±1.9 (~12.9 months) years from baseline</w:t>
      </w:r>
      <w:r w:rsidRPr="00DF1211">
        <w:rPr>
          <w:sz w:val="22"/>
          <w:szCs w:val="22"/>
          <w:lang w:val="en-US"/>
        </w:rPr>
        <w:t xml:space="preserve"> </w:t>
      </w:r>
      <w:bookmarkEnd w:id="2"/>
      <w:r w:rsidRPr="00DF1211">
        <w:rPr>
          <w:sz w:val="22"/>
          <w:szCs w:val="22"/>
          <w:lang w:val="en-US"/>
        </w:rPr>
        <w:t>(observed mAge)</w:t>
      </w:r>
      <w:r w:rsidRPr="00DF1211">
        <w:rPr>
          <w:rFonts w:cstheme="minorHAnsi"/>
          <w:sz w:val="22"/>
          <w:szCs w:val="22"/>
          <w:lang w:val="en-US"/>
        </w:rPr>
        <w:t xml:space="preserve">. </w:t>
      </w:r>
      <w:bookmarkStart w:id="3" w:name="_Hlk37828167"/>
      <w:r w:rsidRPr="00DF1211">
        <w:rPr>
          <w:rFonts w:cstheme="minorHAnsi"/>
          <w:sz w:val="22"/>
          <w:szCs w:val="22"/>
          <w:lang w:val="en-US"/>
        </w:rPr>
        <w:t>In the subgroup with healthy liver status at the end of the intervention</w:t>
      </w:r>
      <w:bookmarkEnd w:id="3"/>
      <w:r w:rsidRPr="00DF1211">
        <w:rPr>
          <w:rFonts w:cstheme="minorHAnsi"/>
          <w:sz w:val="22"/>
          <w:szCs w:val="22"/>
          <w:lang w:val="en-US"/>
        </w:rPr>
        <w:t xml:space="preserve">, </w:t>
      </w:r>
      <w:bookmarkStart w:id="4" w:name="_Hlk39219073"/>
      <w:r w:rsidRPr="00DF1211">
        <w:rPr>
          <w:rFonts w:cstheme="minorHAnsi"/>
          <w:sz w:val="22"/>
          <w:szCs w:val="22"/>
          <w:lang w:val="en-US"/>
        </w:rPr>
        <w:t xml:space="preserve">the observed mAge was significantly lower by 10.3 months than the assumed expected (p=0.001), as mAge increased by 8.3±23.0 months from baseline to the end of intervention, while the expected mAge for the same set of participants would have been increased 18.6±31.9 months. </w:t>
      </w:r>
      <w:bookmarkEnd w:id="4"/>
    </w:p>
    <w:p w14:paraId="080BDD33" w14:textId="00E7DBC9" w:rsidR="005D212D" w:rsidRPr="00DF1211" w:rsidRDefault="00A04CA9" w:rsidP="00135081">
      <w:pPr>
        <w:spacing w:line="360" w:lineRule="auto"/>
        <w:ind w:firstLine="720"/>
        <w:rPr>
          <w:rFonts w:cstheme="minorHAnsi"/>
          <w:sz w:val="22"/>
          <w:szCs w:val="22"/>
          <w:lang w:val="en-US"/>
        </w:rPr>
      </w:pPr>
      <w:bookmarkStart w:id="5" w:name="_Hlk39219085"/>
      <w:r w:rsidRPr="00DF1211">
        <w:rPr>
          <w:rFonts w:cstheme="minorHAnsi"/>
          <w:sz w:val="22"/>
          <w:szCs w:val="22"/>
          <w:lang w:val="en-US"/>
        </w:rPr>
        <w:t>In a sub analysis among men above the median age, the observed mAge was significantly lower than the assumed expected (p=0.048), where mAge increased by 7.1±23.4 months from baseline, while the expected mAge change was assumed as 14.8±35.8 months</w:t>
      </w:r>
      <w:bookmarkEnd w:id="5"/>
      <w:r w:rsidRPr="00DF1211">
        <w:rPr>
          <w:rFonts w:cstheme="minorHAnsi"/>
          <w:sz w:val="22"/>
          <w:szCs w:val="22"/>
          <w:lang w:val="en-US"/>
        </w:rPr>
        <w:t xml:space="preserve">. In </w:t>
      </w:r>
      <w:bookmarkStart w:id="6" w:name="OLE_LINK1"/>
      <w:r w:rsidRPr="00DF1211">
        <w:rPr>
          <w:rFonts w:cstheme="minorHAnsi"/>
          <w:sz w:val="22"/>
          <w:szCs w:val="22"/>
          <w:lang w:val="en-US"/>
        </w:rPr>
        <w:t>weight successors, among men above median age</w:t>
      </w:r>
      <w:bookmarkEnd w:id="6"/>
      <w:r w:rsidRPr="00DF1211">
        <w:rPr>
          <w:rFonts w:cstheme="minorHAnsi"/>
          <w:sz w:val="22"/>
          <w:szCs w:val="22"/>
          <w:lang w:val="en-US"/>
        </w:rPr>
        <w:t xml:space="preserve">, a marginal difference was observed between the observed and expected mAge change (4.6±25.6 months vs. </w:t>
      </w:r>
      <w:r w:rsidRPr="00DF1211">
        <w:rPr>
          <w:rFonts w:cstheme="minorHAnsi" w:hint="cs"/>
          <w:sz w:val="22"/>
          <w:szCs w:val="22"/>
          <w:rtl/>
          <w:lang w:val="en-US"/>
        </w:rPr>
        <w:t>1</w:t>
      </w:r>
      <w:r w:rsidRPr="00DF1211">
        <w:rPr>
          <w:rFonts w:cstheme="minorHAnsi"/>
          <w:sz w:val="22"/>
          <w:szCs w:val="22"/>
          <w:lang w:val="en-US"/>
        </w:rPr>
        <w:t>6.9±31.8 months, respectively; p=0.08</w:t>
      </w:r>
      <w:r w:rsidRPr="00DF1211">
        <w:rPr>
          <w:rFonts w:cstheme="minorHAnsi" w:hint="cs"/>
          <w:sz w:val="22"/>
          <w:szCs w:val="22"/>
          <w:rtl/>
          <w:lang w:val="en-US"/>
        </w:rPr>
        <w:t>(</w:t>
      </w:r>
      <w:r w:rsidRPr="00DF1211">
        <w:rPr>
          <w:rFonts w:cstheme="minorHAnsi"/>
          <w:sz w:val="22"/>
          <w:szCs w:val="22"/>
          <w:lang w:val="en-US"/>
        </w:rPr>
        <w:t xml:space="preserve">. </w:t>
      </w:r>
      <w:bookmarkStart w:id="7" w:name="_Hlk39219105"/>
      <w:r w:rsidRPr="00DF1211">
        <w:rPr>
          <w:rFonts w:cstheme="minorHAnsi"/>
          <w:sz w:val="22"/>
          <w:szCs w:val="22"/>
          <w:lang w:val="en-US"/>
        </w:rPr>
        <w:t>For men above median age with normal liver fat%, lower mAge change was observed (2.7±23.7 months), as compared to the expected mAge change (20.5±32.7 months;</w:t>
      </w:r>
      <w:bookmarkEnd w:id="7"/>
      <w:r w:rsidRPr="00DF1211">
        <w:rPr>
          <w:rFonts w:cstheme="minorHAnsi"/>
          <w:sz w:val="22"/>
          <w:szCs w:val="22"/>
          <w:lang w:val="en-US"/>
        </w:rPr>
        <w:t xml:space="preserve"> p=3.0*10</w:t>
      </w:r>
      <w:r w:rsidRPr="00DF1211">
        <w:rPr>
          <w:rFonts w:cstheme="minorHAnsi"/>
          <w:sz w:val="22"/>
          <w:szCs w:val="22"/>
          <w:vertAlign w:val="superscript"/>
          <w:lang w:val="en-US"/>
        </w:rPr>
        <w:t>-4</w:t>
      </w:r>
      <w:r w:rsidRPr="00DF1211">
        <w:rPr>
          <w:rFonts w:cstheme="minorHAnsi"/>
          <w:sz w:val="22"/>
          <w:szCs w:val="22"/>
          <w:lang w:val="en-US"/>
        </w:rPr>
        <w:t xml:space="preserve">). </w:t>
      </w:r>
    </w:p>
    <w:sectPr w:rsidR="005D212D" w:rsidRPr="00DF12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2D"/>
    <w:rsid w:val="00135081"/>
    <w:rsid w:val="00195FB9"/>
    <w:rsid w:val="002904E3"/>
    <w:rsid w:val="005D212D"/>
    <w:rsid w:val="007617AF"/>
    <w:rsid w:val="00A04CA9"/>
    <w:rsid w:val="00D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4B85A"/>
  <w15:chartTrackingRefBased/>
  <w15:docId w15:val="{83E5BBDC-D882-2241-B19A-E2ECBE2B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yaskolka meir</dc:creator>
  <cp:keywords/>
  <dc:description/>
  <cp:lastModifiedBy>anat yaskolka meir</cp:lastModifiedBy>
  <cp:revision>5</cp:revision>
  <dcterms:created xsi:type="dcterms:W3CDTF">2021-02-15T07:29:00Z</dcterms:created>
  <dcterms:modified xsi:type="dcterms:W3CDTF">2021-02-28T10:30:00Z</dcterms:modified>
</cp:coreProperties>
</file>