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CBAB3" w14:textId="3E8F570C" w:rsidR="00826FB6" w:rsidRPr="00826FB6" w:rsidRDefault="00826FB6" w:rsidP="00826FB6">
      <w:pPr>
        <w:spacing w:line="360" w:lineRule="auto"/>
        <w:rPr>
          <w:rFonts w:cstheme="minorHAnsi"/>
          <w:b/>
          <w:bCs/>
          <w:szCs w:val="24"/>
          <w:lang w:val="en-US"/>
        </w:rPr>
      </w:pPr>
      <w:bookmarkStart w:id="0" w:name="_Hlk42414097"/>
      <w:r w:rsidRPr="00826FB6">
        <w:rPr>
          <w:rFonts w:cstheme="minorHAnsi"/>
          <w:b/>
          <w:bCs/>
          <w:szCs w:val="24"/>
          <w:lang w:val="en-US"/>
        </w:rPr>
        <w:t xml:space="preserve">Additional file </w:t>
      </w:r>
      <w:r w:rsidR="00B21A85">
        <w:rPr>
          <w:rFonts w:cstheme="minorHAnsi"/>
          <w:b/>
          <w:bCs/>
          <w:szCs w:val="24"/>
          <w:lang w:val="en-US"/>
        </w:rPr>
        <w:t>6</w:t>
      </w:r>
      <w:r w:rsidRPr="00826FB6">
        <w:rPr>
          <w:rFonts w:cstheme="minorHAnsi"/>
          <w:b/>
          <w:bCs/>
          <w:szCs w:val="24"/>
          <w:lang w:val="en-US"/>
        </w:rPr>
        <w:t>: supplemental methods</w:t>
      </w:r>
    </w:p>
    <w:bookmarkEnd w:id="0"/>
    <w:p w14:paraId="047D8E5D" w14:textId="51106ABE" w:rsidR="00826FB6" w:rsidRPr="00615581" w:rsidRDefault="00826FB6" w:rsidP="00826FB6">
      <w:pPr>
        <w:spacing w:line="360" w:lineRule="auto"/>
        <w:rPr>
          <w:rFonts w:ascii="Calibri" w:hAnsi="Calibri" w:cs="Calibri"/>
          <w:u w:val="single"/>
          <w:rtl/>
        </w:rPr>
      </w:pPr>
      <w:r w:rsidRPr="00301276">
        <w:rPr>
          <w:rFonts w:cstheme="minorHAnsi"/>
          <w:szCs w:val="24"/>
          <w:u w:val="single"/>
          <w:lang w:val="en-US"/>
        </w:rPr>
        <w:t>Supplementa</w:t>
      </w:r>
      <w:r>
        <w:rPr>
          <w:rFonts w:cstheme="minorHAnsi"/>
          <w:szCs w:val="24"/>
          <w:u w:val="single"/>
          <w:lang w:val="en-US"/>
        </w:rPr>
        <w:t xml:space="preserve">ry </w:t>
      </w:r>
      <w:r w:rsidR="00233F47">
        <w:rPr>
          <w:rFonts w:cstheme="minorHAnsi"/>
          <w:szCs w:val="24"/>
          <w:u w:val="single"/>
          <w:lang w:val="en-US"/>
        </w:rPr>
        <w:t>methods</w:t>
      </w:r>
      <w:r w:rsidRPr="00615581">
        <w:rPr>
          <w:rFonts w:cstheme="minorHAnsi"/>
          <w:szCs w:val="24"/>
          <w:u w:val="single"/>
        </w:rPr>
        <w:t xml:space="preserve">: </w:t>
      </w:r>
      <w:r w:rsidRPr="00615581">
        <w:rPr>
          <w:rFonts w:ascii="Calibri" w:hAnsi="Calibri" w:cs="Calibri"/>
          <w:color w:val="000000" w:themeColor="text1"/>
          <w:spacing w:val="-2"/>
          <w:u w:val="single"/>
        </w:rPr>
        <w:t>Technical description of the scanning procedure</w:t>
      </w:r>
      <w:r w:rsidRPr="00615581">
        <w:rPr>
          <w:rFonts w:ascii="Calibri" w:hAnsi="Calibri" w:cs="Calibri"/>
          <w:color w:val="000000" w:themeColor="text1"/>
          <w:spacing w:val="-2"/>
          <w:u w:val="single"/>
          <w:lang w:val="en-US"/>
        </w:rPr>
        <w:t>, abdominal fat depots and IHF% acquisition and</w:t>
      </w:r>
      <w:r w:rsidRPr="00615581">
        <w:rPr>
          <w:rFonts w:ascii="Calibri" w:hAnsi="Calibri" w:cs="Calibri"/>
          <w:color w:val="000000" w:themeColor="text1"/>
          <w:spacing w:val="-2"/>
          <w:u w:val="single"/>
        </w:rPr>
        <w:t xml:space="preserve"> </w:t>
      </w:r>
      <w:r w:rsidRPr="00615581">
        <w:rPr>
          <w:rFonts w:ascii="Calibri" w:hAnsi="Calibri" w:cs="Calibri"/>
          <w:u w:val="single"/>
        </w:rPr>
        <w:t>Clinical measurements</w:t>
      </w:r>
    </w:p>
    <w:p w14:paraId="5FCB3F54" w14:textId="77777777" w:rsidR="00826FB6" w:rsidRPr="001B3932" w:rsidRDefault="00826FB6" w:rsidP="00826FB6">
      <w:pPr>
        <w:spacing w:line="360" w:lineRule="auto"/>
        <w:rPr>
          <w:rFonts w:ascii="Calibri" w:hAnsi="Calibri" w:cs="Calibri"/>
          <w:i/>
          <w:iCs/>
          <w:lang w:val="en-US"/>
        </w:rPr>
      </w:pPr>
      <w:r w:rsidRPr="001B3932">
        <w:rPr>
          <w:rFonts w:ascii="Calibri" w:hAnsi="Calibri" w:cs="Calibri"/>
          <w:i/>
          <w:iCs/>
          <w:lang w:val="en-US"/>
        </w:rPr>
        <w:t>MRI assessment of fat deposits:</w:t>
      </w:r>
    </w:p>
    <w:p w14:paraId="1349668A" w14:textId="77777777" w:rsidR="00826FB6" w:rsidRPr="001B3932" w:rsidRDefault="00826FB6" w:rsidP="00826FB6">
      <w:pPr>
        <w:autoSpaceDE w:val="0"/>
        <w:autoSpaceDN w:val="0"/>
        <w:adjustRightInd w:val="0"/>
        <w:spacing w:line="360" w:lineRule="auto"/>
        <w:ind w:firstLine="720"/>
        <w:rPr>
          <w:rFonts w:ascii="Calibri" w:hAnsi="Calibri" w:cs="Calibri"/>
          <w:color w:val="000000" w:themeColor="text1"/>
        </w:rPr>
      </w:pPr>
      <w:r w:rsidRPr="007269AD">
        <w:rPr>
          <w:rFonts w:ascii="Calibri" w:hAnsi="Calibri" w:cs="Calibri"/>
          <w:color w:val="000000" w:themeColor="text1"/>
          <w:spacing w:val="-2"/>
        </w:rPr>
        <w:t xml:space="preserve">The </w:t>
      </w:r>
      <w:r w:rsidRPr="007269AD">
        <w:rPr>
          <w:rFonts w:ascii="Calibri" w:hAnsi="Calibri" w:cs="Calibri"/>
        </w:rPr>
        <w:t>scanner utilized a 3D modified DIXON (</w:t>
      </w:r>
      <w:proofErr w:type="spellStart"/>
      <w:r w:rsidRPr="007269AD">
        <w:rPr>
          <w:rFonts w:ascii="Calibri" w:hAnsi="Calibri" w:cs="Calibri"/>
        </w:rPr>
        <w:t>mDIXON</w:t>
      </w:r>
      <w:proofErr w:type="spellEnd"/>
      <w:r w:rsidRPr="007269AD">
        <w:rPr>
          <w:rFonts w:ascii="Calibri" w:hAnsi="Calibri" w:cs="Calibri"/>
        </w:rPr>
        <w:t xml:space="preserve">) imaging technique without gaps </w:t>
      </w:r>
      <w:r w:rsidRPr="007269AD">
        <w:rPr>
          <w:rFonts w:ascii="Calibri" w:hAnsi="Calibri" w:cs="Calibri"/>
          <w:color w:val="000000" w:themeColor="text1"/>
        </w:rPr>
        <w:t xml:space="preserve">(2mm thickness and </w:t>
      </w:r>
      <w:r w:rsidRPr="007269AD">
        <w:rPr>
          <w:rFonts w:ascii="Calibri" w:hAnsi="Calibri" w:cs="Calibri"/>
        </w:rPr>
        <w:t xml:space="preserve">2mm of spacing), fast-low-angle shot (FLASH) sequence with a multi-echo two-excitation pulse sequence for phase-sensitive encoding of fat and water signals (TR,3.6ms; TE1,1.19ms; TE2,2.3ms; FOV </w:t>
      </w:r>
      <w:r w:rsidRPr="007269AD">
        <w:rPr>
          <w:rFonts w:ascii="Calibri" w:hAnsi="Calibri" w:cs="Calibri"/>
          <w:color w:val="000000" w:themeColor="text1"/>
        </w:rPr>
        <w:t xml:space="preserve">520×440×80mm; 2×1.4×1mm voxel size). </w:t>
      </w:r>
      <w:r w:rsidRPr="007269AD">
        <w:rPr>
          <w:rFonts w:ascii="Calibri" w:hAnsi="Calibri" w:cs="Calibri"/>
        </w:rPr>
        <w:t>Four images of the phantoms were generated, including in-phase, out-phase, fat and water phase.</w:t>
      </w:r>
      <w:r w:rsidRPr="007269AD">
        <w:rPr>
          <w:rFonts w:ascii="Calibri" w:hAnsi="Calibri" w:cs="Calibri"/>
          <w:color w:val="000000" w:themeColor="text1"/>
        </w:rPr>
        <w:t xml:space="preserve"> A breath-hold technique </w:t>
      </w:r>
      <w:r w:rsidRPr="007269AD">
        <w:rPr>
          <w:rFonts w:ascii="Calibri" w:hAnsi="Calibri" w:cs="Calibri"/>
        </w:rPr>
        <w:t xml:space="preserve">was used to avoid motion artifacts </w:t>
      </w:r>
      <w:r w:rsidRPr="007269AD">
        <w:rPr>
          <w:rFonts w:ascii="Calibri" w:hAnsi="Calibri" w:cs="Calibri"/>
          <w:color w:val="000000" w:themeColor="text1"/>
        </w:rPr>
        <w:t xml:space="preserve">when chest and abdomen were scanned. All MRI tests were performed after </w:t>
      </w:r>
      <w:r>
        <w:rPr>
          <w:rFonts w:ascii="Calibri" w:hAnsi="Calibri" w:cs="Calibri"/>
          <w:color w:val="000000" w:themeColor="text1"/>
        </w:rPr>
        <w:t xml:space="preserve">fasting </w:t>
      </w:r>
      <w:r w:rsidRPr="007269AD">
        <w:rPr>
          <w:rFonts w:ascii="Calibri" w:hAnsi="Calibri" w:cs="Calibri"/>
          <w:color w:val="000000" w:themeColor="text1"/>
        </w:rPr>
        <w:t>2</w:t>
      </w:r>
      <w:r>
        <w:rPr>
          <w:rFonts w:ascii="Calibri" w:hAnsi="Calibri" w:cs="Calibri"/>
          <w:color w:val="000000" w:themeColor="text1"/>
        </w:rPr>
        <w:t xml:space="preserve">+ </w:t>
      </w:r>
      <w:r w:rsidRPr="007269AD">
        <w:rPr>
          <w:rFonts w:ascii="Calibri" w:hAnsi="Calibri" w:cs="Calibri"/>
        </w:rPr>
        <w:t>hour</w:t>
      </w:r>
      <w:r>
        <w:rPr>
          <w:rFonts w:ascii="Calibri" w:hAnsi="Calibri" w:cs="Calibri"/>
        </w:rPr>
        <w:t>s</w:t>
      </w:r>
      <w:r w:rsidRPr="007269AD">
        <w:rPr>
          <w:rFonts w:ascii="Calibri" w:hAnsi="Calibri" w:cs="Calibri"/>
        </w:rPr>
        <w:t xml:space="preserve"> </w:t>
      </w:r>
      <w:r w:rsidRPr="007269AD">
        <w:rPr>
          <w:rFonts w:ascii="Calibri" w:hAnsi="Calibri" w:cs="Calibri"/>
          <w:color w:val="000000" w:themeColor="text1"/>
        </w:rPr>
        <w:t xml:space="preserve">to avoid artifacts of fat-disruption in the intestines. In all simultaneous fat depots quantification and comparisons, observers were blinded to point </w:t>
      </w:r>
      <w:r>
        <w:rPr>
          <w:rFonts w:ascii="Calibri" w:hAnsi="Calibri" w:cs="Calibri"/>
          <w:color w:val="000000" w:themeColor="text1"/>
        </w:rPr>
        <w:t xml:space="preserve">of measurement </w:t>
      </w:r>
      <w:r w:rsidRPr="007269AD">
        <w:rPr>
          <w:rFonts w:ascii="Calibri" w:hAnsi="Calibri" w:cs="Calibri"/>
          <w:color w:val="000000" w:themeColor="text1"/>
        </w:rPr>
        <w:t xml:space="preserve">and group treatment. </w:t>
      </w:r>
    </w:p>
    <w:p w14:paraId="01EF7AA1" w14:textId="77777777" w:rsidR="00826FB6" w:rsidRDefault="00826FB6" w:rsidP="00826FB6">
      <w:pPr>
        <w:spacing w:line="360" w:lineRule="auto"/>
        <w:ind w:firstLine="720"/>
      </w:pPr>
      <w:r>
        <w:rPr>
          <w:rFonts w:hint="cs"/>
        </w:rPr>
        <w:t>A</w:t>
      </w:r>
      <w:r w:rsidRPr="007269AD">
        <w:t xml:space="preserve">bdominal fat depots were quantified using a MATLAB-based semi-automatic </w:t>
      </w:r>
      <w:r>
        <w:t>program</w:t>
      </w:r>
      <w:r w:rsidRPr="007269AD">
        <w:t xml:space="preserve"> with a continuous line drawn over the fascia superficialis to differentiate </w:t>
      </w:r>
      <w:r>
        <w:t>d</w:t>
      </w:r>
      <w:r w:rsidRPr="007269AD">
        <w:t>eep-</w:t>
      </w:r>
      <w:r>
        <w:t>subcutaneous adipose tissue (</w:t>
      </w:r>
      <w:r w:rsidRPr="007269AD">
        <w:t>SAT</w:t>
      </w:r>
      <w:r>
        <w:t>)</w:t>
      </w:r>
      <w:r w:rsidRPr="007269AD">
        <w:t xml:space="preserve"> and </w:t>
      </w:r>
      <w:r>
        <w:t>s</w:t>
      </w:r>
      <w:r w:rsidRPr="007269AD">
        <w:t xml:space="preserve">uperficial-SAT. Mean </w:t>
      </w:r>
      <w:r>
        <w:t>visceral adipose tissue (</w:t>
      </w:r>
      <w:r w:rsidRPr="007269AD">
        <w:t>VAT</w:t>
      </w:r>
      <w:r>
        <w:t>)</w:t>
      </w:r>
      <w:r w:rsidRPr="007269AD">
        <w:t>, deep-SAT and superficial-SAT areas were calculated from three axial slices: L5-S1, L4-L5 and L2-L3. IHF content</w:t>
      </w:r>
      <w:r w:rsidRPr="007269AD">
        <w:rPr>
          <w:i/>
          <w:iCs/>
        </w:rPr>
        <w:t xml:space="preserve"> </w:t>
      </w:r>
      <w:r w:rsidRPr="007269AD">
        <w:t xml:space="preserve">was calculated </w:t>
      </w:r>
      <w:r>
        <w:t>using the</w:t>
      </w:r>
      <w:r w:rsidRPr="007269AD">
        <w:t xml:space="preserve"> PRIDE software from Philips Medical Systems. We calculated mean percentage</w:t>
      </w:r>
      <w:r>
        <w:t>s</w:t>
      </w:r>
      <w:r w:rsidRPr="007269AD">
        <w:t xml:space="preserve"> from 2D slices (3cm intervals divided into quarters) by utilizing the region of interest (ROI) approach </w:t>
      </w:r>
      <w:r w:rsidRPr="007269AD">
        <w:fldChar w:fldCharType="begin"/>
      </w:r>
      <w:r w:rsidRPr="007269AD">
        <w:instrText>ADDIN RW.CITE{{doc:5a783293e4b06d3caccf70b1 Schuchmann,Sebastian 2007}}</w:instrText>
      </w:r>
      <w:r w:rsidRPr="007269AD">
        <w:fldChar w:fldCharType="separate"/>
      </w:r>
      <w:r w:rsidRPr="00DA6569">
        <w:t>[1]</w:t>
      </w:r>
      <w:r w:rsidRPr="007269AD">
        <w:fldChar w:fldCharType="end"/>
      </w:r>
      <w:r w:rsidRPr="007269AD">
        <w:t xml:space="preserve">, </w:t>
      </w:r>
      <w:r>
        <w:t>examining</w:t>
      </w:r>
      <w:r w:rsidRPr="007269AD">
        <w:t xml:space="preserve"> tissue densities (fat/</w:t>
      </w:r>
      <w:proofErr w:type="spellStart"/>
      <w:r w:rsidRPr="007269AD">
        <w:t>fat+water</w:t>
      </w:r>
      <w:proofErr w:type="spellEnd"/>
      <w:r w:rsidRPr="007269AD">
        <w:t xml:space="preserve">) </w:t>
      </w:r>
      <w:r>
        <w:t>based on</w:t>
      </w:r>
      <w:r w:rsidRPr="007269AD">
        <w:t xml:space="preserve"> the </w:t>
      </w:r>
      <w:r>
        <w:t>f</w:t>
      </w:r>
      <w:r w:rsidRPr="007269AD">
        <w:t xml:space="preserve">at </w:t>
      </w:r>
      <w:r>
        <w:t>r</w:t>
      </w:r>
      <w:r w:rsidRPr="007269AD">
        <w:t xml:space="preserve">atio </w:t>
      </w:r>
      <w:r>
        <w:t>c</w:t>
      </w:r>
      <w:r w:rsidRPr="007269AD">
        <w:t xml:space="preserve">alculation. We determined mean fat percentage for each slice and quarter, and </w:t>
      </w:r>
      <w:r>
        <w:t>for</w:t>
      </w:r>
      <w:r w:rsidRPr="007269AD">
        <w:t xml:space="preserve"> the </w:t>
      </w:r>
      <w:r>
        <w:t xml:space="preserve">entire </w:t>
      </w:r>
      <w:r w:rsidRPr="007269AD">
        <w:t>liver.</w:t>
      </w:r>
    </w:p>
    <w:p w14:paraId="5B401255" w14:textId="77777777" w:rsidR="00826FB6" w:rsidRPr="001B3932" w:rsidRDefault="00826FB6" w:rsidP="00826FB6">
      <w:pPr>
        <w:spacing w:line="360" w:lineRule="auto"/>
        <w:rPr>
          <w:i/>
          <w:iCs/>
        </w:rPr>
      </w:pPr>
      <w:r>
        <w:rPr>
          <w:i/>
          <w:iCs/>
        </w:rPr>
        <w:t>Clinical measurements:</w:t>
      </w:r>
    </w:p>
    <w:p w14:paraId="440C284A" w14:textId="77777777" w:rsidR="00826FB6" w:rsidRPr="001B3932" w:rsidRDefault="00826FB6" w:rsidP="00826FB6">
      <w:pPr>
        <w:spacing w:line="360" w:lineRule="auto"/>
        <w:ind w:firstLine="720"/>
        <w:rPr>
          <w:rFonts w:ascii="Calibri" w:hAnsi="Calibri" w:cs="Calibri"/>
          <w:color w:val="000000" w:themeColor="text1"/>
          <w:rtl/>
        </w:rPr>
      </w:pPr>
      <w:r w:rsidRPr="007269AD">
        <w:rPr>
          <w:rFonts w:ascii="Calibri" w:hAnsi="Calibri" w:cs="Calibri"/>
          <w:color w:val="000000" w:themeColor="text1"/>
        </w:rPr>
        <w:t xml:space="preserve">Height was measured at baseline, to the nearest </w:t>
      </w:r>
      <w:proofErr w:type="spellStart"/>
      <w:r w:rsidRPr="007269AD">
        <w:rPr>
          <w:rFonts w:ascii="Calibri" w:hAnsi="Calibri" w:cs="Calibri"/>
          <w:color w:val="000000" w:themeColor="text1"/>
        </w:rPr>
        <w:t>millimeter</w:t>
      </w:r>
      <w:proofErr w:type="spellEnd"/>
      <w:r w:rsidRPr="007269AD">
        <w:rPr>
          <w:rFonts w:ascii="Calibri" w:hAnsi="Calibri" w:cs="Calibri"/>
          <w:color w:val="000000" w:themeColor="text1"/>
        </w:rPr>
        <w:t xml:space="preserve"> by using a standard wall-mounted stadiometer. </w:t>
      </w:r>
      <w:r>
        <w:rPr>
          <w:rFonts w:ascii="Calibri" w:hAnsi="Calibri" w:cs="Calibri"/>
          <w:color w:val="000000" w:themeColor="text1"/>
        </w:rPr>
        <w:t>WC</w:t>
      </w:r>
      <w:r w:rsidRPr="007269AD">
        <w:rPr>
          <w:rFonts w:ascii="Calibri" w:hAnsi="Calibri" w:cs="Calibri"/>
          <w:color w:val="000000" w:themeColor="text1"/>
        </w:rPr>
        <w:t xml:space="preserve"> was measured at baseline and 18 months</w:t>
      </w:r>
      <w:r>
        <w:rPr>
          <w:rFonts w:ascii="Calibri" w:hAnsi="Calibri" w:cs="Calibri"/>
          <w:color w:val="000000" w:themeColor="text1"/>
        </w:rPr>
        <w:t xml:space="preserve"> thereafter</w:t>
      </w:r>
      <w:r w:rsidRPr="007269AD">
        <w:rPr>
          <w:rFonts w:ascii="Calibri" w:hAnsi="Calibri" w:cs="Calibri"/>
          <w:color w:val="000000" w:themeColor="text1"/>
        </w:rPr>
        <w:t xml:space="preserve"> to the nearest </w:t>
      </w:r>
      <w:proofErr w:type="spellStart"/>
      <w:r w:rsidRPr="007269AD">
        <w:rPr>
          <w:rFonts w:ascii="Calibri" w:hAnsi="Calibri" w:cs="Calibri"/>
          <w:color w:val="000000" w:themeColor="text1"/>
        </w:rPr>
        <w:t>millimeter</w:t>
      </w:r>
      <w:proofErr w:type="spellEnd"/>
      <w:r w:rsidRPr="007269AD">
        <w:rPr>
          <w:rFonts w:ascii="Calibri" w:hAnsi="Calibri" w:cs="Calibri"/>
          <w:color w:val="000000" w:themeColor="text1"/>
        </w:rPr>
        <w:t xml:space="preserve"> with an anthropometric measuring tape; the measurement was made half-way between the last rib and the iliac crest. Body weight was measured monthly without shoes to the nearest 0.1kg. Fasting blood samples were taken at baseline and 18 month</w:t>
      </w:r>
      <w:r>
        <w:rPr>
          <w:rFonts w:ascii="Calibri" w:hAnsi="Calibri" w:cs="Calibri"/>
          <w:color w:val="000000" w:themeColor="text1"/>
        </w:rPr>
        <w:t>s</w:t>
      </w:r>
      <w:r w:rsidRPr="007269AD">
        <w:rPr>
          <w:rFonts w:ascii="Calibri" w:hAnsi="Calibri" w:cs="Calibri"/>
          <w:color w:val="000000" w:themeColor="text1"/>
        </w:rPr>
        <w:t xml:space="preserve"> </w:t>
      </w:r>
      <w:r>
        <w:rPr>
          <w:rFonts w:ascii="Calibri" w:hAnsi="Calibri" w:cs="Calibri"/>
          <w:color w:val="000000" w:themeColor="text1"/>
        </w:rPr>
        <w:t>thereafter</w:t>
      </w:r>
      <w:r w:rsidRPr="007269AD">
        <w:rPr>
          <w:rFonts w:ascii="Calibri" w:hAnsi="Calibri" w:cs="Calibri"/>
          <w:color w:val="000000" w:themeColor="text1"/>
        </w:rPr>
        <w:t xml:space="preserve"> at 8:00</w:t>
      </w:r>
      <w:r w:rsidRPr="007269AD">
        <w:rPr>
          <w:rFonts w:ascii="Calibri" w:hAnsi="Calibri" w:cs="Calibri"/>
          <w:smallCaps/>
          <w:color w:val="000000" w:themeColor="text1"/>
        </w:rPr>
        <w:t>am,</w:t>
      </w:r>
      <w:r w:rsidRPr="007269AD">
        <w:rPr>
          <w:rFonts w:ascii="Calibri" w:hAnsi="Calibri" w:cs="Calibri"/>
          <w:color w:val="000000" w:themeColor="text1"/>
        </w:rPr>
        <w:t xml:space="preserve"> and were stored at </w:t>
      </w:r>
      <w:r w:rsidRPr="007269AD">
        <w:rPr>
          <w:rFonts w:ascii="Calibri" w:hAnsi="Calibri" w:cs="Calibri"/>
          <w:color w:val="000000" w:themeColor="text1"/>
        </w:rPr>
        <w:noBreakHyphen/>
        <w:t>80°C.</w:t>
      </w:r>
    </w:p>
    <w:p w14:paraId="21726E75" w14:textId="77777777" w:rsidR="00826FB6" w:rsidRPr="007269AD" w:rsidRDefault="00826FB6" w:rsidP="00826FB6">
      <w:pPr>
        <w:spacing w:line="360" w:lineRule="auto"/>
        <w:ind w:firstLine="720"/>
        <w:rPr>
          <w:rFonts w:ascii="Calibri" w:hAnsi="Calibri" w:cs="Calibri"/>
          <w:color w:val="000000" w:themeColor="text1"/>
        </w:rPr>
      </w:pPr>
      <w:r w:rsidRPr="007269AD">
        <w:rPr>
          <w:rFonts w:ascii="Calibri" w:hAnsi="Calibri" w:cs="Calibri"/>
          <w:color w:val="000000" w:themeColor="text1"/>
        </w:rPr>
        <w:t xml:space="preserve">Fasting plasma glucose (FPG) was measured by Roche GLUC 3 (hexokinase method). </w:t>
      </w:r>
      <w:r w:rsidRPr="007269AD">
        <w:rPr>
          <w:rFonts w:ascii="Calibri" w:hAnsi="Calibri" w:cs="Calibri"/>
          <w:color w:val="000000"/>
        </w:rPr>
        <w:t>Plasma insulin was measured with an enzyme immunometric assay [</w:t>
      </w:r>
      <w:proofErr w:type="spellStart"/>
      <w:r w:rsidRPr="007269AD">
        <w:rPr>
          <w:rFonts w:ascii="Calibri" w:hAnsi="Calibri" w:cs="Calibri"/>
          <w:color w:val="000000"/>
        </w:rPr>
        <w:t>Immulite</w:t>
      </w:r>
      <w:proofErr w:type="spellEnd"/>
      <w:r w:rsidRPr="007269AD">
        <w:rPr>
          <w:rFonts w:ascii="Calibri" w:hAnsi="Calibri" w:cs="Calibri"/>
          <w:color w:val="000000"/>
        </w:rPr>
        <w:t xml:space="preserve"> automated </w:t>
      </w:r>
      <w:proofErr w:type="spellStart"/>
      <w:r w:rsidRPr="007269AD">
        <w:rPr>
          <w:rFonts w:ascii="Calibri" w:hAnsi="Calibri" w:cs="Calibri"/>
          <w:color w:val="000000"/>
        </w:rPr>
        <w:t>analyzer</w:t>
      </w:r>
      <w:proofErr w:type="spellEnd"/>
      <w:r w:rsidRPr="007269AD">
        <w:rPr>
          <w:rFonts w:ascii="Calibri" w:hAnsi="Calibri" w:cs="Calibri"/>
          <w:color w:val="000000"/>
        </w:rPr>
        <w:t>, Diagnostic Products, coefficient of variation (CV) =2 .5%]</w:t>
      </w:r>
      <w:r w:rsidRPr="007269AD">
        <w:rPr>
          <w:rFonts w:ascii="Calibri" w:hAnsi="Calibri" w:cs="Calibri"/>
          <w:color w:val="000000" w:themeColor="text1"/>
        </w:rPr>
        <w:t>. Serum total cholesterol (CV = 1.3%), high-density-</w:t>
      </w:r>
      <w:r w:rsidRPr="007269AD">
        <w:rPr>
          <w:rFonts w:ascii="Calibri" w:hAnsi="Calibri" w:cs="Calibri"/>
          <w:color w:val="000000" w:themeColor="text1"/>
        </w:rPr>
        <w:lastRenderedPageBreak/>
        <w:t xml:space="preserve">lipoprotein cholesterol (HDL-c), low-density-lipoprotein (LDL) cholesterol, and triglycerides (CV = 2.1%) were determined enzymatically with a Cobas 6000 automatic </w:t>
      </w:r>
      <w:proofErr w:type="spellStart"/>
      <w:r w:rsidRPr="007269AD">
        <w:rPr>
          <w:rFonts w:ascii="Calibri" w:hAnsi="Calibri" w:cs="Calibri"/>
          <w:color w:val="000000" w:themeColor="text1"/>
        </w:rPr>
        <w:t>analyzer</w:t>
      </w:r>
      <w:proofErr w:type="spellEnd"/>
      <w:r w:rsidRPr="007269AD">
        <w:rPr>
          <w:rFonts w:ascii="Calibri" w:hAnsi="Calibri" w:cs="Calibri"/>
          <w:color w:val="000000" w:themeColor="text1"/>
        </w:rPr>
        <w:t xml:space="preserve"> (Roche). Plasma leptin levels were assessed by ELISA (</w:t>
      </w:r>
      <w:proofErr w:type="spellStart"/>
      <w:r w:rsidRPr="007269AD">
        <w:rPr>
          <w:rFonts w:ascii="Calibri" w:hAnsi="Calibri" w:cs="Calibri"/>
          <w:color w:val="000000" w:themeColor="text1"/>
        </w:rPr>
        <w:t>Mediagnost</w:t>
      </w:r>
      <w:proofErr w:type="spellEnd"/>
      <w:r w:rsidRPr="007269AD">
        <w:rPr>
          <w:rFonts w:ascii="Calibri" w:hAnsi="Calibri" w:cs="Calibri"/>
          <w:color w:val="000000" w:themeColor="text1"/>
        </w:rPr>
        <w:t xml:space="preserve">, CV = 2.4%). All biochemical analyses were performed at the laboratories of </w:t>
      </w:r>
      <w:r w:rsidRPr="002B380F">
        <w:rPr>
          <w:rFonts w:ascii="Calibri" w:hAnsi="Calibri" w:cs="Calibri"/>
          <w:color w:val="000000" w:themeColor="text1"/>
        </w:rPr>
        <w:t xml:space="preserve">University of Leipzig Medical </w:t>
      </w:r>
      <w:proofErr w:type="spellStart"/>
      <w:r w:rsidRPr="002B380F">
        <w:rPr>
          <w:rFonts w:ascii="Calibri" w:hAnsi="Calibri" w:cs="Calibri"/>
          <w:color w:val="000000" w:themeColor="text1"/>
        </w:rPr>
        <w:t>Center</w:t>
      </w:r>
      <w:proofErr w:type="spellEnd"/>
      <w:r w:rsidRPr="007269AD">
        <w:rPr>
          <w:rFonts w:ascii="Calibri" w:eastAsia="Times New Roman" w:hAnsi="Calibri" w:cs="Calibri"/>
          <w:color w:val="000000" w:themeColor="text1"/>
          <w:lang w:eastAsia="de-DE" w:bidi="ar-SA"/>
        </w:rPr>
        <w:t>, Germany</w:t>
      </w:r>
      <w:r w:rsidRPr="007269AD">
        <w:rPr>
          <w:rFonts w:ascii="Calibri" w:hAnsi="Calibri" w:cs="Calibri"/>
          <w:color w:val="000000" w:themeColor="text1"/>
        </w:rPr>
        <w:t xml:space="preserve">. </w:t>
      </w:r>
    </w:p>
    <w:p w14:paraId="3E045499" w14:textId="6D98C6C4" w:rsidR="00826FB6" w:rsidRPr="00615581" w:rsidRDefault="00826FB6" w:rsidP="00826FB6">
      <w:pPr>
        <w:spacing w:line="360" w:lineRule="auto"/>
        <w:rPr>
          <w:rFonts w:cstheme="minorHAnsi"/>
          <w:szCs w:val="24"/>
          <w:u w:val="single"/>
        </w:rPr>
      </w:pPr>
      <w:r w:rsidRPr="00301276">
        <w:rPr>
          <w:rFonts w:cstheme="minorHAnsi"/>
          <w:szCs w:val="24"/>
          <w:u w:val="single"/>
          <w:lang w:val="en-US"/>
        </w:rPr>
        <w:t>Supplementa</w:t>
      </w:r>
      <w:r>
        <w:rPr>
          <w:rFonts w:cstheme="minorHAnsi"/>
          <w:szCs w:val="24"/>
          <w:u w:val="single"/>
          <w:lang w:val="en-US"/>
        </w:rPr>
        <w:t xml:space="preserve">ry </w:t>
      </w:r>
      <w:r w:rsidR="00233F47">
        <w:rPr>
          <w:rFonts w:cstheme="minorHAnsi"/>
          <w:szCs w:val="24"/>
          <w:u w:val="single"/>
          <w:lang w:val="en-US"/>
        </w:rPr>
        <w:t>methods</w:t>
      </w:r>
      <w:r w:rsidRPr="00615581">
        <w:rPr>
          <w:rFonts w:cstheme="minorHAnsi"/>
          <w:szCs w:val="24"/>
          <w:u w:val="single"/>
        </w:rPr>
        <w:t>: mAge deviation</w:t>
      </w:r>
    </w:p>
    <w:p w14:paraId="472E401B" w14:textId="77777777" w:rsidR="00826FB6" w:rsidRDefault="00826FB6" w:rsidP="00826FB6">
      <w:pPr>
        <w:spacing w:line="360" w:lineRule="auto"/>
        <w:ind w:firstLine="720"/>
        <w:rPr>
          <w:rFonts w:cstheme="minorHAnsi"/>
          <w:szCs w:val="24"/>
        </w:rPr>
      </w:pPr>
      <w:bookmarkStart w:id="1" w:name="_Hlk37827457"/>
      <w:r>
        <w:rPr>
          <w:rFonts w:cstheme="minorHAnsi"/>
          <w:szCs w:val="24"/>
        </w:rPr>
        <w:t xml:space="preserve">Standardized residuals of chronological age and mAge were saved from linear regression function of mAge ~ chronological age. Then, sex specific </w:t>
      </w:r>
      <w:proofErr w:type="spellStart"/>
      <w:r>
        <w:rPr>
          <w:rFonts w:cstheme="minorHAnsi"/>
          <w:szCs w:val="24"/>
        </w:rPr>
        <w:t>tertiles</w:t>
      </w:r>
      <w:proofErr w:type="spellEnd"/>
      <w:r>
        <w:rPr>
          <w:rFonts w:cstheme="minorHAnsi"/>
          <w:szCs w:val="24"/>
        </w:rPr>
        <w:t xml:space="preserve"> were constructed, considering the specific </w:t>
      </w:r>
      <w:proofErr w:type="spellStart"/>
      <w:r>
        <w:rPr>
          <w:rFonts w:cstheme="minorHAnsi"/>
          <w:szCs w:val="24"/>
        </w:rPr>
        <w:t>tertiles</w:t>
      </w:r>
      <w:proofErr w:type="spellEnd"/>
      <w:r>
        <w:rPr>
          <w:rFonts w:cstheme="minorHAnsi"/>
          <w:szCs w:val="24"/>
        </w:rPr>
        <w:t xml:space="preserve"> for men and women separately (</w:t>
      </w:r>
      <w:r w:rsidRPr="00634834">
        <w:rPr>
          <w:rFonts w:cstheme="minorHAnsi"/>
          <w:szCs w:val="24"/>
        </w:rPr>
        <w:t xml:space="preserve">men Lowest </w:t>
      </w:r>
      <w:proofErr w:type="spellStart"/>
      <w:r w:rsidRPr="00634834">
        <w:rPr>
          <w:rFonts w:cstheme="minorHAnsi"/>
          <w:szCs w:val="24"/>
        </w:rPr>
        <w:t>tertile</w:t>
      </w:r>
      <w:proofErr w:type="spellEnd"/>
      <w:r w:rsidRPr="00634834">
        <w:rPr>
          <w:rFonts w:cstheme="minorHAnsi"/>
          <w:szCs w:val="24"/>
        </w:rPr>
        <w:t xml:space="preserve">: men: ≤-0.44; women ≤ -0.77; intermediate </w:t>
      </w:r>
      <w:proofErr w:type="spellStart"/>
      <w:r w:rsidRPr="00634834">
        <w:rPr>
          <w:rFonts w:cstheme="minorHAnsi"/>
          <w:szCs w:val="24"/>
        </w:rPr>
        <w:t>tertile</w:t>
      </w:r>
      <w:proofErr w:type="spellEnd"/>
      <w:r w:rsidRPr="00634834">
        <w:rPr>
          <w:rFonts w:cstheme="minorHAnsi"/>
          <w:szCs w:val="24"/>
        </w:rPr>
        <w:t xml:space="preserve">: men: -0.43 to 0.46, women: -0.76 to 0.55; Highest </w:t>
      </w:r>
      <w:proofErr w:type="spellStart"/>
      <w:r w:rsidRPr="00634834">
        <w:rPr>
          <w:rFonts w:cstheme="minorHAnsi"/>
          <w:szCs w:val="24"/>
        </w:rPr>
        <w:t>tertile</w:t>
      </w:r>
      <w:proofErr w:type="spellEnd"/>
      <w:r w:rsidRPr="00634834">
        <w:rPr>
          <w:rFonts w:cstheme="minorHAnsi"/>
          <w:szCs w:val="24"/>
        </w:rPr>
        <w:t>: men: 0.47+, women:  0.56+</w:t>
      </w:r>
      <w:r>
        <w:rPr>
          <w:rFonts w:cstheme="minorHAnsi"/>
          <w:szCs w:val="24"/>
        </w:rPr>
        <w:t xml:space="preserve">). Lowest </w:t>
      </w:r>
      <w:proofErr w:type="spellStart"/>
      <w:r>
        <w:rPr>
          <w:rFonts w:cstheme="minorHAnsi"/>
          <w:szCs w:val="24"/>
        </w:rPr>
        <w:t>tertile</w:t>
      </w:r>
      <w:proofErr w:type="spellEnd"/>
      <w:r>
        <w:rPr>
          <w:rFonts w:cstheme="minorHAnsi"/>
          <w:szCs w:val="24"/>
        </w:rPr>
        <w:t xml:space="preserve"> of standardized residuals represent the values that are below the prediction line, thus generating a negative deviation from the prediction line. Highest </w:t>
      </w:r>
      <w:proofErr w:type="spellStart"/>
      <w:r>
        <w:rPr>
          <w:rFonts w:cstheme="minorHAnsi"/>
          <w:szCs w:val="24"/>
        </w:rPr>
        <w:t>tertile</w:t>
      </w:r>
      <w:proofErr w:type="spellEnd"/>
      <w:r>
        <w:rPr>
          <w:rFonts w:cstheme="minorHAnsi"/>
          <w:szCs w:val="24"/>
        </w:rPr>
        <w:t xml:space="preserve"> of the standardized residual represent values that have positive deviation from the prediction live (above the line). In most cases, values below prediction line represent higher chronological age than mAge, and values above prediction line represent lower chronological age than mAge.</w:t>
      </w:r>
    </w:p>
    <w:p w14:paraId="545E336F" w14:textId="77777777" w:rsidR="00826FB6" w:rsidRPr="003B42EA" w:rsidRDefault="00826FB6" w:rsidP="00826FB6">
      <w:pPr>
        <w:spacing w:line="360" w:lineRule="auto"/>
        <w:rPr>
          <w:rFonts w:cstheme="minorHAnsi"/>
          <w:szCs w:val="24"/>
          <w:u w:val="single"/>
        </w:rPr>
      </w:pPr>
      <w:r w:rsidRPr="003B42EA">
        <w:rPr>
          <w:rFonts w:cstheme="minorHAnsi"/>
          <w:szCs w:val="24"/>
          <w:u w:val="single"/>
        </w:rPr>
        <w:t xml:space="preserve">Supplementary </w:t>
      </w:r>
      <w:r>
        <w:rPr>
          <w:rFonts w:cstheme="minorHAnsi"/>
          <w:szCs w:val="24"/>
          <w:u w:val="single"/>
        </w:rPr>
        <w:t>Figure</w:t>
      </w:r>
      <w:r w:rsidRPr="003B42EA">
        <w:rPr>
          <w:rFonts w:cstheme="minorHAnsi"/>
          <w:szCs w:val="24"/>
          <w:u w:val="single"/>
        </w:rPr>
        <w:t xml:space="preserve"> 2</w:t>
      </w:r>
      <w:r>
        <w:rPr>
          <w:rFonts w:cstheme="minorHAnsi"/>
          <w:szCs w:val="24"/>
          <w:u w:val="single"/>
        </w:rPr>
        <w:t>: mAge positive and negative deviation</w:t>
      </w:r>
    </w:p>
    <w:bookmarkEnd w:id="1"/>
    <w:p w14:paraId="15B965A8" w14:textId="3DB1A11E" w:rsidR="00826FB6" w:rsidRPr="00826FB6" w:rsidRDefault="00826FB6" w:rsidP="00826FB6">
      <w:pPr>
        <w:spacing w:line="360" w:lineRule="auto"/>
        <w:jc w:val="center"/>
        <w:rPr>
          <w:rFonts w:cstheme="minorHAnsi"/>
          <w:szCs w:val="24"/>
        </w:rPr>
      </w:pPr>
      <w:r>
        <w:rPr>
          <w:noProof/>
          <w:lang w:eastAsia="en-GB" w:bidi="ar-SA"/>
        </w:rPr>
        <w:drawing>
          <wp:inline distT="0" distB="0" distL="0" distR="0" wp14:anchorId="2D01C618" wp14:editId="38194D27">
            <wp:extent cx="2869936" cy="21018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b="8107"/>
                    <a:stretch/>
                  </pic:blipFill>
                  <pic:spPr bwMode="auto">
                    <a:xfrm>
                      <a:off x="0" y="0"/>
                      <a:ext cx="2884773" cy="2112716"/>
                    </a:xfrm>
                    <a:prstGeom prst="rect">
                      <a:avLst/>
                    </a:prstGeom>
                    <a:ln>
                      <a:noFill/>
                    </a:ln>
                    <a:extLst>
                      <a:ext uri="{53640926-AAD7-44D8-BBD7-CCE9431645EC}">
                        <a14:shadowObscured xmlns:a14="http://schemas.microsoft.com/office/drawing/2010/main"/>
                      </a:ext>
                    </a:extLst>
                  </pic:spPr>
                </pic:pic>
              </a:graphicData>
            </a:graphic>
          </wp:inline>
        </w:drawing>
      </w:r>
    </w:p>
    <w:p w14:paraId="6E403A7A" w14:textId="77777777" w:rsidR="00826FB6" w:rsidRDefault="00826FB6" w:rsidP="00826FB6">
      <w:pPr>
        <w:spacing w:line="360" w:lineRule="auto"/>
        <w:ind w:firstLine="720"/>
        <w:rPr>
          <w:rFonts w:cstheme="minorHAnsi"/>
          <w:lang w:val="en-US"/>
        </w:rPr>
      </w:pPr>
    </w:p>
    <w:p w14:paraId="27F617CC" w14:textId="77777777" w:rsidR="00C656B3" w:rsidRPr="00200ABC" w:rsidRDefault="00C656B3" w:rsidP="00C656B3">
      <w:pPr>
        <w:pStyle w:val="NormalWeb"/>
        <w:rPr>
          <w:rFonts w:ascii="Calibri" w:hAnsi="Calibri" w:cs="Calibri"/>
          <w:b/>
          <w:bCs/>
          <w:sz w:val="22"/>
        </w:rPr>
      </w:pPr>
      <w:r w:rsidRPr="00200ABC">
        <w:rPr>
          <w:rFonts w:ascii="Calibri" w:hAnsi="Calibri" w:cs="Calibri"/>
          <w:b/>
          <w:bCs/>
          <w:sz w:val="22"/>
        </w:rPr>
        <w:t>References</w:t>
      </w:r>
    </w:p>
    <w:p w14:paraId="26FBBB43" w14:textId="77777777" w:rsidR="00C656B3" w:rsidRPr="00200ABC" w:rsidRDefault="00C656B3" w:rsidP="00C656B3">
      <w:pPr>
        <w:pStyle w:val="NormalWeb"/>
        <w:rPr>
          <w:rFonts w:ascii="Calibri" w:hAnsi="Calibri" w:cs="Calibri"/>
          <w:sz w:val="22"/>
        </w:rPr>
      </w:pPr>
      <w:r w:rsidRPr="00200ABC">
        <w:rPr>
          <w:rFonts w:ascii="Calibri" w:hAnsi="Calibri" w:cs="Calibri"/>
          <w:sz w:val="22"/>
        </w:rPr>
        <w:t xml:space="preserve">1. </w:t>
      </w:r>
      <w:proofErr w:type="spellStart"/>
      <w:r w:rsidRPr="00200ABC">
        <w:rPr>
          <w:rFonts w:ascii="Calibri" w:hAnsi="Calibri" w:cs="Calibri"/>
          <w:sz w:val="22"/>
        </w:rPr>
        <w:t>Schuchmann</w:t>
      </w:r>
      <w:proofErr w:type="spellEnd"/>
      <w:r w:rsidRPr="00200ABC">
        <w:rPr>
          <w:rFonts w:ascii="Calibri" w:hAnsi="Calibri" w:cs="Calibri"/>
          <w:sz w:val="22"/>
        </w:rPr>
        <w:t xml:space="preserve"> S, Weigel C, Albrecht L, Kirsch M, Lemke A, Lorenz G, et al. Non-invasive quantification of hepatic fat fraction by fast 1.0, 1.5 and 3.0 T MR imaging. Eur J </w:t>
      </w:r>
      <w:proofErr w:type="spellStart"/>
      <w:r w:rsidRPr="00200ABC">
        <w:rPr>
          <w:rFonts w:ascii="Calibri" w:hAnsi="Calibri" w:cs="Calibri"/>
          <w:sz w:val="22"/>
        </w:rPr>
        <w:t>Radiol</w:t>
      </w:r>
      <w:proofErr w:type="spellEnd"/>
      <w:r w:rsidRPr="00200ABC">
        <w:rPr>
          <w:rFonts w:ascii="Calibri" w:hAnsi="Calibri" w:cs="Calibri"/>
          <w:sz w:val="22"/>
        </w:rPr>
        <w:t>. 2007;62(3):416-22.</w:t>
      </w:r>
    </w:p>
    <w:p w14:paraId="5E070A5E" w14:textId="77777777" w:rsidR="00FD132D" w:rsidRPr="00826FB6" w:rsidRDefault="00B21A85">
      <w:pPr>
        <w:rPr>
          <w:lang w:val="en-US"/>
        </w:rPr>
      </w:pPr>
    </w:p>
    <w:sectPr w:rsidR="00FD132D" w:rsidRPr="00826F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FB6"/>
    <w:rsid w:val="00233F47"/>
    <w:rsid w:val="002904E3"/>
    <w:rsid w:val="007617AF"/>
    <w:rsid w:val="00826FB6"/>
    <w:rsid w:val="00B21A85"/>
    <w:rsid w:val="00C656B3"/>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ecimalSymbol w:val="."/>
  <w:listSeparator w:val=","/>
  <w14:docId w14:val="7283445E"/>
  <w15:chartTrackingRefBased/>
  <w15:docId w15:val="{34AA26EC-7D83-0142-BAB9-E4423764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L"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FB6"/>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56B3"/>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3489</Characters>
  <Application>Microsoft Office Word</Application>
  <DocSecurity>0</DocSecurity>
  <Lines>29</Lines>
  <Paragraphs>8</Paragraphs>
  <ScaleCrop>false</ScaleCrop>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 yaskolka meir</dc:creator>
  <cp:keywords/>
  <dc:description/>
  <cp:lastModifiedBy>anat yaskolka meir</cp:lastModifiedBy>
  <cp:revision>4</cp:revision>
  <dcterms:created xsi:type="dcterms:W3CDTF">2021-02-15T07:25:00Z</dcterms:created>
  <dcterms:modified xsi:type="dcterms:W3CDTF">2021-02-15T07:32:00Z</dcterms:modified>
</cp:coreProperties>
</file>