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DCEB3" w14:textId="77777777" w:rsidR="00611864" w:rsidRPr="00926A42" w:rsidRDefault="00611864" w:rsidP="00611864">
      <w:pPr>
        <w:pStyle w:val="Heading2"/>
        <w:spacing w:before="0" w:after="120" w:line="480" w:lineRule="auto"/>
        <w:jc w:val="both"/>
        <w:rPr>
          <w:rFonts w:ascii="Times New Roman" w:hAnsi="Times New Roman" w:cs="Times New Roman"/>
          <w:i/>
          <w:sz w:val="24"/>
        </w:rPr>
      </w:pPr>
      <w:r w:rsidRPr="00926A42">
        <w:rPr>
          <w:rFonts w:ascii="Times New Roman" w:hAnsi="Times New Roman" w:cs="Times New Roman"/>
          <w:i/>
          <w:sz w:val="24"/>
        </w:rPr>
        <w:t xml:space="preserve">Targeted bisulfite sequencing of the FKBP5 locus </w:t>
      </w:r>
      <w:r>
        <w:rPr>
          <w:rFonts w:ascii="Times New Roman" w:hAnsi="Times New Roman" w:cs="Times New Roman"/>
          <w:i/>
          <w:sz w:val="24"/>
        </w:rPr>
        <w:t>in the BET cohort</w:t>
      </w:r>
    </w:p>
    <w:p w14:paraId="02BF95D4" w14:textId="7D888C21" w:rsidR="00611864" w:rsidRPr="00E22890" w:rsidRDefault="00611864" w:rsidP="00611864">
      <w:pPr>
        <w:pStyle w:val="Normal1"/>
        <w:pBdr>
          <w:top w:val="nil"/>
          <w:left w:val="nil"/>
          <w:bottom w:val="nil"/>
          <w:right w:val="nil"/>
          <w:between w:val="nil"/>
        </w:pBdr>
        <w:spacing w:after="120" w:line="480" w:lineRule="auto"/>
        <w:jc w:val="both"/>
        <w:outlineLvl w:val="0"/>
        <w:rPr>
          <w:rFonts w:ascii="Times New Roman" w:eastAsia="Times New Roman" w:hAnsi="Times New Roman" w:cs="Times New Roman"/>
          <w:color w:val="000000"/>
          <w:sz w:val="24"/>
          <w:szCs w:val="24"/>
        </w:rPr>
      </w:pPr>
      <w:r w:rsidRPr="00E22890">
        <w:rPr>
          <w:rFonts w:ascii="Times New Roman" w:eastAsia="Times New Roman" w:hAnsi="Times New Roman" w:cs="Times New Roman"/>
          <w:color w:val="000000"/>
          <w:sz w:val="24"/>
          <w:szCs w:val="24"/>
        </w:rPr>
        <w:t xml:space="preserve">This method has been </w:t>
      </w:r>
      <w:r>
        <w:rPr>
          <w:rFonts w:ascii="Times New Roman" w:eastAsia="Times New Roman" w:hAnsi="Times New Roman" w:cs="Times New Roman"/>
          <w:color w:val="000000"/>
          <w:sz w:val="24"/>
          <w:szCs w:val="24"/>
        </w:rPr>
        <w:t xml:space="preserve">previously </w:t>
      </w:r>
      <w:r w:rsidRPr="00E22890">
        <w:rPr>
          <w:rFonts w:ascii="Times New Roman" w:eastAsia="Times New Roman" w:hAnsi="Times New Roman" w:cs="Times New Roman"/>
          <w:color w:val="000000"/>
          <w:sz w:val="24"/>
          <w:szCs w:val="24"/>
        </w:rPr>
        <w:t xml:space="preserve">described in detail in </w:t>
      </w:r>
      <w:r w:rsidRPr="00E22890">
        <w:rPr>
          <w:rFonts w:ascii="Times New Roman" w:eastAsia="Times New Roman" w:hAnsi="Times New Roman" w:cs="Times New Roman"/>
          <w:color w:val="000000"/>
          <w:sz w:val="24"/>
          <w:szCs w:val="24"/>
        </w:rPr>
        <w:fldChar w:fldCharType="begin">
          <w:fldData xml:space="preserve">PEVuZE5vdGU+PENpdGU+PEF1dGhvcj5Sb2VoPC9BdXRob3I+PFllYXI+MjAxODwvWWVhcj48UmVj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PEVuZE5vdGU+PENpdGU+PEF1dGhvcj5Sb2VoPC9BdXRob3I+PFllYXI+MjAxODwvWWVhcj48UmVj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r>
      <w:r w:rsidRPr="00E22890">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sidRPr="00E22890">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t>.</w:t>
      </w:r>
    </w:p>
    <w:p w14:paraId="0AE38F9B" w14:textId="153EA83F" w:rsidR="00611864" w:rsidRPr="00E22890" w:rsidRDefault="00611864" w:rsidP="00611864">
      <w:pPr>
        <w:pStyle w:val="Normal1"/>
        <w:pBdr>
          <w:top w:val="nil"/>
          <w:left w:val="nil"/>
          <w:bottom w:val="nil"/>
          <w:right w:val="nil"/>
          <w:between w:val="nil"/>
        </w:pBdr>
        <w:spacing w:after="120" w:line="480" w:lineRule="auto"/>
        <w:jc w:val="both"/>
        <w:outlineLvl w:val="0"/>
        <w:rPr>
          <w:rFonts w:ascii="Times New Roman" w:eastAsia="Times New Roman" w:hAnsi="Times New Roman" w:cs="Times New Roman"/>
          <w:i/>
          <w:color w:val="000000"/>
          <w:sz w:val="24"/>
          <w:szCs w:val="24"/>
          <w:u w:val="single"/>
        </w:rPr>
      </w:pPr>
      <w:r w:rsidRPr="00E22890">
        <w:rPr>
          <w:rFonts w:ascii="Times New Roman" w:eastAsia="Times New Roman" w:hAnsi="Times New Roman" w:cs="Times New Roman"/>
          <w:i/>
          <w:color w:val="000000"/>
          <w:sz w:val="24"/>
          <w:szCs w:val="24"/>
          <w:u w:val="single"/>
        </w:rPr>
        <w:t xml:space="preserve"> Amplicon selection and amplification by PCR:</w:t>
      </w:r>
      <w:r w:rsidRPr="00E22890">
        <w:rPr>
          <w:rFonts w:ascii="Times New Roman" w:eastAsia="Times New Roman" w:hAnsi="Times New Roman" w:cs="Times New Roman"/>
          <w:i/>
          <w:color w:val="000000"/>
          <w:sz w:val="24"/>
          <w:szCs w:val="24"/>
        </w:rPr>
        <w:t xml:space="preserve"> </w:t>
      </w:r>
      <w:r w:rsidRPr="00E22890">
        <w:rPr>
          <w:rFonts w:ascii="Times New Roman" w:eastAsia="Times New Roman" w:hAnsi="Times New Roman" w:cs="Times New Roman"/>
          <w:color w:val="000000"/>
          <w:sz w:val="24"/>
          <w:szCs w:val="24"/>
        </w:rPr>
        <w:t xml:space="preserve">We optimized the amplifications of 19 regions covering </w:t>
      </w:r>
      <w:r w:rsidRPr="00E22890">
        <w:rPr>
          <w:rFonts w:ascii="Times New Roman" w:eastAsia="Times New Roman" w:hAnsi="Times New Roman" w:cs="Times New Roman"/>
          <w:sz w:val="24"/>
          <w:szCs w:val="24"/>
        </w:rPr>
        <w:t>170</w:t>
      </w:r>
      <w:r w:rsidRPr="00E22890">
        <w:rPr>
          <w:rFonts w:ascii="Times New Roman" w:eastAsia="Times New Roman" w:hAnsi="Times New Roman" w:cs="Times New Roman"/>
          <w:color w:val="000000"/>
          <w:sz w:val="24"/>
          <w:szCs w:val="24"/>
        </w:rPr>
        <w:t xml:space="preserve"> </w:t>
      </w:r>
      <w:proofErr w:type="spellStart"/>
      <w:r w:rsidRPr="00E22890">
        <w:rPr>
          <w:rFonts w:ascii="Times New Roman" w:eastAsia="Times New Roman" w:hAnsi="Times New Roman" w:cs="Times New Roman"/>
          <w:color w:val="000000"/>
          <w:sz w:val="24"/>
          <w:szCs w:val="24"/>
        </w:rPr>
        <w:t>CpGs</w:t>
      </w:r>
      <w:proofErr w:type="spellEnd"/>
      <w:r w:rsidRPr="00E22890">
        <w:rPr>
          <w:rFonts w:ascii="Times New Roman" w:eastAsia="Times New Roman" w:hAnsi="Times New Roman" w:cs="Times New Roman"/>
          <w:color w:val="000000"/>
          <w:sz w:val="24"/>
          <w:szCs w:val="24"/>
        </w:rPr>
        <w:t xml:space="preserve"> with</w:t>
      </w:r>
      <w:r w:rsidRPr="00E22890">
        <w:rPr>
          <w:rFonts w:ascii="Times New Roman" w:eastAsia="Times New Roman" w:hAnsi="Times New Roman" w:cs="Times New Roman"/>
          <w:sz w:val="24"/>
          <w:szCs w:val="24"/>
        </w:rPr>
        <w:t xml:space="preserve">in glucocorticoid-receptor </w:t>
      </w:r>
      <w:r w:rsidRPr="00E22890">
        <w:rPr>
          <w:rFonts w:ascii="Times New Roman" w:eastAsia="Times New Roman" w:hAnsi="Times New Roman" w:cs="Times New Roman"/>
          <w:color w:val="000000"/>
          <w:sz w:val="24"/>
          <w:szCs w:val="24"/>
        </w:rPr>
        <w:t>binding sites</w:t>
      </w:r>
      <w:r>
        <w:rPr>
          <w:rFonts w:ascii="Times New Roman" w:eastAsia="Times New Roman" w:hAnsi="Times New Roman" w:cs="Times New Roman"/>
          <w:color w:val="000000"/>
          <w:sz w:val="24"/>
          <w:szCs w:val="24"/>
        </w:rPr>
        <w:t>,</w:t>
      </w:r>
      <w:r w:rsidRPr="00E22890">
        <w:rPr>
          <w:rFonts w:ascii="Times New Roman" w:eastAsia="Times New Roman" w:hAnsi="Times New Roman" w:cs="Times New Roman"/>
          <w:color w:val="000000"/>
          <w:sz w:val="24"/>
          <w:szCs w:val="24"/>
        </w:rPr>
        <w:t xml:space="preserve"> as well as the transcription start site of the </w:t>
      </w:r>
      <w:r w:rsidRPr="00E22890">
        <w:rPr>
          <w:rFonts w:ascii="Times New Roman" w:eastAsia="Times New Roman" w:hAnsi="Times New Roman" w:cs="Times New Roman"/>
          <w:i/>
          <w:color w:val="000000"/>
          <w:sz w:val="24"/>
          <w:szCs w:val="24"/>
        </w:rPr>
        <w:t>FKBP5</w:t>
      </w:r>
      <w:r w:rsidRPr="00E22890">
        <w:rPr>
          <w:rFonts w:ascii="Times New Roman" w:eastAsia="Times New Roman" w:hAnsi="Times New Roman" w:cs="Times New Roman"/>
          <w:color w:val="000000"/>
          <w:sz w:val="24"/>
          <w:szCs w:val="24"/>
        </w:rPr>
        <w:t xml:space="preserve"> locus. In order to reduce cost and maximize the number of samples per sequencing run, triplicate bisulfite treatments were performed for each sample and then pooled to run one PCR amplification per amplicon </w:t>
      </w:r>
      <w:r w:rsidRPr="00E22890">
        <w:rPr>
          <w:rFonts w:ascii="Times New Roman" w:eastAsia="Times New Roman" w:hAnsi="Times New Roman" w:cs="Times New Roman"/>
          <w:color w:val="000000"/>
          <w:sz w:val="24"/>
          <w:szCs w:val="24"/>
        </w:rPr>
        <w:fldChar w:fldCharType="begin">
          <w:fldData xml:space="preserve">PEVuZE5vdGU+PENpdGU+PEF1dGhvcj5Sb2VoPC9BdXRob3I+PFllYXI+MjAxODwvWWVhcj48UmVj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PEVuZE5vdGU+PENpdGU+PEF1dGhvcj5Sb2VoPC9BdXRob3I+PFllYXI+MjAxODwvWWVhcj48UmVj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r>
      <w:r w:rsidRPr="00E22890">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sidRPr="00E22890">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t>. Overall, 200 ng to 500 ng of DNA was used per sample and bisulfite treated using the EZ DNA Methylation Kit (</w:t>
      </w:r>
      <w:proofErr w:type="spellStart"/>
      <w:r w:rsidRPr="00E22890">
        <w:rPr>
          <w:rFonts w:ascii="Times New Roman" w:eastAsia="Times New Roman" w:hAnsi="Times New Roman" w:cs="Times New Roman"/>
          <w:color w:val="000000"/>
          <w:sz w:val="24"/>
          <w:szCs w:val="24"/>
        </w:rPr>
        <w:t>Zymo</w:t>
      </w:r>
      <w:proofErr w:type="spellEnd"/>
      <w:r w:rsidRPr="00E22890">
        <w:rPr>
          <w:rFonts w:ascii="Times New Roman" w:eastAsia="Times New Roman" w:hAnsi="Times New Roman" w:cs="Times New Roman"/>
          <w:color w:val="000000"/>
          <w:sz w:val="24"/>
          <w:szCs w:val="24"/>
        </w:rPr>
        <w:t xml:space="preserve"> Research, Irvine, CA). </w:t>
      </w:r>
      <w:r>
        <w:rPr>
          <w:rFonts w:ascii="Times New Roman" w:eastAsia="Times New Roman" w:hAnsi="Times New Roman" w:cs="Times New Roman"/>
          <w:color w:val="000000"/>
          <w:sz w:val="24"/>
          <w:szCs w:val="24"/>
        </w:rPr>
        <w:t xml:space="preserve">From this, </w:t>
      </w:r>
      <w:r w:rsidRPr="00E22890">
        <w:rPr>
          <w:rFonts w:ascii="Times New Roman" w:eastAsia="Times New Roman" w:hAnsi="Times New Roman" w:cs="Times New Roman"/>
          <w:color w:val="000000"/>
          <w:sz w:val="24"/>
          <w:szCs w:val="24"/>
        </w:rPr>
        <w:t>20 ng of bisulfite converted DNA w</w:t>
      </w:r>
      <w:r>
        <w:rPr>
          <w:rFonts w:ascii="Times New Roman" w:eastAsia="Times New Roman" w:hAnsi="Times New Roman" w:cs="Times New Roman"/>
          <w:color w:val="000000"/>
          <w:sz w:val="24"/>
          <w:szCs w:val="24"/>
        </w:rPr>
        <w:t>as</w:t>
      </w:r>
      <w:r w:rsidRPr="00E22890">
        <w:rPr>
          <w:rFonts w:ascii="Times New Roman" w:eastAsia="Times New Roman" w:hAnsi="Times New Roman" w:cs="Times New Roman"/>
          <w:color w:val="000000"/>
          <w:sz w:val="24"/>
          <w:szCs w:val="24"/>
        </w:rPr>
        <w:t xml:space="preserve"> then used for each PCR amplification employing Takara </w:t>
      </w:r>
      <w:proofErr w:type="spellStart"/>
      <w:r w:rsidRPr="00E22890">
        <w:rPr>
          <w:rFonts w:ascii="Times New Roman" w:eastAsia="Times New Roman" w:hAnsi="Times New Roman" w:cs="Times New Roman"/>
          <w:color w:val="000000"/>
          <w:sz w:val="24"/>
          <w:szCs w:val="24"/>
        </w:rPr>
        <w:t>EpiTaq</w:t>
      </w:r>
      <w:proofErr w:type="spellEnd"/>
      <w:r w:rsidRPr="00E22890">
        <w:rPr>
          <w:rFonts w:ascii="Times New Roman" w:eastAsia="Times New Roman" w:hAnsi="Times New Roman" w:cs="Times New Roman"/>
          <w:color w:val="000000"/>
          <w:sz w:val="24"/>
          <w:szCs w:val="24"/>
        </w:rPr>
        <w:t xml:space="preserve"> HS Polymerase (</w:t>
      </w:r>
      <w:proofErr w:type="spellStart"/>
      <w:r w:rsidRPr="00E22890">
        <w:rPr>
          <w:rFonts w:ascii="Times New Roman" w:eastAsia="Times New Roman" w:hAnsi="Times New Roman" w:cs="Times New Roman"/>
          <w:color w:val="000000"/>
          <w:sz w:val="24"/>
          <w:szCs w:val="24"/>
        </w:rPr>
        <w:t>Clontech</w:t>
      </w:r>
      <w:proofErr w:type="spellEnd"/>
      <w:r w:rsidRPr="00E22890">
        <w:rPr>
          <w:rFonts w:ascii="Times New Roman" w:eastAsia="Times New Roman" w:hAnsi="Times New Roman" w:cs="Times New Roman"/>
          <w:color w:val="000000"/>
          <w:sz w:val="24"/>
          <w:szCs w:val="24"/>
        </w:rPr>
        <w:t>, Saint-Germain-</w:t>
      </w:r>
      <w:proofErr w:type="spellStart"/>
      <w:r w:rsidRPr="00E22890">
        <w:rPr>
          <w:rFonts w:ascii="Times New Roman" w:eastAsia="Times New Roman" w:hAnsi="Times New Roman" w:cs="Times New Roman"/>
          <w:color w:val="000000"/>
          <w:sz w:val="24"/>
          <w:szCs w:val="24"/>
        </w:rPr>
        <w:t>en</w:t>
      </w:r>
      <w:proofErr w:type="spellEnd"/>
      <w:r w:rsidRPr="00E22890">
        <w:rPr>
          <w:rFonts w:ascii="Times New Roman" w:eastAsia="Times New Roman" w:hAnsi="Times New Roman" w:cs="Times New Roman"/>
          <w:color w:val="000000"/>
          <w:sz w:val="24"/>
          <w:szCs w:val="24"/>
        </w:rPr>
        <w:t>-</w:t>
      </w:r>
      <w:proofErr w:type="spellStart"/>
      <w:r w:rsidRPr="00E22890">
        <w:rPr>
          <w:rFonts w:ascii="Times New Roman" w:eastAsia="Times New Roman" w:hAnsi="Times New Roman" w:cs="Times New Roman"/>
          <w:color w:val="000000"/>
          <w:sz w:val="24"/>
          <w:szCs w:val="24"/>
        </w:rPr>
        <w:t>Laye</w:t>
      </w:r>
      <w:proofErr w:type="spellEnd"/>
      <w:r w:rsidRPr="00E22890">
        <w:rPr>
          <w:rFonts w:ascii="Times New Roman" w:eastAsia="Times New Roman" w:hAnsi="Times New Roman" w:cs="Times New Roman"/>
          <w:color w:val="000000"/>
          <w:sz w:val="24"/>
          <w:szCs w:val="24"/>
        </w:rPr>
        <w:t xml:space="preserve">, France) and 49 amplification cycles. PCR amplicons were then quantified with the Agilent 2200 </w:t>
      </w:r>
      <w:proofErr w:type="spellStart"/>
      <w:r w:rsidRPr="00E22890">
        <w:rPr>
          <w:rFonts w:ascii="Times New Roman" w:eastAsia="Times New Roman" w:hAnsi="Times New Roman" w:cs="Times New Roman"/>
          <w:color w:val="000000"/>
          <w:sz w:val="24"/>
          <w:szCs w:val="24"/>
        </w:rPr>
        <w:t>TapeStation</w:t>
      </w:r>
      <w:proofErr w:type="spellEnd"/>
      <w:r w:rsidRPr="00E22890">
        <w:rPr>
          <w:rFonts w:ascii="Times New Roman" w:eastAsia="Times New Roman" w:hAnsi="Times New Roman" w:cs="Times New Roman"/>
          <w:color w:val="000000"/>
          <w:sz w:val="24"/>
          <w:szCs w:val="24"/>
        </w:rPr>
        <w:t xml:space="preserve"> (Agilent Technologies, </w:t>
      </w:r>
      <w:proofErr w:type="spellStart"/>
      <w:r w:rsidRPr="00E22890">
        <w:rPr>
          <w:rFonts w:ascii="Times New Roman" w:eastAsia="Times New Roman" w:hAnsi="Times New Roman" w:cs="Times New Roman"/>
          <w:color w:val="000000"/>
          <w:sz w:val="24"/>
          <w:szCs w:val="24"/>
        </w:rPr>
        <w:t>Waldbronn</w:t>
      </w:r>
      <w:proofErr w:type="spellEnd"/>
      <w:r w:rsidRPr="00E22890">
        <w:rPr>
          <w:rFonts w:ascii="Times New Roman" w:eastAsia="Times New Roman" w:hAnsi="Times New Roman" w:cs="Times New Roman"/>
          <w:color w:val="000000"/>
          <w:sz w:val="24"/>
          <w:szCs w:val="24"/>
        </w:rPr>
        <w:t xml:space="preserve">, Germany) and pooled in equimolar quantities for each sample. </w:t>
      </w:r>
      <w:proofErr w:type="spellStart"/>
      <w:r w:rsidRPr="00E22890">
        <w:rPr>
          <w:rFonts w:ascii="Times New Roman" w:eastAsia="Times New Roman" w:hAnsi="Times New Roman" w:cs="Times New Roman"/>
          <w:color w:val="000000"/>
          <w:sz w:val="24"/>
          <w:szCs w:val="24"/>
        </w:rPr>
        <w:t>AMPure</w:t>
      </w:r>
      <w:proofErr w:type="spellEnd"/>
      <w:r w:rsidRPr="00E22890">
        <w:rPr>
          <w:rFonts w:ascii="Times New Roman" w:eastAsia="Times New Roman" w:hAnsi="Times New Roman" w:cs="Times New Roman"/>
          <w:color w:val="000000"/>
          <w:sz w:val="24"/>
          <w:szCs w:val="24"/>
        </w:rPr>
        <w:t xml:space="preserve"> XP beads (Beckman Coulter, Krefeld, Germany) were used for a double size selection (200-500 bp) to remove primer dimers and high molecular DNA fragments.</w:t>
      </w:r>
    </w:p>
    <w:p w14:paraId="5708D984" w14:textId="77777777" w:rsidR="00611864" w:rsidRPr="00E22890" w:rsidRDefault="00611864" w:rsidP="00611864">
      <w:pPr>
        <w:pStyle w:val="Normal1"/>
        <w:pBdr>
          <w:top w:val="nil"/>
          <w:left w:val="nil"/>
          <w:bottom w:val="nil"/>
          <w:right w:val="nil"/>
          <w:between w:val="nil"/>
        </w:pBdr>
        <w:spacing w:after="120" w:line="480" w:lineRule="auto"/>
        <w:jc w:val="both"/>
        <w:outlineLvl w:val="0"/>
        <w:rPr>
          <w:rFonts w:ascii="Times New Roman" w:eastAsia="Times New Roman" w:hAnsi="Times New Roman" w:cs="Times New Roman"/>
          <w:color w:val="000000"/>
          <w:sz w:val="24"/>
          <w:szCs w:val="24"/>
        </w:rPr>
      </w:pPr>
      <w:r w:rsidRPr="00E22890">
        <w:rPr>
          <w:rFonts w:ascii="Times New Roman" w:eastAsia="Times New Roman" w:hAnsi="Times New Roman" w:cs="Times New Roman"/>
          <w:i/>
          <w:color w:val="000000"/>
          <w:sz w:val="24"/>
          <w:szCs w:val="24"/>
          <w:u w:val="single"/>
        </w:rPr>
        <w:t>Sequencing</w:t>
      </w:r>
      <w:r w:rsidRPr="00E22890">
        <w:rPr>
          <w:rFonts w:ascii="Times New Roman" w:eastAsia="Times New Roman" w:hAnsi="Times New Roman" w:cs="Times New Roman"/>
          <w:color w:val="000000"/>
          <w:sz w:val="24"/>
          <w:szCs w:val="24"/>
        </w:rPr>
        <w:t xml:space="preserve">: Libraries were generated using the </w:t>
      </w:r>
      <w:proofErr w:type="spellStart"/>
      <w:r w:rsidRPr="00E22890">
        <w:rPr>
          <w:rFonts w:ascii="Times New Roman" w:eastAsia="Times New Roman" w:hAnsi="Times New Roman" w:cs="Times New Roman"/>
          <w:color w:val="000000"/>
          <w:sz w:val="24"/>
          <w:szCs w:val="24"/>
        </w:rPr>
        <w:t>TruSeq</w:t>
      </w:r>
      <w:proofErr w:type="spellEnd"/>
      <w:r w:rsidRPr="00E22890">
        <w:rPr>
          <w:rFonts w:ascii="Times New Roman" w:eastAsia="Times New Roman" w:hAnsi="Times New Roman" w:cs="Times New Roman"/>
          <w:color w:val="000000"/>
          <w:sz w:val="24"/>
          <w:szCs w:val="24"/>
        </w:rPr>
        <w:t xml:space="preserve"> DNA PCR-Free HT Library Prep Kit (Illumina, San Diego, CA) according to the manufacturer’s instructions. Each library was quantified with the Qubit® 1.0 (Thermo Fisher Scientific Inc., Schwerte, Germany), normalized to 4 </w:t>
      </w:r>
      <w:proofErr w:type="spellStart"/>
      <w:r w:rsidRPr="00E22890">
        <w:rPr>
          <w:rFonts w:ascii="Times New Roman" w:eastAsia="Times New Roman" w:hAnsi="Times New Roman" w:cs="Times New Roman"/>
          <w:color w:val="000000"/>
          <w:sz w:val="24"/>
          <w:szCs w:val="24"/>
        </w:rPr>
        <w:t>nM</w:t>
      </w:r>
      <w:proofErr w:type="spellEnd"/>
      <w:r w:rsidRPr="00E22890">
        <w:rPr>
          <w:rFonts w:ascii="Times New Roman" w:eastAsia="Times New Roman" w:hAnsi="Times New Roman" w:cs="Times New Roman"/>
          <w:color w:val="000000"/>
          <w:sz w:val="24"/>
          <w:szCs w:val="24"/>
        </w:rPr>
        <w:t xml:space="preserve"> and pooled. Library concentration and fragment sizes were checked via Agilent’s 2100 Bioanalyzer (Agilent Technologies, </w:t>
      </w:r>
      <w:proofErr w:type="spellStart"/>
      <w:r w:rsidRPr="00E22890">
        <w:rPr>
          <w:rFonts w:ascii="Times New Roman" w:eastAsia="Times New Roman" w:hAnsi="Times New Roman" w:cs="Times New Roman"/>
          <w:color w:val="000000"/>
          <w:sz w:val="24"/>
          <w:szCs w:val="24"/>
        </w:rPr>
        <w:t>Waldbronn</w:t>
      </w:r>
      <w:proofErr w:type="spellEnd"/>
      <w:r w:rsidRPr="00E22890">
        <w:rPr>
          <w:rFonts w:ascii="Times New Roman" w:eastAsia="Times New Roman" w:hAnsi="Times New Roman" w:cs="Times New Roman"/>
          <w:color w:val="000000"/>
          <w:sz w:val="24"/>
          <w:szCs w:val="24"/>
        </w:rPr>
        <w:t xml:space="preserve">, Germany) and quantitative PCR using the Kapa HIFI Library quantification kit (Kapa Biosystems, Wilmington, MA). Paired-end sequencing was performed on an Illumina </w:t>
      </w:r>
      <w:proofErr w:type="spellStart"/>
      <w:r w:rsidRPr="00E22890">
        <w:rPr>
          <w:rFonts w:ascii="Times New Roman" w:eastAsia="Times New Roman" w:hAnsi="Times New Roman" w:cs="Times New Roman"/>
          <w:color w:val="000000"/>
          <w:sz w:val="24"/>
          <w:szCs w:val="24"/>
        </w:rPr>
        <w:t>MiSeq</w:t>
      </w:r>
      <w:proofErr w:type="spellEnd"/>
      <w:r w:rsidRPr="00E22890">
        <w:rPr>
          <w:rFonts w:ascii="Times New Roman" w:eastAsia="Times New Roman" w:hAnsi="Times New Roman" w:cs="Times New Roman"/>
          <w:color w:val="000000"/>
          <w:sz w:val="24"/>
          <w:szCs w:val="24"/>
        </w:rPr>
        <w:t xml:space="preserve"> Instrument (Illumina, San Diego, CA) with their </w:t>
      </w:r>
      <w:proofErr w:type="spellStart"/>
      <w:r w:rsidRPr="00E22890">
        <w:rPr>
          <w:rFonts w:ascii="Times New Roman" w:eastAsia="Times New Roman" w:hAnsi="Times New Roman" w:cs="Times New Roman"/>
          <w:color w:val="000000"/>
          <w:sz w:val="24"/>
          <w:szCs w:val="24"/>
        </w:rPr>
        <w:t>MiSeq</w:t>
      </w:r>
      <w:proofErr w:type="spellEnd"/>
      <w:r w:rsidRPr="00E22890">
        <w:rPr>
          <w:rFonts w:ascii="Times New Roman" w:eastAsia="Times New Roman" w:hAnsi="Times New Roman" w:cs="Times New Roman"/>
          <w:color w:val="000000"/>
          <w:sz w:val="24"/>
          <w:szCs w:val="24"/>
        </w:rPr>
        <w:t xml:space="preserve"> Reagent Kit v3 (2 x 300-cycles) with the addition of 30% of </w:t>
      </w:r>
      <w:proofErr w:type="spellStart"/>
      <w:r w:rsidRPr="00E22890">
        <w:rPr>
          <w:rFonts w:ascii="Times New Roman" w:eastAsia="Times New Roman" w:hAnsi="Times New Roman" w:cs="Times New Roman"/>
          <w:color w:val="000000"/>
          <w:sz w:val="24"/>
          <w:szCs w:val="24"/>
        </w:rPr>
        <w:t>PhiX</w:t>
      </w:r>
      <w:proofErr w:type="spellEnd"/>
      <w:r w:rsidRPr="00E22890">
        <w:rPr>
          <w:rFonts w:ascii="Times New Roman" w:eastAsia="Times New Roman" w:hAnsi="Times New Roman" w:cs="Times New Roman"/>
          <w:color w:val="000000"/>
          <w:sz w:val="24"/>
          <w:szCs w:val="24"/>
        </w:rPr>
        <w:t xml:space="preserve"> Library.  </w:t>
      </w:r>
    </w:p>
    <w:p w14:paraId="098D943C" w14:textId="5644B1BB" w:rsidR="00611864" w:rsidRPr="00E22890" w:rsidRDefault="00611864" w:rsidP="00611864">
      <w:pPr>
        <w:pStyle w:val="Normal1"/>
        <w:pBdr>
          <w:top w:val="nil"/>
          <w:left w:val="nil"/>
          <w:bottom w:val="nil"/>
          <w:right w:val="nil"/>
          <w:between w:val="nil"/>
        </w:pBdr>
        <w:spacing w:after="120" w:line="480" w:lineRule="auto"/>
        <w:outlineLvl w:val="0"/>
        <w:rPr>
          <w:rFonts w:ascii="Times New Roman" w:eastAsia="Times New Roman" w:hAnsi="Times New Roman" w:cs="Times New Roman"/>
          <w:color w:val="000000" w:themeColor="text1"/>
          <w:sz w:val="24"/>
          <w:szCs w:val="24"/>
        </w:rPr>
      </w:pPr>
      <w:r w:rsidRPr="00E22890">
        <w:rPr>
          <w:rFonts w:ascii="Times New Roman" w:eastAsia="Times New Roman" w:hAnsi="Times New Roman" w:cs="Times New Roman"/>
          <w:i/>
          <w:color w:val="000000"/>
          <w:sz w:val="24"/>
          <w:szCs w:val="24"/>
          <w:u w:val="single"/>
        </w:rPr>
        <w:lastRenderedPageBreak/>
        <w:t>Sequencing data processing:</w:t>
      </w:r>
      <w:r w:rsidRPr="00E22890">
        <w:rPr>
          <w:rFonts w:ascii="Times New Roman" w:eastAsia="Times New Roman" w:hAnsi="Times New Roman" w:cs="Times New Roman"/>
          <w:i/>
          <w:color w:val="000000"/>
          <w:sz w:val="24"/>
          <w:szCs w:val="24"/>
        </w:rPr>
        <w:t xml:space="preserve"> </w:t>
      </w:r>
      <w:r w:rsidRPr="00E22890">
        <w:rPr>
          <w:rFonts w:ascii="Times New Roman" w:eastAsia="Times New Roman" w:hAnsi="Times New Roman" w:cs="Times New Roman"/>
          <w:color w:val="000000"/>
          <w:sz w:val="24"/>
          <w:szCs w:val="24"/>
        </w:rPr>
        <w:t xml:space="preserve">The quality of the sequencing reads was checked with </w:t>
      </w:r>
      <w:proofErr w:type="spellStart"/>
      <w:r w:rsidRPr="00E22890">
        <w:rPr>
          <w:rFonts w:ascii="Times New Roman" w:eastAsia="Times New Roman" w:hAnsi="Times New Roman" w:cs="Times New Roman"/>
          <w:color w:val="000000"/>
          <w:sz w:val="24"/>
          <w:szCs w:val="24"/>
        </w:rPr>
        <w:t>FastQC</w:t>
      </w:r>
      <w:proofErr w:type="spellEnd"/>
      <w:r w:rsidRPr="00E22890">
        <w:rPr>
          <w:rFonts w:ascii="Times New Roman" w:eastAsia="Times New Roman" w:hAnsi="Times New Roman" w:cs="Times New Roman"/>
          <w:color w:val="000000"/>
          <w:sz w:val="24"/>
          <w:szCs w:val="24"/>
        </w:rPr>
        <w:t xml:space="preserve"> (http://www.bioinformatics.babraham.ac.uk/projects/fastqc) and Illumina adapter sequences were removed using </w:t>
      </w:r>
      <w:proofErr w:type="spellStart"/>
      <w:r w:rsidRPr="00E22890">
        <w:rPr>
          <w:rFonts w:ascii="Times New Roman" w:eastAsia="Times New Roman" w:hAnsi="Times New Roman" w:cs="Times New Roman"/>
          <w:color w:val="000000"/>
          <w:sz w:val="24"/>
          <w:szCs w:val="24"/>
        </w:rPr>
        <w:t>Cutadapt</w:t>
      </w:r>
      <w:proofErr w:type="spellEnd"/>
      <w:r w:rsidRPr="00E22890">
        <w:rPr>
          <w:rFonts w:ascii="Times New Roman" w:eastAsia="Times New Roman" w:hAnsi="Times New Roman" w:cs="Times New Roman"/>
          <w:color w:val="000000"/>
          <w:sz w:val="24"/>
          <w:szCs w:val="24"/>
        </w:rPr>
        <w:t xml:space="preserve"> </w:t>
      </w:r>
      <w:r w:rsidRPr="00E22890">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&lt;EndNote&gt;&lt;Cite&gt;&lt;Author&gt;Marcel&lt;/Author&gt;&lt;Year&gt;2011&lt;/Year&gt;&lt;RecNum&gt;687&lt;/RecNum&gt;&lt;DisplayText&gt;(2)&lt;/DisplayText&gt;&lt;record&gt;&lt;rec-number&gt;687&lt;/rec-number&gt;&lt;foreign-keys&gt;&lt;key app="EN" db-id="vx52a5zvsrw2abesxs8pp2pkxvdvxaxpdxx9" timestamp="1594889789"&gt;687&lt;/key&gt;&lt;/foreign-keys&gt;&lt;ref-type name="Journal Article"&gt;17&lt;/ref-type&gt;&lt;contributors&gt;&lt;authors&gt;&lt;author&gt;Marcel, M.&lt;/author&gt;&lt;/authors&gt;&lt;/contributors&gt;&lt;titles&gt;&lt;title&gt; Cutadapt removes adapter sequences from high-throughput sequencing reads.&lt;/title&gt;&lt;secondary-title&gt;EMBnet J&lt;/secondary-title&gt;&lt;/titles&gt;&lt;periodical&gt;&lt;full-title&gt;EMBnet J&lt;/full-title&gt;&lt;/periodical&gt;&lt;pages&gt;10-12&lt;/pages&gt;&lt;volume&gt;17&lt;/volume&gt;&lt;dates&gt;&lt;year&gt;2011&lt;/year&gt;&lt;/dates&gt;&lt;urls&gt;&lt;/urls&gt;&lt;electronic-resource-num&gt;https://doi.org/10.14806/ej.17.1.200&lt;/electronic-resource-num&gt;&lt;/record&gt;&lt;/Cite&gt;&lt;/EndNote&gt;</w:instrText>
      </w:r>
      <w:r w:rsidRPr="00E22890">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sidRPr="00E22890">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t xml:space="preserve">. </w:t>
      </w:r>
      <w:proofErr w:type="spellStart"/>
      <w:r w:rsidRPr="00E22890">
        <w:rPr>
          <w:rFonts w:ascii="Times New Roman" w:eastAsia="Times New Roman" w:hAnsi="Times New Roman" w:cs="Times New Roman"/>
          <w:color w:val="000000"/>
          <w:sz w:val="24"/>
          <w:szCs w:val="24"/>
        </w:rPr>
        <w:t>Bismark</w:t>
      </w:r>
      <w:proofErr w:type="spellEnd"/>
      <w:r w:rsidRPr="00E22890">
        <w:rPr>
          <w:rFonts w:ascii="Times New Roman" w:eastAsia="Times New Roman" w:hAnsi="Times New Roman" w:cs="Times New Roman"/>
          <w:color w:val="000000"/>
          <w:sz w:val="24"/>
          <w:szCs w:val="24"/>
        </w:rPr>
        <w:t xml:space="preserve"> (https://www.bioinformatics.babraham.ac.uk/projects/bismark/) was used for the alignment to a restricted reference limited to our PCR targets. In order to stitch paired-end reads, an in-house Perl script has been developed to remove the low-quality ends of the paired-end reads if they overlapped. The methylation levels for all </w:t>
      </w:r>
      <w:proofErr w:type="spellStart"/>
      <w:r w:rsidRPr="00E22890">
        <w:rPr>
          <w:rFonts w:ascii="Times New Roman" w:eastAsia="Times New Roman" w:hAnsi="Times New Roman" w:cs="Times New Roman"/>
          <w:color w:val="000000"/>
          <w:sz w:val="24"/>
          <w:szCs w:val="24"/>
        </w:rPr>
        <w:t>CpGs</w:t>
      </w:r>
      <w:proofErr w:type="spellEnd"/>
      <w:r w:rsidRPr="00E22890">
        <w:rPr>
          <w:rFonts w:ascii="Times New Roman" w:eastAsia="Times New Roman" w:hAnsi="Times New Roman" w:cs="Times New Roman"/>
          <w:color w:val="000000"/>
          <w:sz w:val="24"/>
          <w:szCs w:val="24"/>
        </w:rPr>
        <w:t xml:space="preserve">, CHGs and CHHs were quantified using the R package </w:t>
      </w:r>
      <w:proofErr w:type="spellStart"/>
      <w:r w:rsidRPr="00E22890">
        <w:rPr>
          <w:rFonts w:ascii="Times New Roman" w:eastAsia="Times New Roman" w:hAnsi="Times New Roman" w:cs="Times New Roman"/>
          <w:i/>
          <w:iCs/>
          <w:color w:val="000000"/>
          <w:sz w:val="24"/>
          <w:szCs w:val="24"/>
        </w:rPr>
        <w:t>methylKit</w:t>
      </w:r>
      <w:proofErr w:type="spellEnd"/>
      <w:r w:rsidRPr="00E22890">
        <w:rPr>
          <w:rFonts w:ascii="Times New Roman" w:eastAsia="Times New Roman" w:hAnsi="Times New Roman" w:cs="Times New Roman"/>
          <w:color w:val="000000"/>
          <w:sz w:val="24"/>
          <w:szCs w:val="24"/>
        </w:rPr>
        <w:t xml:space="preserve"> </w:t>
      </w:r>
      <w:r w:rsidR="00A52607">
        <w:rPr>
          <w:rFonts w:ascii="Times New Roman" w:eastAsia="Times New Roman" w:hAnsi="Times New Roman" w:cs="Times New Roman"/>
          <w:color w:val="000000"/>
          <w:sz w:val="24"/>
          <w:szCs w:val="24"/>
        </w:rPr>
        <w:t xml:space="preserve">1.8.1 </w:t>
      </w:r>
      <w:r w:rsidRPr="00E22890">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&lt;EndNote&gt;&lt;Cite&gt;&lt;Author&gt;Akalin&lt;/Author&gt;&lt;Year&gt;2012&lt;/Year&gt;&lt;RecNum&gt;688&lt;/RecNum&gt;&lt;DisplayText&gt;(3)&lt;/DisplayText&gt;&lt;record&gt;&lt;rec-number&gt;688&lt;/rec-number&gt;&lt;foreign-keys&gt;&lt;key app="EN" db-id="vx52a5zvsrw2abesxs8pp2pkxvdvxaxpdxx9" timestamp="1594890000"&gt;688&lt;/key&gt;&lt;/foreign-keys&gt;&lt;ref-type name="Journal Article"&gt;17&lt;/ref-type&gt;&lt;contributors&gt;&lt;authors&gt;&lt;author&gt;Akalin, A.&lt;/author&gt;&lt;author&gt;Kormaksson, M.&lt;/author&gt;&lt;author&gt;Li, S.&lt;/author&gt;&lt;author&gt;Garrett-Bakelman, F. E.&lt;/author&gt;&lt;author&gt;Figueroa, M. E.&lt;/author&gt;&lt;author&gt;Melnick, A.&lt;/author&gt;&lt;author&gt;Mason, C. E.&lt;/author&gt;&lt;/authors&gt;&lt;/contributors&gt;&lt;titles&gt;&lt;title&gt;methylKit: a comprehensive R package for the analysis of genome-wide DNA methylation profiles&lt;/title&gt;&lt;secondary-title&gt;Genome Biol&lt;/secondary-title&gt;&lt;/titles&gt;&lt;periodical&gt;&lt;full-title&gt;Genome Biol&lt;/full-title&gt;&lt;/periodical&gt;&lt;pages&gt;R87&lt;/pages&gt;&lt;volume&gt;13&lt;/volume&gt;&lt;number&gt;10&lt;/number&gt;&lt;edition&gt;2012/10/05&lt;/edition&gt;&lt;keywords&gt;&lt;keyword&gt;Breast Neoplasms/*genetics/pathology&lt;/keyword&gt;&lt;keyword&gt;Cell Line, Tumor&lt;/keyword&gt;&lt;keyword&gt;*DNA Methylation&lt;/keyword&gt;&lt;keyword&gt;Epigenesis, Genetic&lt;/keyword&gt;&lt;keyword&gt;Female&lt;/keyword&gt;&lt;keyword&gt;Genome, Human&lt;/keyword&gt;&lt;keyword&gt;Genomics/*methods&lt;/keyword&gt;&lt;keyword&gt;High-Throughput Nucleotide Sequencing/methods&lt;/keyword&gt;&lt;keyword&gt;Humans&lt;/keyword&gt;&lt;keyword&gt;MCF-7 Cells&lt;/keyword&gt;&lt;keyword&gt;Sequence Analysis, DNA/methods&lt;/keyword&gt;&lt;keyword&gt;Software&lt;/keyword&gt;&lt;/keywords&gt;&lt;dates&gt;&lt;year&gt;2012&lt;/year&gt;&lt;pub-dates&gt;&lt;date&gt;Oct 3&lt;/date&gt;&lt;/pub-dates&gt;&lt;/dates&gt;&lt;isbn&gt;1474-760X (Electronic)&amp;#xD;1474-7596 (Linking)&lt;/isbn&gt;&lt;accession-num&gt;23034086&lt;/accession-num&gt;&lt;urls&gt;&lt;related-urls&gt;&lt;url&gt;https://www.ncbi.nlm.nih.gov/pubmed/23034086&lt;/url&gt;&lt;/related-urls&gt;&lt;/urls&gt;&lt;custom2&gt;PMC3491415&lt;/custom2&gt;&lt;electronic-resource-num&gt;10.1186/gb-2012-13-10-r87&lt;/electronic-resource-num&gt;&lt;/record&gt;&lt;/Cite&gt;&lt;/EndNote&gt;</w:instrText>
      </w:r>
      <w:r w:rsidRPr="00E22890">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w:t>
      </w:r>
      <w:r w:rsidRPr="00E22890">
        <w:rPr>
          <w:rFonts w:ascii="Times New Roman" w:eastAsia="Times New Roman" w:hAnsi="Times New Roman" w:cs="Times New Roman"/>
          <w:color w:val="000000"/>
          <w:sz w:val="24"/>
          <w:szCs w:val="24"/>
        </w:rPr>
        <w:fldChar w:fldCharType="end"/>
      </w:r>
      <w:r w:rsidRPr="00E22890">
        <w:rPr>
          <w:rFonts w:ascii="Times New Roman" w:eastAsia="Times New Roman" w:hAnsi="Times New Roman" w:cs="Times New Roman"/>
          <w:color w:val="000000"/>
          <w:sz w:val="24"/>
          <w:szCs w:val="24"/>
        </w:rPr>
        <w:t xml:space="preserve">. The resulting DNA methylation calls were submitted to a 3-step quality control. First, PCR artifacts introducing false </w:t>
      </w:r>
      <w:proofErr w:type="spellStart"/>
      <w:r w:rsidRPr="00E22890">
        <w:rPr>
          <w:rFonts w:ascii="Times New Roman" w:eastAsia="Times New Roman" w:hAnsi="Times New Roman" w:cs="Times New Roman"/>
          <w:color w:val="000000"/>
          <w:sz w:val="24"/>
          <w:szCs w:val="24"/>
        </w:rPr>
        <w:t>CpGs</w:t>
      </w:r>
      <w:proofErr w:type="spellEnd"/>
      <w:r w:rsidRPr="00E22890">
        <w:rPr>
          <w:rFonts w:ascii="Times New Roman" w:eastAsia="Times New Roman" w:hAnsi="Times New Roman" w:cs="Times New Roman"/>
          <w:color w:val="000000"/>
          <w:sz w:val="24"/>
          <w:szCs w:val="24"/>
        </w:rPr>
        <w:t xml:space="preserve"> of low coverage at 0 or 100% methylation level were removed. Second, CHH methylation levels were analyzed, and samples with insufficient bisulfite conversion rate (&lt; 95%) were excluded. Finally, CpG sites with a coverage lower than 1,000 reads were removed.  We excluded all </w:t>
      </w:r>
      <w:proofErr w:type="spellStart"/>
      <w:r w:rsidRPr="00E22890">
        <w:rPr>
          <w:rFonts w:ascii="Times New Roman" w:eastAsia="Times New Roman" w:hAnsi="Times New Roman" w:cs="Times New Roman"/>
          <w:color w:val="000000"/>
          <w:sz w:val="24"/>
          <w:szCs w:val="24"/>
        </w:rPr>
        <w:t>CpGs</w:t>
      </w:r>
      <w:proofErr w:type="spellEnd"/>
      <w:r w:rsidRPr="00E22890">
        <w:rPr>
          <w:rFonts w:ascii="Times New Roman" w:eastAsia="Times New Roman" w:hAnsi="Times New Roman" w:cs="Times New Roman"/>
          <w:color w:val="000000"/>
          <w:sz w:val="24"/>
          <w:szCs w:val="24"/>
        </w:rPr>
        <w:t xml:space="preserve"> with a </w:t>
      </w:r>
      <w:proofErr w:type="spellStart"/>
      <w:r w:rsidRPr="00E22890">
        <w:rPr>
          <w:rFonts w:ascii="Times New Roman" w:eastAsia="Times New Roman" w:hAnsi="Times New Roman" w:cs="Times New Roman"/>
          <w:color w:val="000000"/>
          <w:sz w:val="24"/>
          <w:szCs w:val="24"/>
        </w:rPr>
        <w:t>callrate</w:t>
      </w:r>
      <w:proofErr w:type="spellEnd"/>
      <w:r w:rsidRPr="00E22890">
        <w:rPr>
          <w:rFonts w:ascii="Times New Roman" w:eastAsia="Times New Roman" w:hAnsi="Times New Roman" w:cs="Times New Roman"/>
          <w:color w:val="000000"/>
          <w:sz w:val="24"/>
          <w:szCs w:val="24"/>
        </w:rPr>
        <w:t xml:space="preserve"> below 95% resulting in a final dataset of 106 CpG-sites. A list of all amplicons that passed quality control is given in Table </w:t>
      </w:r>
      <w:r w:rsidRPr="00E22890">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10 in Additional File 14</w:t>
      </w:r>
      <w:r w:rsidRPr="00E22890">
        <w:rPr>
          <w:rFonts w:ascii="Times New Roman" w:eastAsia="Times New Roman" w:hAnsi="Times New Roman" w:cs="Times New Roman"/>
          <w:color w:val="000000" w:themeColor="text1"/>
          <w:sz w:val="24"/>
          <w:szCs w:val="24"/>
        </w:rPr>
        <w:t>. Three amplicons in PCR1 and PCR2 target exactly the same CpG-sites (PCR_1 at bp 127 equals PCR 2 at bp 29, PCR1 at bp 152 equals PCR 2 at bp 54 and PCR 1 at bp 205 equals PCR 2 at bp 107). All these amplicons passed quality control criteria and presented with association with the same effect direction in the statistical analyses. To remove redundancies</w:t>
      </w:r>
      <w:r>
        <w:rPr>
          <w:rFonts w:ascii="Times New Roman" w:eastAsia="Times New Roman" w:hAnsi="Times New Roman" w:cs="Times New Roman"/>
          <w:color w:val="000000" w:themeColor="text1"/>
          <w:sz w:val="24"/>
          <w:szCs w:val="24"/>
        </w:rPr>
        <w:t>,</w:t>
      </w:r>
      <w:r w:rsidRPr="00E22890">
        <w:rPr>
          <w:rFonts w:ascii="Times New Roman" w:eastAsia="Times New Roman" w:hAnsi="Times New Roman" w:cs="Times New Roman"/>
          <w:color w:val="000000" w:themeColor="text1"/>
          <w:sz w:val="24"/>
          <w:szCs w:val="24"/>
        </w:rPr>
        <w:t xml:space="preserve"> which can lead to inflated p-values, we used the 3 amplicons from PCR 2 in the final statistical analysis as these presented with higher coverage.</w:t>
      </w:r>
    </w:p>
    <w:p w14:paraId="177C6C95" w14:textId="77777777" w:rsidR="00611864" w:rsidRPr="00E22890" w:rsidRDefault="00611864" w:rsidP="00611864">
      <w:pPr>
        <w:pStyle w:val="Normal1"/>
        <w:pBdr>
          <w:top w:val="nil"/>
          <w:left w:val="nil"/>
          <w:bottom w:val="nil"/>
          <w:right w:val="nil"/>
          <w:between w:val="nil"/>
        </w:pBdr>
        <w:spacing w:after="120" w:line="360" w:lineRule="auto"/>
        <w:outlineLvl w:val="0"/>
        <w:rPr>
          <w:rFonts w:ascii="Times New Roman" w:eastAsia="Times New Roman" w:hAnsi="Times New Roman" w:cs="Times New Roman"/>
          <w:color w:val="000000" w:themeColor="text1"/>
          <w:sz w:val="24"/>
          <w:szCs w:val="24"/>
        </w:rPr>
      </w:pPr>
    </w:p>
    <w:p w14:paraId="1B5E5F1B" w14:textId="77777777" w:rsidR="00611864" w:rsidRPr="00E22890" w:rsidRDefault="00611864" w:rsidP="00611864">
      <w:pPr>
        <w:pStyle w:val="Text"/>
        <w:rPr>
          <w:rFonts w:ascii="Times New Roman" w:hAnsi="Times New Roman" w:cs="Times New Roman"/>
          <w:b/>
          <w:bCs/>
          <w:i/>
          <w:sz w:val="24"/>
        </w:rPr>
      </w:pPr>
      <w:r w:rsidRPr="00E22890">
        <w:rPr>
          <w:rFonts w:ascii="Times New Roman" w:hAnsi="Times New Roman" w:cs="Times New Roman"/>
          <w:b/>
          <w:bCs/>
          <w:i/>
          <w:sz w:val="24"/>
        </w:rPr>
        <w:t>EWAS on child’s sex and gestational age</w:t>
      </w:r>
    </w:p>
    <w:p w14:paraId="0E735385" w14:textId="6568F926" w:rsidR="00611864" w:rsidRDefault="00611864" w:rsidP="00611864">
      <w:pPr>
        <w:pStyle w:val="Text"/>
        <w:rPr>
          <w:rFonts w:ascii="Times New Roman" w:hAnsi="Times New Roman" w:cs="Times New Roman"/>
          <w:sz w:val="24"/>
        </w:rPr>
      </w:pPr>
      <w:r w:rsidRPr="00E22890">
        <w:rPr>
          <w:rFonts w:ascii="Times New Roman" w:hAnsi="Times New Roman" w:cs="Times New Roman"/>
          <w:sz w:val="24"/>
        </w:rPr>
        <w:t xml:space="preserve">For EWAS on the child’s sex we used gestational age, the first four MDS components, </w:t>
      </w:r>
      <w:r w:rsidR="00AE5948">
        <w:rPr>
          <w:rFonts w:ascii="Times New Roman" w:hAnsi="Times New Roman" w:cs="Times New Roman"/>
          <w:sz w:val="24"/>
        </w:rPr>
        <w:t xml:space="preserve">pregnant person’s </w:t>
      </w:r>
      <w:r w:rsidRPr="00E22890">
        <w:rPr>
          <w:rFonts w:ascii="Times New Roman" w:hAnsi="Times New Roman" w:cs="Times New Roman"/>
          <w:sz w:val="24"/>
        </w:rPr>
        <w:t xml:space="preserve">age, </w:t>
      </w:r>
      <w:r w:rsidR="00AE5948">
        <w:rPr>
          <w:rFonts w:ascii="Times New Roman" w:hAnsi="Times New Roman" w:cs="Times New Roman"/>
          <w:sz w:val="24"/>
        </w:rPr>
        <w:t>s</w:t>
      </w:r>
      <w:r w:rsidRPr="00E22890">
        <w:rPr>
          <w:rFonts w:ascii="Times New Roman" w:hAnsi="Times New Roman" w:cs="Times New Roman"/>
          <w:sz w:val="24"/>
        </w:rPr>
        <w:t>moking</w:t>
      </w:r>
      <w:r w:rsidR="00AE5948">
        <w:rPr>
          <w:rFonts w:ascii="Times New Roman" w:hAnsi="Times New Roman" w:cs="Times New Roman"/>
          <w:sz w:val="24"/>
        </w:rPr>
        <w:t xml:space="preserve"> during pregnancy</w:t>
      </w:r>
      <w:r w:rsidRPr="00E22890">
        <w:rPr>
          <w:rFonts w:ascii="Times New Roman" w:hAnsi="Times New Roman" w:cs="Times New Roman"/>
          <w:sz w:val="24"/>
        </w:rPr>
        <w:t>, BET and the first two PCs from estimated cell type proportions as covariates</w:t>
      </w:r>
      <w:r>
        <w:rPr>
          <w:rFonts w:ascii="Times New Roman" w:hAnsi="Times New Roman" w:cs="Times New Roman"/>
          <w:sz w:val="24"/>
        </w:rPr>
        <w:t>. F</w:t>
      </w:r>
      <w:r w:rsidRPr="00E22890">
        <w:rPr>
          <w:rFonts w:ascii="Times New Roman" w:hAnsi="Times New Roman" w:cs="Times New Roman"/>
          <w:sz w:val="24"/>
        </w:rPr>
        <w:t xml:space="preserve">or EWAS on gestational age, child’s sex, the first four MDS </w:t>
      </w:r>
      <w:r w:rsidRPr="00E22890">
        <w:rPr>
          <w:rFonts w:ascii="Times New Roman" w:hAnsi="Times New Roman" w:cs="Times New Roman"/>
          <w:sz w:val="24"/>
        </w:rPr>
        <w:lastRenderedPageBreak/>
        <w:t xml:space="preserve">components, </w:t>
      </w:r>
      <w:r w:rsidR="00AE5948">
        <w:rPr>
          <w:rFonts w:ascii="Times New Roman" w:hAnsi="Times New Roman" w:cs="Times New Roman"/>
          <w:sz w:val="24"/>
        </w:rPr>
        <w:t xml:space="preserve">pregnant person’s </w:t>
      </w:r>
      <w:r w:rsidR="00AE5948" w:rsidRPr="00E22890">
        <w:rPr>
          <w:rFonts w:ascii="Times New Roman" w:hAnsi="Times New Roman" w:cs="Times New Roman"/>
          <w:sz w:val="24"/>
        </w:rPr>
        <w:t xml:space="preserve">age, </w:t>
      </w:r>
      <w:r w:rsidR="00AE5948">
        <w:rPr>
          <w:rFonts w:ascii="Times New Roman" w:hAnsi="Times New Roman" w:cs="Times New Roman"/>
          <w:sz w:val="24"/>
        </w:rPr>
        <w:t>s</w:t>
      </w:r>
      <w:r w:rsidR="00AE5948" w:rsidRPr="00E22890">
        <w:rPr>
          <w:rFonts w:ascii="Times New Roman" w:hAnsi="Times New Roman" w:cs="Times New Roman"/>
          <w:sz w:val="24"/>
        </w:rPr>
        <w:t>moking</w:t>
      </w:r>
      <w:r w:rsidR="00AE5948">
        <w:rPr>
          <w:rFonts w:ascii="Times New Roman" w:hAnsi="Times New Roman" w:cs="Times New Roman"/>
          <w:sz w:val="24"/>
        </w:rPr>
        <w:t xml:space="preserve"> during pregnancy</w:t>
      </w:r>
      <w:r w:rsidRPr="00E22890">
        <w:rPr>
          <w:rFonts w:ascii="Times New Roman" w:hAnsi="Times New Roman" w:cs="Times New Roman"/>
          <w:sz w:val="24"/>
        </w:rPr>
        <w:t>, BET and the first two PCs from estimated cell type proportions were implemented</w:t>
      </w:r>
      <w:r>
        <w:rPr>
          <w:rFonts w:ascii="Times New Roman" w:hAnsi="Times New Roman" w:cs="Times New Roman"/>
          <w:sz w:val="24"/>
        </w:rPr>
        <w:t>.</w:t>
      </w:r>
    </w:p>
    <w:p w14:paraId="7957DE71" w14:textId="77777777" w:rsidR="00611864" w:rsidRDefault="00611864" w:rsidP="00611864">
      <w:pPr>
        <w:pStyle w:val="Text"/>
        <w:rPr>
          <w:rFonts w:ascii="Times New Roman" w:hAnsi="Times New Roman" w:cs="Times New Roman"/>
          <w:sz w:val="24"/>
        </w:rPr>
      </w:pPr>
    </w:p>
    <w:p w14:paraId="3AFDA00B" w14:textId="77777777" w:rsidR="00611864" w:rsidRPr="00E22890" w:rsidRDefault="00611864" w:rsidP="00611864">
      <w:pPr>
        <w:pStyle w:val="Text"/>
        <w:rPr>
          <w:rFonts w:ascii="Times New Roman" w:hAnsi="Times New Roman" w:cs="Times New Roman"/>
          <w:b/>
          <w:bCs/>
          <w:i/>
          <w:sz w:val="24"/>
        </w:rPr>
      </w:pPr>
      <w:r w:rsidRPr="00E22890">
        <w:rPr>
          <w:rFonts w:ascii="Times New Roman" w:hAnsi="Times New Roman" w:cs="Times New Roman"/>
          <w:b/>
          <w:bCs/>
          <w:i/>
          <w:sz w:val="24"/>
        </w:rPr>
        <w:t>ITU cohort study population</w:t>
      </w:r>
    </w:p>
    <w:p w14:paraId="2EF19DBD" w14:textId="6EC57EC9" w:rsidR="00611864" w:rsidRPr="00E22890" w:rsidRDefault="00611864" w:rsidP="00611864">
      <w:pPr>
        <w:pStyle w:val="Text"/>
        <w:rPr>
          <w:rFonts w:ascii="Times New Roman" w:hAnsi="Times New Roman" w:cs="Times New Roman"/>
          <w:sz w:val="24"/>
          <w:shd w:val="clear" w:color="auto" w:fill="FFFFFF"/>
        </w:rPr>
      </w:pPr>
      <w:r w:rsidRPr="00E22890">
        <w:rPr>
          <w:rFonts w:ascii="Times New Roman" w:hAnsi="Times New Roman" w:cs="Times New Roman"/>
          <w:sz w:val="24"/>
          <w:shd w:val="clear" w:color="auto" w:fill="FFFFFF"/>
        </w:rPr>
        <w:t>ITU study comprises two study arms. </w:t>
      </w:r>
      <w:r w:rsidR="00D26D43">
        <w:rPr>
          <w:rFonts w:ascii="Times New Roman" w:hAnsi="Times New Roman" w:cs="Times New Roman"/>
          <w:sz w:val="24"/>
          <w:shd w:val="clear" w:color="auto" w:fill="FFFFFF"/>
        </w:rPr>
        <w:t>Individuals</w:t>
      </w:r>
      <w:r w:rsidRPr="00E22890">
        <w:rPr>
          <w:rFonts w:ascii="Times New Roman" w:hAnsi="Times New Roman" w:cs="Times New Roman"/>
          <w:sz w:val="24"/>
          <w:shd w:val="clear" w:color="auto" w:fill="FFFFFF"/>
        </w:rPr>
        <w:t xml:space="preserve"> in the chromosomal testing arm (n=543) had been referred to the Helsinki and </w:t>
      </w:r>
      <w:proofErr w:type="spellStart"/>
      <w:r w:rsidRPr="00E22890">
        <w:rPr>
          <w:rFonts w:ascii="Times New Roman" w:hAnsi="Times New Roman" w:cs="Times New Roman"/>
          <w:sz w:val="24"/>
          <w:shd w:val="clear" w:color="auto" w:fill="FFFFFF"/>
        </w:rPr>
        <w:t>Uusimaa</w:t>
      </w:r>
      <w:proofErr w:type="spellEnd"/>
      <w:r w:rsidRPr="00E22890">
        <w:rPr>
          <w:rFonts w:ascii="Times New Roman" w:hAnsi="Times New Roman" w:cs="Times New Roman"/>
          <w:sz w:val="24"/>
          <w:shd w:val="clear" w:color="auto" w:fill="FFFFFF"/>
        </w:rPr>
        <w:t xml:space="preserve"> Hospital District </w:t>
      </w:r>
      <w:proofErr w:type="spellStart"/>
      <w:r w:rsidRPr="00E22890">
        <w:rPr>
          <w:rFonts w:ascii="Times New Roman" w:hAnsi="Times New Roman" w:cs="Times New Roman"/>
          <w:sz w:val="24"/>
          <w:shd w:val="clear" w:color="auto" w:fill="FFFFFF"/>
        </w:rPr>
        <w:t>Fetomaternal</w:t>
      </w:r>
      <w:proofErr w:type="spellEnd"/>
      <w:r w:rsidRPr="00E22890">
        <w:rPr>
          <w:rFonts w:ascii="Times New Roman" w:hAnsi="Times New Roman" w:cs="Times New Roman"/>
          <w:sz w:val="24"/>
          <w:shd w:val="clear" w:color="auto" w:fill="FFFFFF"/>
        </w:rPr>
        <w:t xml:space="preserve"> Medical Center (FMC) because they had an increased risk of fetal chromosomal abnormalities based on routine serum and ultrasound screening, age, and patient characteristics. They underwent fetal chromosomal testing (CVS, amniocentesis, or non-invasive prenatal testing) at FMC. If the chromosomal test indicated no fetal chromosomal abnormalities, those who had expressed interest in participating were contacted for final recruitment. Those whose chromosomal test results suggested a fetal chromosomal abnormality were not recruited. </w:t>
      </w:r>
      <w:r w:rsidR="00D26D43">
        <w:rPr>
          <w:rFonts w:ascii="Times New Roman" w:hAnsi="Times New Roman" w:cs="Times New Roman"/>
          <w:sz w:val="24"/>
          <w:shd w:val="clear" w:color="auto" w:fill="FFFFFF"/>
        </w:rPr>
        <w:t>Individuals</w:t>
      </w:r>
      <w:r w:rsidRPr="00E22890">
        <w:rPr>
          <w:rFonts w:ascii="Times New Roman" w:hAnsi="Times New Roman" w:cs="Times New Roman"/>
          <w:sz w:val="24"/>
          <w:shd w:val="clear" w:color="auto" w:fill="FFFFFF"/>
        </w:rPr>
        <w:t xml:space="preserve"> in the no chromosomal testing arm (n=401)</w:t>
      </w:r>
      <w:r w:rsidRPr="00E22890">
        <w:rPr>
          <w:rFonts w:ascii="Times New Roman" w:hAnsi="Times New Roman" w:cs="Times New Roman"/>
          <w:b/>
          <w:bCs/>
          <w:sz w:val="24"/>
          <w:shd w:val="clear" w:color="auto" w:fill="FFFFFF"/>
        </w:rPr>
        <w:t xml:space="preserve"> </w:t>
      </w:r>
      <w:r w:rsidRPr="00E22890">
        <w:rPr>
          <w:rFonts w:ascii="Times New Roman" w:hAnsi="Times New Roman" w:cs="Times New Roman"/>
          <w:sz w:val="24"/>
          <w:shd w:val="clear" w:color="auto" w:fill="FFFFFF"/>
        </w:rPr>
        <w:t xml:space="preserve">were informed about ITU when attending the same routine serum and ultrasound screening at maternity clinics than the </w:t>
      </w:r>
      <w:r w:rsidR="00D26D43">
        <w:rPr>
          <w:rFonts w:ascii="Times New Roman" w:hAnsi="Times New Roman" w:cs="Times New Roman"/>
          <w:sz w:val="24"/>
          <w:shd w:val="clear" w:color="auto" w:fill="FFFFFF"/>
        </w:rPr>
        <w:t>individuals</w:t>
      </w:r>
      <w:r w:rsidRPr="00E22890">
        <w:rPr>
          <w:rFonts w:ascii="Times New Roman" w:hAnsi="Times New Roman" w:cs="Times New Roman"/>
          <w:sz w:val="24"/>
          <w:shd w:val="clear" w:color="auto" w:fill="FFFFFF"/>
        </w:rPr>
        <w:t xml:space="preserve"> in the chromosomal testing arm. </w:t>
      </w:r>
      <w:r w:rsidR="00D26D43">
        <w:rPr>
          <w:rFonts w:ascii="Times New Roman" w:hAnsi="Times New Roman" w:cs="Times New Roman"/>
          <w:sz w:val="24"/>
          <w:shd w:val="clear" w:color="auto" w:fill="FFFFFF"/>
        </w:rPr>
        <w:t>Individuals</w:t>
      </w:r>
      <w:r w:rsidRPr="00E22890">
        <w:rPr>
          <w:rFonts w:ascii="Times New Roman" w:hAnsi="Times New Roman" w:cs="Times New Roman"/>
          <w:sz w:val="24"/>
          <w:shd w:val="clear" w:color="auto" w:fill="FFFFFF"/>
        </w:rPr>
        <w:t xml:space="preserve"> who expressed interest in participating were contacted for final recruitment into this study arm if they had </w:t>
      </w:r>
      <w:r w:rsidRPr="00E22890">
        <w:rPr>
          <w:rFonts w:ascii="Times New Roman" w:hAnsi="Times New Roman" w:cs="Times New Roman"/>
          <w:i/>
          <w:iCs/>
          <w:sz w:val="24"/>
          <w:shd w:val="clear" w:color="auto" w:fill="FFFFFF"/>
        </w:rPr>
        <w:t>not </w:t>
      </w:r>
      <w:r w:rsidRPr="00E22890">
        <w:rPr>
          <w:rFonts w:ascii="Times New Roman" w:hAnsi="Times New Roman" w:cs="Times New Roman"/>
          <w:sz w:val="24"/>
          <w:shd w:val="clear" w:color="auto" w:fill="FFFFFF"/>
        </w:rPr>
        <w:t>been referred to FMC for fetal chromosomal testing.</w:t>
      </w:r>
      <w:r w:rsidRPr="00E22890">
        <w:rPr>
          <w:rFonts w:ascii="Times New Roman" w:hAnsi="Times New Roman" w:cs="Times New Roman"/>
          <w:sz w:val="24"/>
        </w:rPr>
        <w:t xml:space="preserve"> </w:t>
      </w:r>
      <w:r w:rsidRPr="00E22890">
        <w:rPr>
          <w:rFonts w:ascii="Times New Roman" w:hAnsi="Times New Roman" w:cs="Times New Roman"/>
          <w:sz w:val="24"/>
          <w:shd w:val="clear" w:color="auto" w:fill="FFFFFF"/>
        </w:rPr>
        <w:t xml:space="preserve">Both study arms provided placenta samples for this study. </w:t>
      </w:r>
    </w:p>
    <w:p w14:paraId="670F5813" w14:textId="77777777" w:rsidR="00611864" w:rsidRPr="00B54D6A" w:rsidRDefault="00611864" w:rsidP="00611864">
      <w:pPr>
        <w:spacing w:before="100" w:beforeAutospacing="1" w:after="100" w:afterAutospacing="1" w:line="480" w:lineRule="auto"/>
        <w:rPr>
          <w:b/>
          <w:i/>
        </w:rPr>
      </w:pPr>
      <w:r w:rsidRPr="00B54D6A">
        <w:rPr>
          <w:b/>
          <w:i/>
        </w:rPr>
        <w:t>Weighted gene co-expression network analysis (WGCNA) in the ITU cohort</w:t>
      </w:r>
    </w:p>
    <w:p w14:paraId="52B2C4D1" w14:textId="37409D9F" w:rsidR="00611864" w:rsidRPr="00E22890" w:rsidRDefault="00611864" w:rsidP="00611864">
      <w:pPr>
        <w:spacing w:before="100" w:beforeAutospacing="1" w:after="100" w:afterAutospacing="1" w:line="480" w:lineRule="auto"/>
      </w:pPr>
      <w:r w:rsidRPr="00E22890">
        <w:t xml:space="preserve">We applied a variance stabilizing transformation to the raw counts of 8,245 transcripts from 494 individuals using the R package </w:t>
      </w:r>
      <w:r w:rsidRPr="00E22890">
        <w:rPr>
          <w:i/>
        </w:rPr>
        <w:t>DESeq2</w:t>
      </w:r>
      <w:r w:rsidRPr="00E22890">
        <w:t xml:space="preserve"> </w:t>
      </w:r>
      <w:r w:rsidR="00B813D5" w:rsidRPr="00B813D5">
        <w:rPr>
          <w:highlight w:val="yellow"/>
          <w:lang w:val="en-US"/>
        </w:rPr>
        <w:t>1.28.1</w:t>
      </w:r>
      <w:r w:rsidR="00B813D5">
        <w:rPr>
          <w:lang w:val="en-US"/>
        </w:rPr>
        <w:t xml:space="preserve"> </w:t>
      </w:r>
      <w:r w:rsidRPr="00E22890">
        <w:fldChar w:fldCharType="begin"/>
      </w:r>
      <w:r w:rsidR="00B813D5">
        <w:instrText xml:space="preserve"> ADDIN EN.CITE &lt;EndNote&gt;&lt;Cite&gt;&lt;Author&gt;Love&lt;/Author&gt;&lt;Year&gt;2014&lt;/Year&gt;&lt;RecNum&gt;696&lt;/RecNum&gt;&lt;DisplayText&gt;(4)&lt;/DisplayText&gt;&lt;record&gt;&lt;rec-number&gt;696&lt;/rec-number&gt;&lt;foreign-keys&gt;&lt;key app="EN" db-id="vx52a5zvsrw2abesxs8pp2pkxvdvxaxpdxx9" timestamp="1602140981"&gt;696&lt;/key&gt;&lt;/foreign-keys&gt;&lt;ref-type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E22890">
        <w:fldChar w:fldCharType="separate"/>
      </w:r>
      <w:r w:rsidR="00B813D5">
        <w:rPr>
          <w:noProof/>
        </w:rPr>
        <w:t>(4)</w:t>
      </w:r>
      <w:r w:rsidRPr="00E22890">
        <w:fldChar w:fldCharType="end"/>
      </w:r>
      <w:r w:rsidRPr="00E22890">
        <w:t xml:space="preserve">. Afterwards, a weighted gene co-expression network was constructed using the R package </w:t>
      </w:r>
      <w:r w:rsidRPr="00E22890">
        <w:rPr>
          <w:i/>
        </w:rPr>
        <w:t>WGCNA</w:t>
      </w:r>
      <w:r w:rsidRPr="00E22890">
        <w:t xml:space="preserve"> </w:t>
      </w:r>
      <w:r w:rsidR="00B813D5" w:rsidRPr="00B813D5">
        <w:rPr>
          <w:highlight w:val="yellow"/>
          <w:lang w:val="en-US"/>
        </w:rPr>
        <w:t>1.70-3</w:t>
      </w:r>
      <w:r w:rsidR="00B813D5">
        <w:rPr>
          <w:lang w:val="en-US"/>
        </w:rPr>
        <w:t xml:space="preserve"> </w:t>
      </w:r>
      <w:r w:rsidRPr="00E22890">
        <w:fldChar w:fldCharType="begin"/>
      </w:r>
      <w:r w:rsidR="00B813D5">
        <w:instrText xml:space="preserve"> ADDIN EN.CITE &lt;EndNote&gt;&lt;Cite&gt;&lt;Author&gt;Langfelder&lt;/Author&gt;&lt;Year&gt;2008&lt;/Year&gt;&lt;RecNum&gt;698&lt;/RecNum&gt;&lt;DisplayText&gt;(5)&lt;/DisplayText&gt;&lt;record&gt;&lt;rec-number&gt;698&lt;/rec-number&gt;&lt;foreign-keys&gt;&lt;key app="EN" db-id="vx52a5zvsrw2abesxs8pp2pkxvdvxaxpdxx9" timestamp="1602141085"&gt;698&lt;/key&gt;&lt;/foreign-keys&gt;&lt;ref-type name="Journal Article"&gt;17&lt;/ref-type&gt;&lt;contributors&gt;&lt;authors&gt;&lt;author&gt;Langfelder, P.&lt;/author&gt;&lt;author&gt;Horvath, S.&lt;/author&gt;&lt;/authors&gt;&lt;/contributors&gt;&lt;auth-address&gt;Department of Human Genetics and Department of Biostatistics, University of California, Los Angeles, CA 90095, USA. Peter.Langfelder@gmail.com&lt;/auth-address&gt;&lt;titles&gt;&lt;title&gt;WGCNA: an R package for weighted correlation network analysis&lt;/title&gt;&lt;secondary-title&gt;BMC Bioinformatics&lt;/secondary-title&gt;&lt;/titles&gt;&lt;periodical&gt;&lt;full-title&gt;BMC Bioinformatics&lt;/full-title&gt;&lt;/periodical&gt;&lt;pages&gt;559&lt;/pages&gt;&lt;volume&gt;9&lt;/volume&gt;&lt;edition&gt;2008/12/31&lt;/edition&gt;&lt;keywords&gt;&lt;keyword&gt;Algorithms&lt;/keyword&gt;&lt;keyword&gt;Animals&lt;/keyword&gt;&lt;keyword&gt;Computational Biology/*methods&lt;/keyword&gt;&lt;keyword&gt;Computer Graphics&lt;/keyword&gt;&lt;keyword&gt;*Computing Methodologies&lt;/keyword&gt;&lt;keyword&gt;Databases, Genetic&lt;/keyword&gt;&lt;keyword&gt;Gene Expression Profiling/methods&lt;/keyword&gt;&lt;keyword&gt;Humans&lt;/keyword&gt;&lt;keyword&gt;Mice&lt;/keyword&gt;&lt;keyword&gt;Oligonucleotide Array Sequence Analysis/*methods&lt;/keyword&gt;&lt;keyword&gt;Pattern Recognition, Automated&lt;/keyword&gt;&lt;keyword&gt;Programming Languages&lt;/keyword&gt;&lt;keyword&gt;*Software&lt;/keyword&gt;&lt;keyword&gt;Systems Biology&lt;/keyword&gt;&lt;/keywords&gt;&lt;dates&gt;&lt;year&gt;2008&lt;/year&gt;&lt;pub-dates&gt;&lt;date&gt;Dec 29&lt;/date&gt;&lt;/pub-dates&gt;&lt;/dates&gt;&lt;isbn&gt;1471-2105 (Electronic)&amp;#xD;1471-2105 (Linking)&lt;/isbn&gt;&lt;accession-num&gt;19114008&lt;/accession-num&gt;&lt;urls&gt;&lt;related-urls&gt;&lt;url&gt;https://www.ncbi.nlm.nih.gov/pubmed/19114008&lt;/url&gt;&lt;/related-urls&gt;&lt;/urls&gt;&lt;custom2&gt;PMC2631488&lt;/custom2&gt;&lt;electronic-resource-num&gt;10.1186/1471-2105-9-559&lt;/electronic-resource-num&gt;&lt;/record&gt;&lt;/Cite&gt;&lt;/EndNote&gt;</w:instrText>
      </w:r>
      <w:r w:rsidRPr="00E22890">
        <w:fldChar w:fldCharType="separate"/>
      </w:r>
      <w:r w:rsidR="00B813D5">
        <w:rPr>
          <w:noProof/>
        </w:rPr>
        <w:t>(5)</w:t>
      </w:r>
      <w:r w:rsidRPr="00E22890">
        <w:fldChar w:fldCharType="end"/>
      </w:r>
      <w:r w:rsidRPr="00E22890">
        <w:t xml:space="preserve">. Here, the absolute value of Pearson correlations between each pair of transcripts is calculated and transformed for a signed network </w:t>
      </w:r>
      <w:r w:rsidRPr="00E22890">
        <w:fldChar w:fldCharType="begin"/>
      </w:r>
      <w:r w:rsidR="00B813D5">
        <w:instrText xml:space="preserve"> ADDIN EN.CITE &lt;EndNote&gt;&lt;Cite&gt;&lt;Author&gt;Zhang&lt;/Author&gt;&lt;Year&gt;2005&lt;/Year&gt;&lt;RecNum&gt;697&lt;/RecNum&gt;&lt;DisplayText&gt;(6)&lt;/DisplayText&gt;&lt;record&gt;&lt;rec-number&gt;697&lt;/rec-number&gt;&lt;foreign-keys&gt;&lt;key app="EN" db-id="vx52a5zvsrw2abesxs8pp2pkxvdvxaxpdxx9" timestamp="1602141036"&gt;697&lt;/key&gt;&lt;/foreign-keys&gt;&lt;ref-type name="Journal Article"&gt;17&lt;/ref-type&gt;&lt;contributors&gt;&lt;authors&gt;&lt;author&gt;Zhang, B.&lt;/author&gt;&lt;author&gt;Horvath, S.&lt;/author&gt;&lt;/authors&gt;&lt;/contributors&gt;&lt;auth-address&gt;Department of Human Genetics, University of California at Los Angeles, USA. binzhang.ucla@gmail.com&lt;/auth-address&gt;&lt;titles&gt;&lt;title&gt;A general framework for weighted gene co-expression network analysis&lt;/title&gt;&lt;secondary-title&gt;Stat Appl Genet Mol Biol&lt;/secondary-title&gt;&lt;/titles&gt;&lt;periodical&gt;&lt;full-title&gt;Stat Appl Genet Mol Biol&lt;/full-title&gt;&lt;/periodical&gt;&lt;pages&gt;Article17&lt;/pages&gt;&lt;volume&gt;4&lt;/volume&gt;&lt;edition&gt;2006/05/02&lt;/edition&gt;&lt;dates&gt;&lt;year&gt;2005&lt;/year&gt;&lt;/dates&gt;&lt;isbn&gt;1544-6115 (Electronic)&amp;#xD;1544-6115 (Linking)&lt;/isbn&gt;&lt;accession-num&gt;16646834&lt;/accession-num&gt;&lt;urls&gt;&lt;related-urls&gt;&lt;url&gt;https://www.ncbi.nlm.nih.gov/pubmed/16646834&lt;/url&gt;&lt;/related-urls&gt;&lt;/urls&gt;&lt;electronic-resource-num&gt;10.2202/1544-6115.1128&lt;/electronic-resource-num&gt;&lt;/record&gt;&lt;/Cite&gt;&lt;/EndNote&gt;</w:instrText>
      </w:r>
      <w:r w:rsidRPr="00E22890">
        <w:fldChar w:fldCharType="separate"/>
      </w:r>
      <w:r w:rsidR="00B813D5">
        <w:rPr>
          <w:noProof/>
        </w:rPr>
        <w:t>(6)</w:t>
      </w:r>
      <w:r w:rsidRPr="00E22890">
        <w:fldChar w:fldCharType="end"/>
      </w:r>
      <w:r w:rsidRPr="00E22890">
        <w:t xml:space="preserve">. These similarity values are weighted by applying a soft-thresholding function, leading to the adjacency matrix. To compare pairs of genes in </w:t>
      </w:r>
      <w:r w:rsidRPr="00E22890">
        <w:lastRenderedPageBreak/>
        <w:t xml:space="preserve">terms of their connection strength with all other genes in the network, a topological overlap measure is calculated </w:t>
      </w:r>
      <w:r w:rsidRPr="00E22890">
        <w:fldChar w:fldCharType="begin"/>
      </w:r>
      <w:r w:rsidR="00B813D5">
        <w:instrText xml:space="preserve"> ADDIN EN.CITE &lt;EndNote&gt;&lt;Cite&gt;&lt;Author&gt;Yip&lt;/Author&gt;&lt;Year&gt;2007&lt;/Year&gt;&lt;RecNum&gt;699&lt;/RecNum&gt;&lt;DisplayText&gt;(7)&lt;/DisplayText&gt;&lt;record&gt;&lt;rec-number&gt;699&lt;/rec-number&gt;&lt;foreign-keys&gt;&lt;key app="EN" db-id="vx52a5zvsrw2abesxs8pp2pkxvdvxaxpdxx9" timestamp="1602141221"&gt;699&lt;/key&gt;&lt;/foreign-keys&gt;&lt;ref-type name="Journal Article"&gt;17&lt;/ref-type&gt;&lt;contributors&gt;&lt;authors&gt;&lt;author&gt;Yip, A. M.&lt;/author&gt;&lt;author&gt;Horvath, S.&lt;/author&gt;&lt;/authors&gt;&lt;/contributors&gt;&lt;auth-address&gt;Department of Mathematics, National University of Singapore, 2, Science Drive 2, Singapore 117543, Singapore. matymha@nus.edu.sg &amp;lt;matymha@nus.edu.sg&amp;gt;&lt;/auth-address&gt;&lt;titles&gt;&lt;title&gt;Gene network interconnectedness and the generalized topological overlap measure&lt;/title&gt;&lt;secondary-title&gt;BMC Bioinformatics&lt;/secondary-title&gt;&lt;/titles&gt;&lt;periodical&gt;&lt;full-title&gt;BMC Bioinformatics&lt;/full-title&gt;&lt;/periodical&gt;&lt;pages&gt;22&lt;/pages&gt;&lt;volume&gt;8&lt;/volume&gt;&lt;edition&gt;2007/01/26&lt;/edition&gt;&lt;keywords&gt;&lt;keyword&gt;Algorithms&lt;/keyword&gt;&lt;keyword&gt;Animals&lt;/keyword&gt;&lt;keyword&gt;Cluster Analysis&lt;/keyword&gt;&lt;keyword&gt;Computational Biology/*methods&lt;/keyword&gt;&lt;keyword&gt;Drosophila melanogaster&lt;/keyword&gt;&lt;keyword&gt;Fungal Proteins/metabolism&lt;/keyword&gt;&lt;keyword&gt;*Gene Regulatory Networks&lt;/keyword&gt;&lt;keyword&gt;Models, Genetic&lt;/keyword&gt;&lt;keyword&gt;Models, Statistical&lt;/keyword&gt;&lt;keyword&gt;Models, Theoretical&lt;/keyword&gt;&lt;keyword&gt;Protein Interaction Mapping&lt;/keyword&gt;&lt;/keywords&gt;&lt;dates&gt;&lt;year&gt;2007&lt;/year&gt;&lt;pub-dates&gt;&lt;date&gt;Jan 24&lt;/date&gt;&lt;/pub-dates&gt;&lt;/dates&gt;&lt;isbn&gt;1471-2105 (Electronic)&amp;#xD;1471-2105 (Linking)&lt;/isbn&gt;&lt;accession-num&gt;17250769&lt;/accession-num&gt;&lt;urls&gt;&lt;related-urls&gt;&lt;url&gt;https://www.ncbi.nlm.nih.gov/pubmed/17250769&lt;/url&gt;&lt;/related-urls&gt;&lt;/urls&gt;&lt;custom2&gt;PMC1797055&lt;/custom2&gt;&lt;electronic-resource-num&gt;10.1186/1471-2105-8-22&lt;/electronic-resource-num&gt;&lt;/record&gt;&lt;/Cite&gt;&lt;/EndNote&gt;</w:instrText>
      </w:r>
      <w:r w:rsidRPr="00E22890">
        <w:fldChar w:fldCharType="separate"/>
      </w:r>
      <w:r w:rsidR="00B813D5">
        <w:rPr>
          <w:noProof/>
        </w:rPr>
        <w:t>(7)</w:t>
      </w:r>
      <w:r w:rsidRPr="00E22890">
        <w:fldChar w:fldCharType="end"/>
      </w:r>
      <w:r w:rsidRPr="00E22890">
        <w:t>. Following, a topology dissimilarity measure can be used as input for the hierarchical clustering procedure, to detect groups of genes (so called modules) that are highly co-expressed.</w:t>
      </w:r>
    </w:p>
    <w:p w14:paraId="2F355FB1" w14:textId="77777777" w:rsidR="00611864" w:rsidRPr="00E22890" w:rsidRDefault="00611864" w:rsidP="00611864">
      <w:pPr>
        <w:spacing w:before="100" w:beforeAutospacing="1" w:after="100" w:afterAutospacing="1" w:line="480" w:lineRule="auto"/>
        <w:jc w:val="both"/>
      </w:pPr>
      <w:r w:rsidRPr="00E22890">
        <w:t xml:space="preserve">To find the appropriate soft-thresholding parameter, we used the function </w:t>
      </w:r>
      <w:r w:rsidRPr="00E22890">
        <w:rPr>
          <w:i/>
          <w:iCs/>
        </w:rPr>
        <w:t>pickSoftThreshold</w:t>
      </w:r>
      <w:r w:rsidRPr="00E22890">
        <w:t>, and the beta value with scale-free topology fit of R</w:t>
      </w:r>
      <w:r w:rsidRPr="00E22890">
        <w:rPr>
          <w:vertAlign w:val="superscript"/>
        </w:rPr>
        <w:t xml:space="preserve">2 </w:t>
      </w:r>
      <w:r w:rsidRPr="00E22890">
        <w:t xml:space="preserve">&gt; .85. The according value was set as power parameter in the function </w:t>
      </w:r>
      <w:r w:rsidRPr="00E22890">
        <w:rPr>
          <w:i/>
          <w:iCs/>
        </w:rPr>
        <w:t>blockwiseModules</w:t>
      </w:r>
      <w:r w:rsidRPr="00E22890">
        <w:t xml:space="preserve"> for the actual network construction and identification of modules. Further, the minimum module size was set to n = 30 genes, the threshold for merging modules was 0.25, and a signed network was chosen to preserve the sign of correlation between genes. To summarize</w:t>
      </w:r>
      <w:r>
        <w:rPr>
          <w:lang w:val="en-GB"/>
        </w:rPr>
        <w:t>,</w:t>
      </w:r>
      <w:r w:rsidRPr="00E22890">
        <w:t xml:space="preserve"> the overall expression of genes in a module, </w:t>
      </w:r>
      <w:r w:rsidRPr="00E22890">
        <w:rPr>
          <w:i/>
          <w:iCs/>
        </w:rPr>
        <w:t>eigengenes</w:t>
      </w:r>
      <w:r w:rsidRPr="00E22890">
        <w:t xml:space="preserve"> were calculated by performing singular value decomposition of the module expression and extracting the first principal component.</w:t>
      </w:r>
    </w:p>
    <w:p w14:paraId="2DA4D401" w14:textId="77777777" w:rsidR="00611864" w:rsidRPr="00B54D6A" w:rsidRDefault="00611864" w:rsidP="00611864">
      <w:pPr>
        <w:spacing w:before="100" w:beforeAutospacing="1" w:after="100" w:afterAutospacing="1" w:line="480" w:lineRule="auto"/>
        <w:jc w:val="both"/>
        <w:rPr>
          <w:b/>
          <w:bCs/>
          <w:i/>
          <w:iCs/>
        </w:rPr>
      </w:pPr>
      <w:r w:rsidRPr="00B54D6A">
        <w:rPr>
          <w:b/>
          <w:bCs/>
          <w:i/>
          <w:iCs/>
        </w:rPr>
        <w:t>Expression quantitative methylation (eQTM) analysis</w:t>
      </w:r>
    </w:p>
    <w:p w14:paraId="276607E0" w14:textId="43101644" w:rsidR="00611864" w:rsidRDefault="00611864" w:rsidP="00611864">
      <w:pPr>
        <w:spacing w:line="480" w:lineRule="auto"/>
      </w:pPr>
      <w:r w:rsidRPr="00E22890">
        <w:t xml:space="preserve">As our top CpG from DNAm analysis was located in </w:t>
      </w:r>
      <w:r w:rsidRPr="00E22890">
        <w:rPr>
          <w:i/>
          <w:iCs/>
        </w:rPr>
        <w:t>FKBP5,</w:t>
      </w:r>
      <w:r w:rsidRPr="00E22890">
        <w:t xml:space="preserve"> we focused on the gene module containing </w:t>
      </w:r>
      <w:r w:rsidRPr="00E22890">
        <w:rPr>
          <w:i/>
          <w:iCs/>
        </w:rPr>
        <w:t>FKBP5</w:t>
      </w:r>
      <w:r w:rsidRPr="00E22890">
        <w:t>, i.e.</w:t>
      </w:r>
      <w:r>
        <w:t>,</w:t>
      </w:r>
      <w:r w:rsidRPr="00E22890">
        <w:t xml:space="preserve"> the turquoise module. We used variance stabilizing transformation on the raw gene expression counts of all genes in the turquoise WGCNA module</w:t>
      </w:r>
      <w:r w:rsidRPr="00E22890">
        <w:rPr>
          <w:i/>
          <w:iCs/>
        </w:rPr>
        <w:t>.</w:t>
      </w:r>
      <w:r w:rsidRPr="00E22890">
        <w:t xml:space="preserve"> Afterwards, transformed expression levels were associated with beta-values of </w:t>
      </w:r>
      <w:r w:rsidRPr="00E22890">
        <w:rPr>
          <w:color w:val="000000"/>
          <w:lang w:val="en-GB"/>
        </w:rPr>
        <w:t xml:space="preserve">cg22363520, our top hit,  using linear regression models and child’s sex, </w:t>
      </w:r>
      <w:proofErr w:type="spellStart"/>
      <w:r w:rsidR="006801C3">
        <w:rPr>
          <w:color w:val="000000"/>
          <w:lang w:val="en-GB"/>
        </w:rPr>
        <w:t>pregnant’s</w:t>
      </w:r>
      <w:proofErr w:type="spellEnd"/>
      <w:r w:rsidR="006801C3">
        <w:rPr>
          <w:color w:val="000000"/>
          <w:lang w:val="en-GB"/>
        </w:rPr>
        <w:t xml:space="preserve"> person</w:t>
      </w:r>
      <w:r w:rsidRPr="00E22890">
        <w:rPr>
          <w:color w:val="000000"/>
          <w:lang w:val="en-GB"/>
        </w:rPr>
        <w:t xml:space="preserve"> age, smoking</w:t>
      </w:r>
      <w:r w:rsidR="006801C3">
        <w:rPr>
          <w:color w:val="000000"/>
          <w:lang w:val="en-GB"/>
        </w:rPr>
        <w:t xml:space="preserve"> during pregnancy</w:t>
      </w:r>
      <w:r w:rsidRPr="00E22890">
        <w:rPr>
          <w:color w:val="000000"/>
          <w:lang w:val="en-GB"/>
        </w:rPr>
        <w:t xml:space="preserve">, gestational age as well as two first two principal components derived from estimated cell type proportions as described in </w:t>
      </w:r>
      <w:r w:rsidRPr="00E22890">
        <w:rPr>
          <w:color w:val="000000"/>
          <w:lang w:val="en-GB"/>
        </w:rPr>
        <w:fldChar w:fldCharType="begin">
          <w:fldData xml:space="preserve">PEVuZE5vdGU+PENpdGU+PEF1dGhvcj5ZdWFuPC9BdXRob3I+PFllYXI+MjAyMTwvWWVhcj48UmVj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</w:fldData>
        </w:fldChar>
      </w:r>
      <w:r w:rsidR="00B813D5">
        <w:rPr>
          <w:color w:val="000000"/>
          <w:lang w:val="en-GB"/>
        </w:rPr>
        <w:instrText xml:space="preserve"> ADDIN EN.CITE </w:instrText>
      </w:r>
      <w:r w:rsidR="00B813D5">
        <w:rPr>
          <w:color w:val="000000"/>
          <w:lang w:val="en-GB"/>
        </w:rPr>
        <w:fldChar w:fldCharType="begin">
          <w:fldData xml:space="preserve">PEVuZE5vdGU+PENpdGU+PEF1dGhvcj5ZdWFuPC9BdXRob3I+PFllYXI+MjAyMTwvWWVhcj48UmVj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</w:fldData>
        </w:fldChar>
      </w:r>
      <w:r w:rsidR="00B813D5">
        <w:rPr>
          <w:color w:val="000000"/>
          <w:lang w:val="en-GB"/>
        </w:rPr>
        <w:instrText xml:space="preserve"> ADDIN EN.CITE.DATA </w:instrText>
      </w:r>
      <w:r w:rsidR="00B813D5">
        <w:rPr>
          <w:color w:val="000000"/>
          <w:lang w:val="en-GB"/>
        </w:rPr>
      </w:r>
      <w:r w:rsidR="00B813D5">
        <w:rPr>
          <w:color w:val="000000"/>
          <w:lang w:val="en-GB"/>
        </w:rPr>
        <w:fldChar w:fldCharType="end"/>
      </w:r>
      <w:r w:rsidRPr="00E22890">
        <w:rPr>
          <w:color w:val="000000"/>
          <w:lang w:val="en-GB"/>
        </w:rPr>
      </w:r>
      <w:r w:rsidRPr="00E22890">
        <w:rPr>
          <w:color w:val="000000"/>
          <w:lang w:val="en-GB"/>
        </w:rPr>
        <w:fldChar w:fldCharType="separate"/>
      </w:r>
      <w:r w:rsidR="00B813D5">
        <w:rPr>
          <w:noProof/>
          <w:color w:val="000000"/>
          <w:lang w:val="en-GB"/>
        </w:rPr>
        <w:t>(8)</w:t>
      </w:r>
      <w:r w:rsidRPr="00E22890">
        <w:rPr>
          <w:color w:val="000000"/>
          <w:lang w:val="en-GB"/>
        </w:rPr>
        <w:fldChar w:fldCharType="end"/>
      </w:r>
      <w:r w:rsidRPr="00E22890">
        <w:rPr>
          <w:color w:val="000000"/>
          <w:lang w:val="en-GB"/>
        </w:rPr>
        <w:t xml:space="preserve"> as covariates. Overall, 469 individuals had available information on cg22363520 and gene expression. </w:t>
      </w:r>
      <w:r w:rsidRPr="00E22890">
        <w:t xml:space="preserve">P-values were corrected at a false-discovery rate (FDR)-cutoff of 5% using the Benjamini-Hochberg-approach over all genes included in the turquoise module. </w:t>
      </w:r>
    </w:p>
    <w:p w14:paraId="1A8AD2C5" w14:textId="77777777" w:rsidR="00611864" w:rsidRDefault="00611864"/>
    <w:p w14:paraId="438D2482" w14:textId="77777777" w:rsidR="00611864" w:rsidRDefault="00611864"/>
    <w:p w14:paraId="04447258" w14:textId="77777777" w:rsidR="00B813D5" w:rsidRPr="00B813D5" w:rsidRDefault="00611864" w:rsidP="00B813D5">
      <w:pPr>
        <w:pStyle w:val="EndNoteBibliographyTitle"/>
        <w:rPr>
          <w:noProof/>
        </w:rPr>
      </w:pPr>
      <w:r>
        <w:fldChar w:fldCharType="begin"/>
      </w:r>
      <w:r>
        <w:instrText xml:space="preserve"> ADDIN EN.REFLIST </w:instrText>
      </w:r>
      <w:r>
        <w:fldChar w:fldCharType="separate"/>
      </w:r>
      <w:r w:rsidR="00B813D5" w:rsidRPr="00B813D5">
        <w:rPr>
          <w:noProof/>
        </w:rPr>
        <w:t>Bibliography</w:t>
      </w:r>
    </w:p>
    <w:p w14:paraId="38D75A57" w14:textId="77777777" w:rsidR="00B813D5" w:rsidRPr="00B813D5" w:rsidRDefault="00B813D5" w:rsidP="00B813D5">
      <w:pPr>
        <w:pStyle w:val="EndNoteBibliographyTitle"/>
        <w:rPr>
          <w:noProof/>
        </w:rPr>
      </w:pPr>
    </w:p>
    <w:p w14:paraId="1710763E" w14:textId="77777777" w:rsidR="00B813D5" w:rsidRPr="00B813D5" w:rsidRDefault="00B813D5" w:rsidP="00B813D5">
      <w:pPr>
        <w:pStyle w:val="EndNoteBibliography"/>
        <w:rPr>
          <w:noProof/>
        </w:rPr>
      </w:pPr>
      <w:r w:rsidRPr="00B813D5">
        <w:rPr>
          <w:noProof/>
        </w:rPr>
        <w:t>1.</w:t>
      </w:r>
      <w:r w:rsidRPr="00B813D5">
        <w:rPr>
          <w:noProof/>
        </w:rPr>
        <w:tab/>
        <w:t>Roeh S, Wiechmann T, Sauer S, Kodel M, Binder EB, Provencal N. HAM-TBS: high-accuracy methylation measurements via targeted bisulfite sequencing. Epigenetics Chromatin. 2018;11(1):39.</w:t>
      </w:r>
    </w:p>
    <w:p w14:paraId="36FA87B8" w14:textId="77777777" w:rsidR="00B813D5" w:rsidRPr="00B813D5" w:rsidRDefault="00B813D5" w:rsidP="00B813D5">
      <w:pPr>
        <w:pStyle w:val="EndNoteBibliography"/>
        <w:rPr>
          <w:noProof/>
        </w:rPr>
      </w:pPr>
      <w:r w:rsidRPr="00B813D5">
        <w:rPr>
          <w:noProof/>
        </w:rPr>
        <w:t>2.</w:t>
      </w:r>
      <w:r w:rsidRPr="00B813D5">
        <w:rPr>
          <w:noProof/>
        </w:rPr>
        <w:tab/>
        <w:t>Marcel M. Cutadapt removes adapter sequences from high-throughput sequencing reads. EMBnet J. 2011;17:10-2.</w:t>
      </w:r>
    </w:p>
    <w:p w14:paraId="4F0A221B" w14:textId="77777777" w:rsidR="00B813D5" w:rsidRPr="00B813D5" w:rsidRDefault="00B813D5" w:rsidP="00B813D5">
      <w:pPr>
        <w:pStyle w:val="EndNoteBibliography"/>
        <w:rPr>
          <w:noProof/>
        </w:rPr>
      </w:pPr>
      <w:r w:rsidRPr="00B813D5">
        <w:rPr>
          <w:noProof/>
        </w:rPr>
        <w:t>3.</w:t>
      </w:r>
      <w:r w:rsidRPr="00B813D5">
        <w:rPr>
          <w:noProof/>
        </w:rPr>
        <w:tab/>
        <w:t>Akalin A, Kormaksson M, Li S, Garrett-Bakelman FE, Figueroa ME, Melnick A, et al. methylKit: a comprehensive R package for the analysis of genome-wide DNA methylation profiles. Genome Biol. 2012;13(10):R87.</w:t>
      </w:r>
    </w:p>
    <w:p w14:paraId="1BF6D7A8" w14:textId="77777777" w:rsidR="00B813D5" w:rsidRPr="00B813D5" w:rsidRDefault="00B813D5" w:rsidP="00B813D5">
      <w:pPr>
        <w:pStyle w:val="EndNoteBibliography"/>
        <w:rPr>
          <w:noProof/>
        </w:rPr>
      </w:pPr>
      <w:r w:rsidRPr="00B813D5">
        <w:rPr>
          <w:noProof/>
        </w:rPr>
        <w:t>4.</w:t>
      </w:r>
      <w:r w:rsidRPr="00B813D5">
        <w:rPr>
          <w:noProof/>
        </w:rPr>
        <w:tab/>
        <w:t>Love MI, Huber W, Anders S. Moderated estimation of fold change and dispersion for RNA-seq data with DESeq2. Genome Biol. 2014;15(12):550.</w:t>
      </w:r>
    </w:p>
    <w:p w14:paraId="5A30EC18" w14:textId="77777777" w:rsidR="00B813D5" w:rsidRPr="00B813D5" w:rsidRDefault="00B813D5" w:rsidP="00B813D5">
      <w:pPr>
        <w:pStyle w:val="EndNoteBibliography"/>
        <w:rPr>
          <w:noProof/>
        </w:rPr>
      </w:pPr>
      <w:r w:rsidRPr="00B813D5">
        <w:rPr>
          <w:noProof/>
        </w:rPr>
        <w:t>5.</w:t>
      </w:r>
      <w:r w:rsidRPr="00B813D5">
        <w:rPr>
          <w:noProof/>
        </w:rPr>
        <w:tab/>
        <w:t>Langfelder P, Horvath S. WGCNA: an R package for weighted correlation network analysis. BMC Bioinformatics. 2008;9:559.</w:t>
      </w:r>
    </w:p>
    <w:p w14:paraId="65C39D91" w14:textId="77777777" w:rsidR="00B813D5" w:rsidRPr="00B813D5" w:rsidRDefault="00B813D5" w:rsidP="00B813D5">
      <w:pPr>
        <w:pStyle w:val="EndNoteBibliography"/>
        <w:rPr>
          <w:noProof/>
        </w:rPr>
      </w:pPr>
      <w:r w:rsidRPr="00B813D5">
        <w:rPr>
          <w:noProof/>
        </w:rPr>
        <w:t>6.</w:t>
      </w:r>
      <w:r w:rsidRPr="00B813D5">
        <w:rPr>
          <w:noProof/>
        </w:rPr>
        <w:tab/>
        <w:t>Zhang B, Horvath S. A general framework for weighted gene co-expression network analysis. Stat Appl Genet Mol Biol. 2005;4:Article17.</w:t>
      </w:r>
    </w:p>
    <w:p w14:paraId="7DB05513" w14:textId="77777777" w:rsidR="00B813D5" w:rsidRPr="00B813D5" w:rsidRDefault="00B813D5" w:rsidP="00B813D5">
      <w:pPr>
        <w:pStyle w:val="EndNoteBibliography"/>
        <w:rPr>
          <w:noProof/>
        </w:rPr>
      </w:pPr>
      <w:r w:rsidRPr="00B813D5">
        <w:rPr>
          <w:noProof/>
        </w:rPr>
        <w:t>7.</w:t>
      </w:r>
      <w:r w:rsidRPr="00B813D5">
        <w:rPr>
          <w:noProof/>
        </w:rPr>
        <w:tab/>
        <w:t>Yip AM, Horvath S. Gene network interconnectedness and the generalized topological overlap measure. BMC Bioinformatics. 2007;8:22.</w:t>
      </w:r>
    </w:p>
    <w:p w14:paraId="11B860F1" w14:textId="77777777" w:rsidR="00B813D5" w:rsidRPr="00B813D5" w:rsidRDefault="00B813D5" w:rsidP="00B813D5">
      <w:pPr>
        <w:pStyle w:val="EndNoteBibliography"/>
        <w:rPr>
          <w:noProof/>
        </w:rPr>
      </w:pPr>
      <w:r w:rsidRPr="00B813D5">
        <w:rPr>
          <w:noProof/>
        </w:rPr>
        <w:t>8.</w:t>
      </w:r>
      <w:r w:rsidRPr="00B813D5">
        <w:rPr>
          <w:noProof/>
        </w:rPr>
        <w:tab/>
        <w:t>Yuan V, Hui D, Yin Y, Penaherrera MS, Beristain AG, Robinson WP. Cell-specific characterization of the placental methylome. BMC Genomics. 2021;22(1):6.</w:t>
      </w:r>
    </w:p>
    <w:p w14:paraId="249E948B" w14:textId="70BCAFFD" w:rsidR="007C2CB3" w:rsidRDefault="00611864" w:rsidP="00611864">
      <w:r>
        <w:fldChar w:fldCharType="end"/>
      </w:r>
    </w:p>
    <w:sectPr w:rsidR="007C2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2&lt;/FontSize&gt;&lt;ReflistTitle&gt;Bibliography&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52a5zvsrw2abesxs8pp2pkxvdvxaxpdxx9&quot;&gt;EndNote_Library&lt;record-ids&gt;&lt;item&gt;652&lt;/item&gt;&lt;item&gt;687&lt;/item&gt;&lt;item&gt;688&lt;/item&gt;&lt;item&gt;696&lt;/item&gt;&lt;item&gt;697&lt;/item&gt;&lt;item&gt;698&lt;/item&gt;&lt;item&gt;699&lt;/item&gt;&lt;item&gt;701&lt;/item&gt;&lt;/record-ids&gt;&lt;/item&gt;&lt;/Libraries&gt;"/>
  </w:docVars>
  <w:rsids>
    <w:rsidRoot w:val="00611864"/>
    <w:rsid w:val="00023A55"/>
    <w:rsid w:val="000837F1"/>
    <w:rsid w:val="000C2375"/>
    <w:rsid w:val="00246A80"/>
    <w:rsid w:val="00256046"/>
    <w:rsid w:val="00333455"/>
    <w:rsid w:val="003E73A1"/>
    <w:rsid w:val="00531ED9"/>
    <w:rsid w:val="00611864"/>
    <w:rsid w:val="006801C3"/>
    <w:rsid w:val="007C2CB3"/>
    <w:rsid w:val="007D018D"/>
    <w:rsid w:val="0081755A"/>
    <w:rsid w:val="009C648A"/>
    <w:rsid w:val="00A24332"/>
    <w:rsid w:val="00A52607"/>
    <w:rsid w:val="00AE5948"/>
    <w:rsid w:val="00AF3DED"/>
    <w:rsid w:val="00B17FF1"/>
    <w:rsid w:val="00B813D5"/>
    <w:rsid w:val="00CD7878"/>
    <w:rsid w:val="00D26D43"/>
    <w:rsid w:val="00DD478B"/>
    <w:rsid w:val="00E222DC"/>
    <w:rsid w:val="00E86EE1"/>
    <w:rsid w:val="00E9650B"/>
    <w:rsid w:val="00F253DB"/>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decimalSymbol w:val=","/>
  <w:listSeparator w:val=","/>
  <w14:docId w14:val="34049508"/>
  <w15:chartTrackingRefBased/>
  <w15:docId w15:val="{903733FF-2DD0-D346-8B78-852F9465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864"/>
    <w:rPr>
      <w:rFonts w:ascii="Times New Roman" w:eastAsia="Times New Roman" w:hAnsi="Times New Roman" w:cs="Times New Roman"/>
      <w:lang w:eastAsia="en-GB"/>
    </w:rPr>
  </w:style>
  <w:style w:type="paragraph" w:styleId="Heading2">
    <w:name w:val="heading 2"/>
    <w:basedOn w:val="Normal1"/>
    <w:next w:val="Normal1"/>
    <w:link w:val="Heading2Char"/>
    <w:rsid w:val="00611864"/>
    <w:pPr>
      <w:keepNext/>
      <w:keepLines/>
      <w:pBdr>
        <w:top w:val="nil"/>
        <w:left w:val="nil"/>
        <w:bottom w:val="nil"/>
        <w:right w:val="nil"/>
        <w:between w:val="nil"/>
      </w:pBdr>
      <w:spacing w:before="360" w:after="80"/>
      <w:contextualSpacing/>
      <w:outlineLvl w:val="1"/>
    </w:pPr>
    <w:rPr>
      <w:b/>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11864"/>
    <w:rPr>
      <w:rFonts w:ascii="Cambria" w:eastAsia="Cambria" w:hAnsi="Cambria" w:cs="Cambria"/>
      <w:b/>
      <w:color w:val="000000"/>
      <w:sz w:val="36"/>
      <w:szCs w:val="36"/>
      <w:lang w:val="en-US" w:eastAsia="de-DE"/>
    </w:rPr>
  </w:style>
  <w:style w:type="character" w:styleId="Hyperlink">
    <w:name w:val="Hyperlink"/>
    <w:basedOn w:val="DefaultParagraphFont"/>
    <w:uiPriority w:val="99"/>
    <w:unhideWhenUsed/>
    <w:rsid w:val="00611864"/>
    <w:rPr>
      <w:color w:val="0563C1" w:themeColor="hyperlink"/>
      <w:u w:val="single"/>
    </w:rPr>
  </w:style>
  <w:style w:type="paragraph" w:customStyle="1" w:styleId="Normal1">
    <w:name w:val="Normal1"/>
    <w:link w:val="Normal1Char"/>
    <w:rsid w:val="00611864"/>
    <w:pPr>
      <w:spacing w:after="200" w:line="276" w:lineRule="auto"/>
    </w:pPr>
    <w:rPr>
      <w:rFonts w:ascii="Cambria" w:eastAsia="Cambria" w:hAnsi="Cambria" w:cs="Cambria"/>
      <w:sz w:val="22"/>
      <w:szCs w:val="22"/>
      <w:lang w:val="en-US" w:eastAsia="de-DE"/>
    </w:rPr>
  </w:style>
  <w:style w:type="character" w:customStyle="1" w:styleId="apple-converted-space">
    <w:name w:val="apple-converted-space"/>
    <w:basedOn w:val="DefaultParagraphFont"/>
    <w:rsid w:val="00611864"/>
  </w:style>
  <w:style w:type="paragraph" w:customStyle="1" w:styleId="Text">
    <w:name w:val="Text"/>
    <w:basedOn w:val="Normal"/>
    <w:qFormat/>
    <w:rsid w:val="00611864"/>
    <w:pPr>
      <w:spacing w:line="480" w:lineRule="auto"/>
      <w:jc w:val="both"/>
    </w:pPr>
    <w:rPr>
      <w:rFonts w:ascii="Arial" w:eastAsiaTheme="minorHAnsi" w:hAnsi="Arial" w:cs="Arial"/>
      <w:sz w:val="22"/>
      <w:lang w:val="en-US" w:eastAsia="de-DE"/>
    </w:rPr>
  </w:style>
  <w:style w:type="character" w:customStyle="1" w:styleId="Normal1Char">
    <w:name w:val="Normal1 Char"/>
    <w:basedOn w:val="DefaultParagraphFont"/>
    <w:link w:val="Normal1"/>
    <w:rsid w:val="00611864"/>
    <w:rPr>
      <w:rFonts w:ascii="Cambria" w:eastAsia="Cambria" w:hAnsi="Cambria" w:cs="Cambria"/>
      <w:sz w:val="22"/>
      <w:szCs w:val="22"/>
      <w:lang w:val="en-US" w:eastAsia="de-DE"/>
    </w:rPr>
  </w:style>
  <w:style w:type="paragraph" w:customStyle="1" w:styleId="EndNoteBibliographyTitle">
    <w:name w:val="EndNote Bibliography Title"/>
    <w:basedOn w:val="Normal"/>
    <w:link w:val="EndNoteBibliographyTitleChar"/>
    <w:rsid w:val="00611864"/>
    <w:pPr>
      <w:jc w:val="center"/>
    </w:pPr>
    <w:rPr>
      <w:lang w:val="en-GB"/>
    </w:rPr>
  </w:style>
  <w:style w:type="character" w:customStyle="1" w:styleId="EndNoteBibliographyTitleChar">
    <w:name w:val="EndNote Bibliography Title Char"/>
    <w:basedOn w:val="Heading2Char"/>
    <w:link w:val="EndNoteBibliographyTitle"/>
    <w:rsid w:val="00611864"/>
    <w:rPr>
      <w:rFonts w:ascii="Times New Roman" w:eastAsia="Times New Roman" w:hAnsi="Times New Roman" w:cs="Times New Roman"/>
      <w:b w:val="0"/>
      <w:color w:val="000000"/>
      <w:sz w:val="36"/>
      <w:szCs w:val="36"/>
      <w:lang w:val="en-GB" w:eastAsia="en-GB"/>
    </w:rPr>
  </w:style>
  <w:style w:type="paragraph" w:customStyle="1" w:styleId="EndNoteBibliography">
    <w:name w:val="EndNote Bibliography"/>
    <w:basedOn w:val="Normal"/>
    <w:link w:val="EndNoteBibliographyChar"/>
    <w:rsid w:val="00611864"/>
    <w:rPr>
      <w:lang w:val="en-GB"/>
    </w:rPr>
  </w:style>
  <w:style w:type="character" w:customStyle="1" w:styleId="EndNoteBibliographyChar">
    <w:name w:val="EndNote Bibliography Char"/>
    <w:basedOn w:val="Heading2Char"/>
    <w:link w:val="EndNoteBibliography"/>
    <w:rsid w:val="00611864"/>
    <w:rPr>
      <w:rFonts w:ascii="Times New Roman" w:eastAsia="Times New Roman" w:hAnsi="Times New Roman" w:cs="Times New Roman"/>
      <w:b w:val="0"/>
      <w:color w:val="000000"/>
      <w:sz w:val="36"/>
      <w:szCs w:val="3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2664</Words>
  <Characters>15186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Darina Czamara</dc:creator>
  <cp:keywords/>
  <dc:description/>
  <cp:lastModifiedBy>Darina Czamara</cp:lastModifiedBy>
  <cp:revision>6</cp:revision>
  <dcterms:created xsi:type="dcterms:W3CDTF">2021-07-27T14:58:00Z</dcterms:created>
  <dcterms:modified xsi:type="dcterms:W3CDTF">2021-08-09T11:18:00Z</dcterms:modified>
</cp:coreProperties>
</file>