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469D7" w14:textId="77777777" w:rsidR="00B21051" w:rsidRPr="001065F8" w:rsidRDefault="00B21051" w:rsidP="00B21051">
      <w:pPr>
        <w:spacing w:line="480" w:lineRule="auto"/>
        <w:rPr>
          <w:rFonts w:ascii="Times New Roman Bold" w:hAnsi="Times New Roman Bold" w:cs="Times New Roman"/>
          <w:b/>
          <w:bCs/>
          <w:caps/>
          <w:sz w:val="24"/>
          <w:szCs w:val="24"/>
        </w:rPr>
      </w:pPr>
      <w:r w:rsidRPr="001065F8">
        <w:rPr>
          <w:rFonts w:ascii="Times New Roman Bold" w:hAnsi="Times New Roman Bold" w:cs="Times New Roman"/>
          <w:b/>
          <w:bCs/>
          <w:caps/>
          <w:sz w:val="24"/>
          <w:szCs w:val="24"/>
        </w:rPr>
        <w:t>Supplemental Tables</w:t>
      </w:r>
    </w:p>
    <w:p w14:paraId="4E18550E" w14:textId="1B111069" w:rsidR="00B21051" w:rsidRPr="001065F8" w:rsidRDefault="00B21051" w:rsidP="00B21051">
      <w:pPr>
        <w:spacing w:line="480" w:lineRule="auto"/>
        <w:rPr>
          <w:rFonts w:ascii="Times New Roman" w:hAnsi="Times New Roman" w:cs="Times New Roman"/>
          <w:sz w:val="24"/>
          <w:szCs w:val="24"/>
        </w:rPr>
      </w:pPr>
      <w:r w:rsidRPr="001065F8">
        <w:rPr>
          <w:rFonts w:ascii="Times New Roman" w:hAnsi="Times New Roman" w:cs="Times New Roman"/>
          <w:b/>
          <w:bCs/>
          <w:sz w:val="24"/>
          <w:szCs w:val="24"/>
        </w:rPr>
        <w:t>Supplemental Table 1</w:t>
      </w:r>
      <w:r w:rsidR="007D4DE0" w:rsidRPr="001065F8">
        <w:rPr>
          <w:rFonts w:ascii="Times New Roman" w:hAnsi="Times New Roman" w:cs="Times New Roman"/>
          <w:b/>
          <w:bCs/>
          <w:sz w:val="24"/>
          <w:szCs w:val="24"/>
        </w:rPr>
        <w:t>.</w:t>
      </w:r>
      <w:r w:rsidR="00DB36A5" w:rsidRPr="001065F8">
        <w:rPr>
          <w:rFonts w:ascii="Times New Roman" w:hAnsi="Times New Roman" w:cs="Times New Roman"/>
          <w:b/>
          <w:bCs/>
          <w:sz w:val="24"/>
          <w:szCs w:val="24"/>
        </w:rPr>
        <w:t xml:space="preserve"> </w:t>
      </w:r>
      <w:r w:rsidR="00DB36A5" w:rsidRPr="001065F8">
        <w:rPr>
          <w:rFonts w:ascii="Times New Roman" w:hAnsi="Times New Roman" w:cs="Times New Roman"/>
          <w:sz w:val="24"/>
          <w:szCs w:val="24"/>
        </w:rPr>
        <w:t>Patient previous therapies and tumor mutation profile.</w:t>
      </w:r>
      <w:r w:rsidR="00F77754" w:rsidRPr="001065F8">
        <w:rPr>
          <w:rFonts w:ascii="Times New Roman" w:hAnsi="Times New Roman" w:cs="Times New Roman"/>
          <w:sz w:val="24"/>
          <w:szCs w:val="24"/>
        </w:rPr>
        <w:t xml:space="preserve"> Therapies listed in chronological order.</w:t>
      </w:r>
    </w:p>
    <w:tbl>
      <w:tblPr>
        <w:tblStyle w:val="TableGrid"/>
        <w:tblW w:w="0" w:type="auto"/>
        <w:tblLook w:val="04A0" w:firstRow="1" w:lastRow="0" w:firstColumn="1" w:lastColumn="0" w:noHBand="0" w:noVBand="1"/>
      </w:tblPr>
      <w:tblGrid>
        <w:gridCol w:w="456"/>
        <w:gridCol w:w="4020"/>
        <w:gridCol w:w="1385"/>
        <w:gridCol w:w="1163"/>
        <w:gridCol w:w="1163"/>
        <w:gridCol w:w="1163"/>
      </w:tblGrid>
      <w:tr w:rsidR="007D4DE0" w:rsidRPr="001065F8" w14:paraId="4152E1CE" w14:textId="77777777" w:rsidTr="007D4DE0">
        <w:tc>
          <w:tcPr>
            <w:tcW w:w="0" w:type="auto"/>
            <w:shd w:val="clear" w:color="auto" w:fill="E7E6E6" w:themeFill="background2"/>
          </w:tcPr>
          <w:p w14:paraId="4A40A7D1" w14:textId="3F4729E5"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Pt</w:t>
            </w:r>
          </w:p>
        </w:tc>
        <w:tc>
          <w:tcPr>
            <w:tcW w:w="0" w:type="auto"/>
            <w:shd w:val="clear" w:color="auto" w:fill="E7E6E6" w:themeFill="background2"/>
          </w:tcPr>
          <w:p w14:paraId="2D72C755" w14:textId="1F92470B"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Previous therapies</w:t>
            </w:r>
          </w:p>
        </w:tc>
        <w:tc>
          <w:tcPr>
            <w:tcW w:w="0" w:type="auto"/>
            <w:shd w:val="clear" w:color="auto" w:fill="E7E6E6" w:themeFill="background2"/>
          </w:tcPr>
          <w:p w14:paraId="2755C985" w14:textId="0F910AFB"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KRAS</w:t>
            </w:r>
          </w:p>
        </w:tc>
        <w:tc>
          <w:tcPr>
            <w:tcW w:w="0" w:type="auto"/>
            <w:shd w:val="clear" w:color="auto" w:fill="E7E6E6" w:themeFill="background2"/>
          </w:tcPr>
          <w:p w14:paraId="2120AB4A" w14:textId="0A6EE2F3"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BRAF</w:t>
            </w:r>
          </w:p>
        </w:tc>
        <w:tc>
          <w:tcPr>
            <w:tcW w:w="0" w:type="auto"/>
            <w:shd w:val="clear" w:color="auto" w:fill="E7E6E6" w:themeFill="background2"/>
          </w:tcPr>
          <w:p w14:paraId="7D5803A8" w14:textId="721436AE"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PIK3CA</w:t>
            </w:r>
          </w:p>
        </w:tc>
        <w:tc>
          <w:tcPr>
            <w:tcW w:w="0" w:type="auto"/>
            <w:shd w:val="clear" w:color="auto" w:fill="E7E6E6" w:themeFill="background2"/>
          </w:tcPr>
          <w:p w14:paraId="349132B4" w14:textId="47260F41" w:rsidR="00B21051" w:rsidRPr="001065F8" w:rsidRDefault="00B21051" w:rsidP="007D4DE0">
            <w:pPr>
              <w:rPr>
                <w:rFonts w:ascii="Times New Roman" w:hAnsi="Times New Roman" w:cs="Times New Roman"/>
                <w:b/>
                <w:bCs/>
                <w:sz w:val="24"/>
                <w:szCs w:val="24"/>
              </w:rPr>
            </w:pPr>
            <w:r w:rsidRPr="001065F8">
              <w:rPr>
                <w:rFonts w:ascii="Times New Roman" w:hAnsi="Times New Roman" w:cs="Times New Roman"/>
                <w:b/>
                <w:bCs/>
                <w:sz w:val="24"/>
                <w:szCs w:val="24"/>
              </w:rPr>
              <w:t>MMR</w:t>
            </w:r>
          </w:p>
        </w:tc>
      </w:tr>
      <w:tr w:rsidR="00590CE9" w:rsidRPr="001065F8" w14:paraId="11FAEE65" w14:textId="77777777" w:rsidTr="007D4DE0">
        <w:tc>
          <w:tcPr>
            <w:tcW w:w="0" w:type="auto"/>
          </w:tcPr>
          <w:p w14:paraId="23AD8171" w14:textId="1A241CE3"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w:t>
            </w:r>
          </w:p>
        </w:tc>
        <w:tc>
          <w:tcPr>
            <w:tcW w:w="0" w:type="auto"/>
          </w:tcPr>
          <w:p w14:paraId="524B8B37" w14:textId="1E3E99A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w:t>
            </w:r>
          </w:p>
        </w:tc>
        <w:tc>
          <w:tcPr>
            <w:tcW w:w="0" w:type="auto"/>
          </w:tcPr>
          <w:p w14:paraId="37289B8A" w14:textId="3A58368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2BE3DFD1" w14:textId="26AAB43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00E10DE" w14:textId="61B84D8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6A9FA7B" w14:textId="3F29C56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56A7D8B0" w14:textId="77777777" w:rsidTr="007D4DE0">
        <w:tc>
          <w:tcPr>
            <w:tcW w:w="0" w:type="auto"/>
          </w:tcPr>
          <w:p w14:paraId="62984486" w14:textId="7674F5F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w:t>
            </w:r>
          </w:p>
        </w:tc>
        <w:tc>
          <w:tcPr>
            <w:tcW w:w="0" w:type="auto"/>
          </w:tcPr>
          <w:p w14:paraId="0689AC7D" w14:textId="2803BBBE"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Cetuximab</w:t>
            </w:r>
          </w:p>
        </w:tc>
        <w:tc>
          <w:tcPr>
            <w:tcW w:w="0" w:type="auto"/>
          </w:tcPr>
          <w:p w14:paraId="6AAAE8C9" w14:textId="174958C3"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9B15BC2" w14:textId="4B902A9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419FB2A" w14:textId="4109A8C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3C5645B" w14:textId="0F067720"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6E0C1B18" w14:textId="77777777" w:rsidTr="007D4DE0">
        <w:tc>
          <w:tcPr>
            <w:tcW w:w="0" w:type="auto"/>
          </w:tcPr>
          <w:p w14:paraId="0030CBC8" w14:textId="000E270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w:t>
            </w:r>
          </w:p>
        </w:tc>
        <w:tc>
          <w:tcPr>
            <w:tcW w:w="0" w:type="auto"/>
          </w:tcPr>
          <w:p w14:paraId="6B066416" w14:textId="683FB15E"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FOLFOX + Cetuximab, FOLFIRI + Bevacizumab</w:t>
            </w:r>
          </w:p>
        </w:tc>
        <w:tc>
          <w:tcPr>
            <w:tcW w:w="0" w:type="auto"/>
          </w:tcPr>
          <w:p w14:paraId="6F3A952E" w14:textId="644B4815"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579F13C" w14:textId="5BC9AFB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2285773" w14:textId="12156E5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0AFA9A7" w14:textId="7039072C"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5640EC42" w14:textId="77777777" w:rsidTr="007D4DE0">
        <w:tc>
          <w:tcPr>
            <w:tcW w:w="0" w:type="auto"/>
          </w:tcPr>
          <w:p w14:paraId="61786719" w14:textId="39FD21D2"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4</w:t>
            </w:r>
          </w:p>
        </w:tc>
        <w:tc>
          <w:tcPr>
            <w:tcW w:w="0" w:type="auto"/>
          </w:tcPr>
          <w:p w14:paraId="6318075E" w14:textId="24E102D0"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FOLFOX, Temozolomide, Regorafenib</w:t>
            </w:r>
          </w:p>
        </w:tc>
        <w:tc>
          <w:tcPr>
            <w:tcW w:w="0" w:type="auto"/>
          </w:tcPr>
          <w:p w14:paraId="2BDF8075" w14:textId="6269D08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384FE424" w14:textId="6F120ED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BF01889" w14:textId="2537B07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74EA2957" w14:textId="44C0828D"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08784E08" w14:textId="77777777" w:rsidTr="007D4DE0">
        <w:tc>
          <w:tcPr>
            <w:tcW w:w="0" w:type="auto"/>
          </w:tcPr>
          <w:p w14:paraId="13B49159" w14:textId="3F07580C"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5</w:t>
            </w:r>
          </w:p>
        </w:tc>
        <w:tc>
          <w:tcPr>
            <w:tcW w:w="0" w:type="auto"/>
          </w:tcPr>
          <w:p w14:paraId="1138AFFE" w14:textId="23345231"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 xml:space="preserve">FOLFOX, FOLFIRI + Bevacizumab, HIPEC, FOLFIRI + </w:t>
            </w:r>
            <w:proofErr w:type="gramStart"/>
            <w:r w:rsidRPr="001065F8">
              <w:rPr>
                <w:rFonts w:ascii="Times New Roman" w:hAnsi="Times New Roman" w:cs="Times New Roman"/>
                <w:sz w:val="24"/>
                <w:szCs w:val="24"/>
              </w:rPr>
              <w:t>Bevacizumab ,</w:t>
            </w:r>
            <w:proofErr w:type="gramEnd"/>
            <w:r w:rsidRPr="001065F8">
              <w:rPr>
                <w:rFonts w:ascii="Times New Roman" w:hAnsi="Times New Roman" w:cs="Times New Roman"/>
                <w:sz w:val="24"/>
                <w:szCs w:val="24"/>
              </w:rPr>
              <w:t xml:space="preserve"> DC vaccine, FOLFOX, Irinotecan</w:t>
            </w:r>
          </w:p>
        </w:tc>
        <w:tc>
          <w:tcPr>
            <w:tcW w:w="0" w:type="auto"/>
          </w:tcPr>
          <w:p w14:paraId="46C460A4" w14:textId="19C4475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76BC4459" w14:textId="0BDA7D2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F970331" w14:textId="36D43FE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4F624831" w14:textId="7F850374"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52FB70C7" w14:textId="77777777" w:rsidTr="007D4DE0">
        <w:tc>
          <w:tcPr>
            <w:tcW w:w="0" w:type="auto"/>
          </w:tcPr>
          <w:p w14:paraId="0A562E4D" w14:textId="17C994E9"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6</w:t>
            </w:r>
          </w:p>
        </w:tc>
        <w:tc>
          <w:tcPr>
            <w:tcW w:w="0" w:type="auto"/>
          </w:tcPr>
          <w:p w14:paraId="273AE597" w14:textId="7E4A893E"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Irinotecan + Bevacizumab, Regorafenib</w:t>
            </w:r>
          </w:p>
        </w:tc>
        <w:tc>
          <w:tcPr>
            <w:tcW w:w="0" w:type="auto"/>
          </w:tcPr>
          <w:p w14:paraId="19868C61" w14:textId="5970560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G12S</w:t>
            </w:r>
          </w:p>
        </w:tc>
        <w:tc>
          <w:tcPr>
            <w:tcW w:w="0" w:type="auto"/>
          </w:tcPr>
          <w:p w14:paraId="59C41365" w14:textId="76281DA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5228DF55" w14:textId="356CE01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050CB153" w14:textId="3436E893"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r w:rsidR="00590CE9" w:rsidRPr="001065F8" w14:paraId="6FF17375" w14:textId="77777777" w:rsidTr="007D4DE0">
        <w:tc>
          <w:tcPr>
            <w:tcW w:w="0" w:type="auto"/>
          </w:tcPr>
          <w:p w14:paraId="132261E8" w14:textId="2B626C3D"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7</w:t>
            </w:r>
          </w:p>
        </w:tc>
        <w:tc>
          <w:tcPr>
            <w:tcW w:w="0" w:type="auto"/>
          </w:tcPr>
          <w:p w14:paraId="2912AC11" w14:textId="35084666"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Regorafenib</w:t>
            </w:r>
          </w:p>
        </w:tc>
        <w:tc>
          <w:tcPr>
            <w:tcW w:w="0" w:type="auto"/>
          </w:tcPr>
          <w:p w14:paraId="4C5FD726" w14:textId="2CC8240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G12R</w:t>
            </w:r>
          </w:p>
        </w:tc>
        <w:tc>
          <w:tcPr>
            <w:tcW w:w="0" w:type="auto"/>
          </w:tcPr>
          <w:p w14:paraId="13CDB7E1" w14:textId="1A3CD70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613FBDE" w14:textId="748DB3D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E542K</w:t>
            </w:r>
          </w:p>
        </w:tc>
        <w:tc>
          <w:tcPr>
            <w:tcW w:w="0" w:type="auto"/>
          </w:tcPr>
          <w:p w14:paraId="57B25847" w14:textId="1E3E1081"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16AB7DD6" w14:textId="77777777" w:rsidTr="007D4DE0">
        <w:tc>
          <w:tcPr>
            <w:tcW w:w="0" w:type="auto"/>
          </w:tcPr>
          <w:p w14:paraId="1CE73D47" w14:textId="79DF1F79"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8</w:t>
            </w:r>
          </w:p>
        </w:tc>
        <w:tc>
          <w:tcPr>
            <w:tcW w:w="0" w:type="auto"/>
          </w:tcPr>
          <w:p w14:paraId="6E268450" w14:textId="476D30E5"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FOLFIRI + Cetuximab</w:t>
            </w:r>
          </w:p>
        </w:tc>
        <w:tc>
          <w:tcPr>
            <w:tcW w:w="0" w:type="auto"/>
          </w:tcPr>
          <w:p w14:paraId="56AEE1C1" w14:textId="3BDE2095"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E178A26" w14:textId="0DFC3CC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81B8FE6" w14:textId="7C4AEF6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146C37F5" w14:textId="2DEA3D06" w:rsidR="00B21051" w:rsidRPr="001065F8" w:rsidRDefault="00EB298C"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d</w:t>
            </w:r>
            <w:r w:rsidR="007D4DE0" w:rsidRPr="001065F8">
              <w:rPr>
                <w:rFonts w:ascii="Times New Roman" w:hAnsi="Times New Roman" w:cs="Times New Roman"/>
                <w:sz w:val="24"/>
                <w:szCs w:val="24"/>
              </w:rPr>
              <w:t>MMR</w:t>
            </w:r>
            <w:proofErr w:type="spellEnd"/>
          </w:p>
        </w:tc>
      </w:tr>
      <w:tr w:rsidR="00590CE9" w:rsidRPr="001065F8" w14:paraId="55B9DD60" w14:textId="77777777" w:rsidTr="007D4DE0">
        <w:tc>
          <w:tcPr>
            <w:tcW w:w="0" w:type="auto"/>
          </w:tcPr>
          <w:p w14:paraId="4C072753" w14:textId="7FC75173"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9</w:t>
            </w:r>
          </w:p>
        </w:tc>
        <w:tc>
          <w:tcPr>
            <w:tcW w:w="0" w:type="auto"/>
          </w:tcPr>
          <w:p w14:paraId="497C77EA" w14:textId="51BA2F14"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FOLFIRI + Cetuximab, Yttrium-90, HAI FUDR</w:t>
            </w:r>
          </w:p>
        </w:tc>
        <w:tc>
          <w:tcPr>
            <w:tcW w:w="0" w:type="auto"/>
          </w:tcPr>
          <w:p w14:paraId="471120E7" w14:textId="69D7BE2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G13D</w:t>
            </w:r>
          </w:p>
        </w:tc>
        <w:tc>
          <w:tcPr>
            <w:tcW w:w="0" w:type="auto"/>
          </w:tcPr>
          <w:p w14:paraId="77281009" w14:textId="3E93DCF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6FC2C78" w14:textId="372353A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342D388" w14:textId="77E6DD57" w:rsidR="00B21051" w:rsidRPr="001065F8" w:rsidRDefault="00EB298C"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w:t>
            </w:r>
            <w:r w:rsidR="007D4DE0" w:rsidRPr="001065F8">
              <w:rPr>
                <w:rFonts w:ascii="Times New Roman" w:hAnsi="Times New Roman" w:cs="Times New Roman"/>
                <w:sz w:val="24"/>
                <w:szCs w:val="24"/>
              </w:rPr>
              <w:t>MMR</w:t>
            </w:r>
            <w:proofErr w:type="spellEnd"/>
          </w:p>
        </w:tc>
      </w:tr>
      <w:tr w:rsidR="00590CE9" w:rsidRPr="001065F8" w14:paraId="66864592" w14:textId="77777777" w:rsidTr="007D4DE0">
        <w:tc>
          <w:tcPr>
            <w:tcW w:w="0" w:type="auto"/>
          </w:tcPr>
          <w:p w14:paraId="566E84F7" w14:textId="5B5275E5"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10</w:t>
            </w:r>
          </w:p>
        </w:tc>
        <w:tc>
          <w:tcPr>
            <w:tcW w:w="0" w:type="auto"/>
          </w:tcPr>
          <w:p w14:paraId="68EFD072" w14:textId="5025DD30"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FOLFIRI + Ziv-aflibercept</w:t>
            </w:r>
          </w:p>
        </w:tc>
        <w:tc>
          <w:tcPr>
            <w:tcW w:w="0" w:type="auto"/>
          </w:tcPr>
          <w:p w14:paraId="531C81A6" w14:textId="1F6F84E5"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w:t>
            </w:r>
          </w:p>
        </w:tc>
        <w:tc>
          <w:tcPr>
            <w:tcW w:w="0" w:type="auto"/>
          </w:tcPr>
          <w:p w14:paraId="07A6AE27" w14:textId="6ADA314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073B06A" w14:textId="3559EF2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1143865D" w14:textId="577E0E4C"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54FB24E6" w14:textId="77777777" w:rsidTr="007D4DE0">
        <w:tc>
          <w:tcPr>
            <w:tcW w:w="0" w:type="auto"/>
          </w:tcPr>
          <w:p w14:paraId="4827DD30" w14:textId="5C7A8C04"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12</w:t>
            </w:r>
          </w:p>
        </w:tc>
        <w:tc>
          <w:tcPr>
            <w:tcW w:w="0" w:type="auto"/>
          </w:tcPr>
          <w:p w14:paraId="3C5D4A89" w14:textId="2508B95A"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FOLFIRI + Bevacizumab, Irinotecan + Cetuximab, Regorafenib, FOLFIRI + Ziv-aflibercept, FOLFOX</w:t>
            </w:r>
          </w:p>
        </w:tc>
        <w:tc>
          <w:tcPr>
            <w:tcW w:w="0" w:type="auto"/>
          </w:tcPr>
          <w:p w14:paraId="62014A47" w14:textId="336B3DC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w:t>
            </w:r>
          </w:p>
        </w:tc>
        <w:tc>
          <w:tcPr>
            <w:tcW w:w="0" w:type="auto"/>
          </w:tcPr>
          <w:p w14:paraId="668B5DD5" w14:textId="16483E8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0B9B9EA1" w14:textId="7DF8027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6C214FB1" w14:textId="32E97BC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24404257" w14:textId="77777777" w:rsidTr="007D4DE0">
        <w:tc>
          <w:tcPr>
            <w:tcW w:w="0" w:type="auto"/>
          </w:tcPr>
          <w:p w14:paraId="41C35F1A" w14:textId="7719A7FE"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13</w:t>
            </w:r>
          </w:p>
        </w:tc>
        <w:tc>
          <w:tcPr>
            <w:tcW w:w="0" w:type="auto"/>
          </w:tcPr>
          <w:p w14:paraId="7F243039" w14:textId="26BDF865"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w:t>
            </w:r>
          </w:p>
        </w:tc>
        <w:tc>
          <w:tcPr>
            <w:tcW w:w="0" w:type="auto"/>
          </w:tcPr>
          <w:p w14:paraId="2A5AFB5C" w14:textId="5462EB9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7F69CD9D" w14:textId="1E4579A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1901EE08" w14:textId="04C45C31"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7A157541" w14:textId="6BA98E70"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496E6373" w14:textId="77777777" w:rsidTr="007D4DE0">
        <w:tc>
          <w:tcPr>
            <w:tcW w:w="0" w:type="auto"/>
          </w:tcPr>
          <w:p w14:paraId="503DC3AB" w14:textId="1DB1A6B0"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14</w:t>
            </w:r>
          </w:p>
        </w:tc>
        <w:tc>
          <w:tcPr>
            <w:tcW w:w="0" w:type="auto"/>
          </w:tcPr>
          <w:p w14:paraId="6C885C92" w14:textId="4BA6B064"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FOLFOX + Bevacizumab, Yttrium-90, Regorafenib</w:t>
            </w:r>
          </w:p>
        </w:tc>
        <w:tc>
          <w:tcPr>
            <w:tcW w:w="0" w:type="auto"/>
          </w:tcPr>
          <w:p w14:paraId="46544AFE" w14:textId="6639CDA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G13D</w:t>
            </w:r>
          </w:p>
        </w:tc>
        <w:tc>
          <w:tcPr>
            <w:tcW w:w="0" w:type="auto"/>
          </w:tcPr>
          <w:p w14:paraId="2ACDD927" w14:textId="25186FF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6106FB5" w14:textId="3671F8C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F9A319F" w14:textId="584256C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r w:rsidR="00590CE9" w:rsidRPr="001065F8" w14:paraId="58365900" w14:textId="77777777" w:rsidTr="007D4DE0">
        <w:tc>
          <w:tcPr>
            <w:tcW w:w="0" w:type="auto"/>
          </w:tcPr>
          <w:p w14:paraId="2AE9FF95" w14:textId="18F2FC9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15</w:t>
            </w:r>
          </w:p>
        </w:tc>
        <w:tc>
          <w:tcPr>
            <w:tcW w:w="0" w:type="auto"/>
          </w:tcPr>
          <w:p w14:paraId="6DFEB192" w14:textId="5B705998"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Ziv-aflibercept, Regorafenib</w:t>
            </w:r>
          </w:p>
        </w:tc>
        <w:tc>
          <w:tcPr>
            <w:tcW w:w="0" w:type="auto"/>
          </w:tcPr>
          <w:p w14:paraId="5EEF21F4" w14:textId="6468397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6F6677C" w14:textId="74E2078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5ECAB5C" w14:textId="6BEAD43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3769B72" w14:textId="0732402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09F57D4A" w14:textId="77777777" w:rsidTr="007D4DE0">
        <w:tc>
          <w:tcPr>
            <w:tcW w:w="0" w:type="auto"/>
          </w:tcPr>
          <w:p w14:paraId="3801471E" w14:textId="61B1C2E9"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16</w:t>
            </w:r>
          </w:p>
        </w:tc>
        <w:tc>
          <w:tcPr>
            <w:tcW w:w="0" w:type="auto"/>
          </w:tcPr>
          <w:p w14:paraId="241215E1" w14:textId="3C24D708"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FOLFIRI, FOLFOX + Bevacizumab</w:t>
            </w:r>
          </w:p>
        </w:tc>
        <w:tc>
          <w:tcPr>
            <w:tcW w:w="0" w:type="auto"/>
          </w:tcPr>
          <w:p w14:paraId="64DE1341" w14:textId="212175F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G12L</w:t>
            </w:r>
          </w:p>
        </w:tc>
        <w:tc>
          <w:tcPr>
            <w:tcW w:w="0" w:type="auto"/>
          </w:tcPr>
          <w:p w14:paraId="36959F7F" w14:textId="1A3917F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514A0C8" w14:textId="094A32A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368E3BD" w14:textId="33BD3DC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2F509820" w14:textId="77777777" w:rsidTr="007D4DE0">
        <w:tc>
          <w:tcPr>
            <w:tcW w:w="0" w:type="auto"/>
          </w:tcPr>
          <w:p w14:paraId="29D43921" w14:textId="41938A43"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17</w:t>
            </w:r>
          </w:p>
        </w:tc>
        <w:tc>
          <w:tcPr>
            <w:tcW w:w="0" w:type="auto"/>
          </w:tcPr>
          <w:p w14:paraId="4DA07823" w14:textId="4EB934ED"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Irinotecan + Cetuximab, Regorafenib</w:t>
            </w:r>
          </w:p>
        </w:tc>
        <w:tc>
          <w:tcPr>
            <w:tcW w:w="0" w:type="auto"/>
          </w:tcPr>
          <w:p w14:paraId="202DA5B1" w14:textId="2788DD2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23A3C03" w14:textId="127C15A1"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F1D0838" w14:textId="34AD354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77D130F8" w14:textId="7E918EAD"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628D332D" w14:textId="77777777" w:rsidTr="007D4DE0">
        <w:tc>
          <w:tcPr>
            <w:tcW w:w="0" w:type="auto"/>
          </w:tcPr>
          <w:p w14:paraId="41E8CB2F" w14:textId="37AB27B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18</w:t>
            </w:r>
          </w:p>
        </w:tc>
        <w:tc>
          <w:tcPr>
            <w:tcW w:w="0" w:type="auto"/>
          </w:tcPr>
          <w:p w14:paraId="1AC78F76" w14:textId="5C2B1FD8"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Irinotecan, Regorafenib</w:t>
            </w:r>
          </w:p>
        </w:tc>
        <w:tc>
          <w:tcPr>
            <w:tcW w:w="0" w:type="auto"/>
          </w:tcPr>
          <w:p w14:paraId="74D75CFC" w14:textId="41CB9BE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G13D</w:t>
            </w:r>
          </w:p>
        </w:tc>
        <w:tc>
          <w:tcPr>
            <w:tcW w:w="0" w:type="auto"/>
          </w:tcPr>
          <w:p w14:paraId="05171574" w14:textId="1DD5347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19EB7D0" w14:textId="7898934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0FE9B01" w14:textId="545B65CD"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5012176E" w14:textId="77777777" w:rsidTr="007D4DE0">
        <w:tc>
          <w:tcPr>
            <w:tcW w:w="0" w:type="auto"/>
          </w:tcPr>
          <w:p w14:paraId="5DF13FEE" w14:textId="4A07253A"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21</w:t>
            </w:r>
          </w:p>
        </w:tc>
        <w:tc>
          <w:tcPr>
            <w:tcW w:w="0" w:type="auto"/>
          </w:tcPr>
          <w:p w14:paraId="0B2E6D99" w14:textId="23948914"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Irinotecan + Panitumumab</w:t>
            </w:r>
          </w:p>
        </w:tc>
        <w:tc>
          <w:tcPr>
            <w:tcW w:w="0" w:type="auto"/>
          </w:tcPr>
          <w:p w14:paraId="0F2F3BC9" w14:textId="0387333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2154026" w14:textId="5C26D92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44AB923" w14:textId="493D2DA1"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1AD4A8E" w14:textId="6D42292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6F5272D0" w14:textId="77777777" w:rsidTr="007D4DE0">
        <w:tc>
          <w:tcPr>
            <w:tcW w:w="0" w:type="auto"/>
          </w:tcPr>
          <w:p w14:paraId="6119BBBD" w14:textId="2588AA06"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lastRenderedPageBreak/>
              <w:t>22</w:t>
            </w:r>
          </w:p>
        </w:tc>
        <w:tc>
          <w:tcPr>
            <w:tcW w:w="0" w:type="auto"/>
          </w:tcPr>
          <w:p w14:paraId="33442744" w14:textId="3C430554"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HAI FUDR</w:t>
            </w:r>
          </w:p>
        </w:tc>
        <w:tc>
          <w:tcPr>
            <w:tcW w:w="0" w:type="auto"/>
          </w:tcPr>
          <w:p w14:paraId="58A31ADE" w14:textId="3722497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044A9536" w14:textId="3BAAFF4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C4AF4EF" w14:textId="6783BE1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22A35722" w14:textId="5A125D17"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4206A262" w14:textId="77777777" w:rsidTr="007D4DE0">
        <w:tc>
          <w:tcPr>
            <w:tcW w:w="0" w:type="auto"/>
          </w:tcPr>
          <w:p w14:paraId="490B8FFF" w14:textId="2CDD512E"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23</w:t>
            </w:r>
          </w:p>
        </w:tc>
        <w:tc>
          <w:tcPr>
            <w:tcW w:w="0" w:type="auto"/>
          </w:tcPr>
          <w:p w14:paraId="5B9FFBFB" w14:textId="4D1110A6"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FOLFOX + Bevacizumab</w:t>
            </w:r>
          </w:p>
        </w:tc>
        <w:tc>
          <w:tcPr>
            <w:tcW w:w="0" w:type="auto"/>
          </w:tcPr>
          <w:p w14:paraId="2392BDED" w14:textId="167FEA3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G60V</w:t>
            </w:r>
          </w:p>
        </w:tc>
        <w:tc>
          <w:tcPr>
            <w:tcW w:w="0" w:type="auto"/>
          </w:tcPr>
          <w:p w14:paraId="4F8CFC99" w14:textId="4016D09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6EC348B4" w14:textId="026BDE7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54C91A66" w14:textId="39BC174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32F2A55A" w14:textId="77777777" w:rsidTr="007D4DE0">
        <w:tc>
          <w:tcPr>
            <w:tcW w:w="0" w:type="auto"/>
          </w:tcPr>
          <w:p w14:paraId="13904F96" w14:textId="6B6FE4C6"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24</w:t>
            </w:r>
          </w:p>
        </w:tc>
        <w:tc>
          <w:tcPr>
            <w:tcW w:w="0" w:type="auto"/>
          </w:tcPr>
          <w:p w14:paraId="2249F9FF" w14:textId="72303B36"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w:t>
            </w:r>
          </w:p>
        </w:tc>
        <w:tc>
          <w:tcPr>
            <w:tcW w:w="0" w:type="auto"/>
          </w:tcPr>
          <w:p w14:paraId="0B087093" w14:textId="12632E9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G12C</w:t>
            </w:r>
          </w:p>
        </w:tc>
        <w:tc>
          <w:tcPr>
            <w:tcW w:w="0" w:type="auto"/>
          </w:tcPr>
          <w:p w14:paraId="5DD36F13" w14:textId="3C4E458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359042C" w14:textId="019D047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5901BE69" w14:textId="32E06686"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66A12C77" w14:textId="77777777" w:rsidTr="007D4DE0">
        <w:tc>
          <w:tcPr>
            <w:tcW w:w="0" w:type="auto"/>
          </w:tcPr>
          <w:p w14:paraId="21BE340E" w14:textId="2BCA1417"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27</w:t>
            </w:r>
          </w:p>
        </w:tc>
        <w:tc>
          <w:tcPr>
            <w:tcW w:w="0" w:type="auto"/>
          </w:tcPr>
          <w:p w14:paraId="18DFC612" w14:textId="2D027249"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HIPEC, FOLFIRI + Ziv-aflibercept</w:t>
            </w:r>
          </w:p>
        </w:tc>
        <w:tc>
          <w:tcPr>
            <w:tcW w:w="0" w:type="auto"/>
          </w:tcPr>
          <w:p w14:paraId="5BBE50DE" w14:textId="47D5667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G12V</w:t>
            </w:r>
          </w:p>
        </w:tc>
        <w:tc>
          <w:tcPr>
            <w:tcW w:w="0" w:type="auto"/>
          </w:tcPr>
          <w:p w14:paraId="2F31348F" w14:textId="1E248AC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DBA189C" w14:textId="0F107CCF"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374ED72A" w14:textId="55280E8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31AD967F" w14:textId="77777777" w:rsidTr="007D4DE0">
        <w:tc>
          <w:tcPr>
            <w:tcW w:w="0" w:type="auto"/>
          </w:tcPr>
          <w:p w14:paraId="5033B2A3" w14:textId="5A147B91"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28</w:t>
            </w:r>
          </w:p>
        </w:tc>
        <w:tc>
          <w:tcPr>
            <w:tcW w:w="0" w:type="auto"/>
          </w:tcPr>
          <w:p w14:paraId="6A58F626" w14:textId="3776282E"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XRT, Capecitabine</w:t>
            </w:r>
          </w:p>
        </w:tc>
        <w:tc>
          <w:tcPr>
            <w:tcW w:w="0" w:type="auto"/>
          </w:tcPr>
          <w:p w14:paraId="71E7EEF6" w14:textId="2DBD838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9C7476E" w14:textId="5466DDE9"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1D0C2EBD" w14:textId="22C6585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7769D216" w14:textId="0BA41DB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r w:rsidR="00590CE9" w:rsidRPr="001065F8" w14:paraId="4E1C1017" w14:textId="77777777" w:rsidTr="007D4DE0">
        <w:tc>
          <w:tcPr>
            <w:tcW w:w="0" w:type="auto"/>
          </w:tcPr>
          <w:p w14:paraId="6B734D64" w14:textId="39188A46"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29</w:t>
            </w:r>
          </w:p>
        </w:tc>
        <w:tc>
          <w:tcPr>
            <w:tcW w:w="0" w:type="auto"/>
          </w:tcPr>
          <w:p w14:paraId="416CEB91" w14:textId="1A75F7D1"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w:t>
            </w:r>
          </w:p>
        </w:tc>
        <w:tc>
          <w:tcPr>
            <w:tcW w:w="0" w:type="auto"/>
          </w:tcPr>
          <w:p w14:paraId="0A95E56F" w14:textId="2DEEBE0D"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338F78F0" w14:textId="6CE32B3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21F7012" w14:textId="7604754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B1B370F" w14:textId="64863F37"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0012D9C9" w14:textId="77777777" w:rsidTr="007D4DE0">
        <w:tc>
          <w:tcPr>
            <w:tcW w:w="0" w:type="auto"/>
          </w:tcPr>
          <w:p w14:paraId="25A233CD" w14:textId="4DFEC7A4"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32</w:t>
            </w:r>
          </w:p>
        </w:tc>
        <w:tc>
          <w:tcPr>
            <w:tcW w:w="0" w:type="auto"/>
          </w:tcPr>
          <w:p w14:paraId="5AA9F319" w14:textId="01C57BB6"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FOLFIRI + Ziv-aflibercept, TAS-102</w:t>
            </w:r>
          </w:p>
        </w:tc>
        <w:tc>
          <w:tcPr>
            <w:tcW w:w="0" w:type="auto"/>
          </w:tcPr>
          <w:p w14:paraId="44DFE5B1" w14:textId="2D4DAF53"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G12D</w:t>
            </w:r>
          </w:p>
        </w:tc>
        <w:tc>
          <w:tcPr>
            <w:tcW w:w="0" w:type="auto"/>
          </w:tcPr>
          <w:p w14:paraId="5C7B8872" w14:textId="314A2F5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A2E72C1" w14:textId="7D618A5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2F51AD3" w14:textId="34AF4217"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7FCD75C8" w14:textId="77777777" w:rsidTr="007D4DE0">
        <w:tc>
          <w:tcPr>
            <w:tcW w:w="0" w:type="auto"/>
          </w:tcPr>
          <w:p w14:paraId="6E39B248" w14:textId="53ADBFFE"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33</w:t>
            </w:r>
          </w:p>
        </w:tc>
        <w:tc>
          <w:tcPr>
            <w:tcW w:w="0" w:type="auto"/>
          </w:tcPr>
          <w:p w14:paraId="36797230" w14:textId="64F16123"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FOLFIRI + Cetuximab</w:t>
            </w:r>
          </w:p>
        </w:tc>
        <w:tc>
          <w:tcPr>
            <w:tcW w:w="0" w:type="auto"/>
          </w:tcPr>
          <w:p w14:paraId="6C1E70A1" w14:textId="5758437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6D3BE7B" w14:textId="451F7F9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43F6766" w14:textId="67E57B63"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F6E916A" w14:textId="32C1BA1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r w:rsidR="00590CE9" w:rsidRPr="001065F8" w14:paraId="16716D01" w14:textId="77777777" w:rsidTr="007D4DE0">
        <w:tc>
          <w:tcPr>
            <w:tcW w:w="0" w:type="auto"/>
          </w:tcPr>
          <w:p w14:paraId="082C779D" w14:textId="06A5D89B"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34</w:t>
            </w:r>
          </w:p>
        </w:tc>
        <w:tc>
          <w:tcPr>
            <w:tcW w:w="0" w:type="auto"/>
          </w:tcPr>
          <w:p w14:paraId="2CF5828D" w14:textId="364927A1"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FOLFOX + Bevacizumab, FOLFIRI + Bevacizumab, FOLFIRI + Panitumumab</w:t>
            </w:r>
          </w:p>
        </w:tc>
        <w:tc>
          <w:tcPr>
            <w:tcW w:w="0" w:type="auto"/>
          </w:tcPr>
          <w:p w14:paraId="619E1DC2" w14:textId="65271EB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09E880B5" w14:textId="1D29EEF2"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379E6271" w14:textId="2D9BC237"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23355DA" w14:textId="777663E1"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r w:rsidR="00590CE9" w:rsidRPr="001065F8" w14:paraId="69EC24FE" w14:textId="77777777" w:rsidTr="007D4DE0">
        <w:tc>
          <w:tcPr>
            <w:tcW w:w="0" w:type="auto"/>
          </w:tcPr>
          <w:p w14:paraId="186F8CEB" w14:textId="1E1D15CC"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35</w:t>
            </w:r>
          </w:p>
        </w:tc>
        <w:tc>
          <w:tcPr>
            <w:tcW w:w="0" w:type="auto"/>
          </w:tcPr>
          <w:p w14:paraId="0A7DC6C7" w14:textId="64ACE2C3"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FOLFOX + Cetuximab, DC vaccine, FOLFIRI + Bevacizumab</w:t>
            </w:r>
          </w:p>
        </w:tc>
        <w:tc>
          <w:tcPr>
            <w:tcW w:w="0" w:type="auto"/>
          </w:tcPr>
          <w:p w14:paraId="163F64A3" w14:textId="79139418"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904785D" w14:textId="64DBA65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V600E</w:t>
            </w:r>
          </w:p>
        </w:tc>
        <w:tc>
          <w:tcPr>
            <w:tcW w:w="0" w:type="auto"/>
          </w:tcPr>
          <w:p w14:paraId="5B8A55A2" w14:textId="59B1446C"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65041D7D" w14:textId="1FC6CAC7"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196D9DA1" w14:textId="77777777" w:rsidTr="007D4DE0">
        <w:tc>
          <w:tcPr>
            <w:tcW w:w="0" w:type="auto"/>
          </w:tcPr>
          <w:p w14:paraId="23540349" w14:textId="2F0B132F"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36</w:t>
            </w:r>
          </w:p>
        </w:tc>
        <w:tc>
          <w:tcPr>
            <w:tcW w:w="0" w:type="auto"/>
          </w:tcPr>
          <w:p w14:paraId="690EC748" w14:textId="346E5BD8" w:rsidR="00B21051" w:rsidRPr="001065F8" w:rsidRDefault="00590CE9" w:rsidP="007D4DE0">
            <w:pPr>
              <w:rPr>
                <w:rFonts w:ascii="Times New Roman" w:hAnsi="Times New Roman" w:cs="Times New Roman"/>
                <w:sz w:val="24"/>
                <w:szCs w:val="24"/>
              </w:rPr>
            </w:pPr>
            <w:r w:rsidRPr="001065F8">
              <w:rPr>
                <w:rFonts w:ascii="Times New Roman" w:hAnsi="Times New Roman" w:cs="Times New Roman"/>
                <w:sz w:val="24"/>
                <w:szCs w:val="24"/>
              </w:rPr>
              <w:t xml:space="preserve">FOLFOX, FOLFIRI + Bevacizumab, </w:t>
            </w:r>
            <w:r w:rsidR="00085976" w:rsidRPr="001065F8">
              <w:rPr>
                <w:rFonts w:ascii="Times New Roman" w:hAnsi="Times New Roman" w:cs="Times New Roman"/>
                <w:sz w:val="24"/>
                <w:szCs w:val="24"/>
              </w:rPr>
              <w:t>Irinotecan + Panitumumab, Regorafenib, TAS-102</w:t>
            </w:r>
          </w:p>
        </w:tc>
        <w:tc>
          <w:tcPr>
            <w:tcW w:w="0" w:type="auto"/>
          </w:tcPr>
          <w:p w14:paraId="77000519" w14:textId="25BAB78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G13D</w:t>
            </w:r>
          </w:p>
        </w:tc>
        <w:tc>
          <w:tcPr>
            <w:tcW w:w="0" w:type="auto"/>
          </w:tcPr>
          <w:p w14:paraId="56D07828" w14:textId="373182D5"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169E7BE9" w14:textId="06100824"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w:t>
            </w:r>
          </w:p>
        </w:tc>
        <w:tc>
          <w:tcPr>
            <w:tcW w:w="0" w:type="auto"/>
          </w:tcPr>
          <w:p w14:paraId="59046A44" w14:textId="6079477F" w:rsidR="00B21051" w:rsidRPr="001065F8" w:rsidRDefault="007D4DE0" w:rsidP="007D4DE0">
            <w:pPr>
              <w:rPr>
                <w:rFonts w:ascii="Times New Roman" w:hAnsi="Times New Roman" w:cs="Times New Roman"/>
                <w:sz w:val="24"/>
                <w:szCs w:val="24"/>
              </w:rPr>
            </w:pPr>
            <w:proofErr w:type="spellStart"/>
            <w:r w:rsidRPr="001065F8">
              <w:rPr>
                <w:rFonts w:ascii="Times New Roman" w:hAnsi="Times New Roman" w:cs="Times New Roman"/>
                <w:sz w:val="24"/>
                <w:szCs w:val="24"/>
              </w:rPr>
              <w:t>pMMR</w:t>
            </w:r>
            <w:proofErr w:type="spellEnd"/>
          </w:p>
        </w:tc>
      </w:tr>
      <w:tr w:rsidR="00590CE9" w:rsidRPr="001065F8" w14:paraId="20C19C47" w14:textId="77777777" w:rsidTr="007D4DE0">
        <w:tc>
          <w:tcPr>
            <w:tcW w:w="0" w:type="auto"/>
          </w:tcPr>
          <w:p w14:paraId="1D44E4AF" w14:textId="2A4ED77B"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37</w:t>
            </w:r>
          </w:p>
        </w:tc>
        <w:tc>
          <w:tcPr>
            <w:tcW w:w="0" w:type="auto"/>
          </w:tcPr>
          <w:p w14:paraId="7705D414" w14:textId="7009680D" w:rsidR="00B21051" w:rsidRPr="001065F8" w:rsidRDefault="00085976" w:rsidP="007D4DE0">
            <w:pPr>
              <w:rPr>
                <w:rFonts w:ascii="Times New Roman" w:hAnsi="Times New Roman" w:cs="Times New Roman"/>
                <w:sz w:val="24"/>
                <w:szCs w:val="24"/>
              </w:rPr>
            </w:pPr>
            <w:r w:rsidRPr="001065F8">
              <w:rPr>
                <w:rFonts w:ascii="Times New Roman" w:hAnsi="Times New Roman" w:cs="Times New Roman"/>
                <w:sz w:val="24"/>
                <w:szCs w:val="24"/>
              </w:rPr>
              <w:t>FOLFIRI + Bevacizumab, FOLFOX + Cetuximab, FOLFIRI + Panitumumab, TAS-102</w:t>
            </w:r>
          </w:p>
        </w:tc>
        <w:tc>
          <w:tcPr>
            <w:tcW w:w="0" w:type="auto"/>
          </w:tcPr>
          <w:p w14:paraId="35A6008C" w14:textId="492BECE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3C6FC94F" w14:textId="0240C2B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278ABC5C" w14:textId="3A3CB6AE"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1068D50A" w14:textId="2DEDCD7A"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r>
      <w:tr w:rsidR="00590CE9" w:rsidRPr="001065F8" w14:paraId="4BA6CFC5" w14:textId="77777777" w:rsidTr="007D4DE0">
        <w:tc>
          <w:tcPr>
            <w:tcW w:w="0" w:type="auto"/>
          </w:tcPr>
          <w:p w14:paraId="3E9519BF" w14:textId="6DF2B2D1" w:rsidR="00B21051" w:rsidRPr="001065F8" w:rsidRDefault="00B21051" w:rsidP="007D4DE0">
            <w:pPr>
              <w:rPr>
                <w:rFonts w:ascii="Times New Roman" w:hAnsi="Times New Roman" w:cs="Times New Roman"/>
                <w:sz w:val="24"/>
                <w:szCs w:val="24"/>
              </w:rPr>
            </w:pPr>
            <w:r w:rsidRPr="001065F8">
              <w:rPr>
                <w:rFonts w:ascii="Times New Roman" w:hAnsi="Times New Roman" w:cs="Times New Roman"/>
                <w:sz w:val="24"/>
                <w:szCs w:val="24"/>
              </w:rPr>
              <w:t>39</w:t>
            </w:r>
          </w:p>
        </w:tc>
        <w:tc>
          <w:tcPr>
            <w:tcW w:w="0" w:type="auto"/>
          </w:tcPr>
          <w:p w14:paraId="790998F0" w14:textId="1149338D" w:rsidR="00B21051" w:rsidRPr="001065F8" w:rsidRDefault="00085976" w:rsidP="007D4DE0">
            <w:pPr>
              <w:rPr>
                <w:rFonts w:ascii="Times New Roman" w:hAnsi="Times New Roman" w:cs="Times New Roman"/>
                <w:sz w:val="24"/>
                <w:szCs w:val="24"/>
              </w:rPr>
            </w:pPr>
            <w:r w:rsidRPr="001065F8">
              <w:rPr>
                <w:rFonts w:ascii="Times New Roman" w:hAnsi="Times New Roman" w:cs="Times New Roman"/>
                <w:sz w:val="24"/>
                <w:szCs w:val="24"/>
              </w:rPr>
              <w:t>FOLFOX + Bevacizumab, Irinotecan + Cetuximab, Capecitabine + Ziv-aflibercept, Regorafenib</w:t>
            </w:r>
          </w:p>
        </w:tc>
        <w:tc>
          <w:tcPr>
            <w:tcW w:w="0" w:type="auto"/>
          </w:tcPr>
          <w:p w14:paraId="003D2641" w14:textId="742C11AB"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WT (NRAS G61R)</w:t>
            </w:r>
          </w:p>
        </w:tc>
        <w:tc>
          <w:tcPr>
            <w:tcW w:w="0" w:type="auto"/>
          </w:tcPr>
          <w:p w14:paraId="44F130DA" w14:textId="73648E80"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73EBFF99" w14:textId="51BE8945"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Unknown</w:t>
            </w:r>
          </w:p>
        </w:tc>
        <w:tc>
          <w:tcPr>
            <w:tcW w:w="0" w:type="auto"/>
          </w:tcPr>
          <w:p w14:paraId="3FB98818" w14:textId="2D5425A6" w:rsidR="00B21051" w:rsidRPr="001065F8" w:rsidRDefault="007D4DE0" w:rsidP="007D4DE0">
            <w:pPr>
              <w:rPr>
                <w:rFonts w:ascii="Times New Roman" w:hAnsi="Times New Roman" w:cs="Times New Roman"/>
                <w:sz w:val="24"/>
                <w:szCs w:val="24"/>
              </w:rPr>
            </w:pPr>
            <w:r w:rsidRPr="001065F8">
              <w:rPr>
                <w:rFonts w:ascii="Times New Roman" w:hAnsi="Times New Roman" w:cs="Times New Roman"/>
                <w:sz w:val="24"/>
                <w:szCs w:val="24"/>
              </w:rPr>
              <w:t>MSS</w:t>
            </w:r>
          </w:p>
        </w:tc>
      </w:tr>
    </w:tbl>
    <w:p w14:paraId="62B979AF" w14:textId="77777777" w:rsidR="00DB36A5" w:rsidRPr="001065F8" w:rsidRDefault="00DB36A5" w:rsidP="00B21051">
      <w:pPr>
        <w:spacing w:line="480" w:lineRule="auto"/>
        <w:rPr>
          <w:rFonts w:ascii="Times New Roman" w:hAnsi="Times New Roman" w:cs="Times New Roman"/>
          <w:sz w:val="24"/>
          <w:szCs w:val="24"/>
        </w:rPr>
      </w:pPr>
    </w:p>
    <w:p w14:paraId="1890EBEC" w14:textId="77777777" w:rsidR="00DB36A5" w:rsidRPr="001065F8" w:rsidRDefault="00DB36A5" w:rsidP="00B21051">
      <w:pPr>
        <w:spacing w:line="480" w:lineRule="auto"/>
        <w:rPr>
          <w:rFonts w:ascii="Times New Roman" w:hAnsi="Times New Roman" w:cs="Times New Roman"/>
          <w:sz w:val="24"/>
          <w:szCs w:val="24"/>
        </w:rPr>
      </w:pPr>
    </w:p>
    <w:p w14:paraId="393C0618" w14:textId="77777777" w:rsidR="00DB36A5" w:rsidRPr="001065F8" w:rsidRDefault="00DB36A5" w:rsidP="00B21051">
      <w:pPr>
        <w:spacing w:line="480" w:lineRule="auto"/>
        <w:rPr>
          <w:rFonts w:ascii="Times New Roman" w:hAnsi="Times New Roman" w:cs="Times New Roman"/>
          <w:sz w:val="24"/>
          <w:szCs w:val="24"/>
        </w:rPr>
      </w:pPr>
    </w:p>
    <w:p w14:paraId="196B9895" w14:textId="77777777" w:rsidR="00DB36A5" w:rsidRPr="001065F8" w:rsidRDefault="00DB36A5" w:rsidP="00B21051">
      <w:pPr>
        <w:spacing w:line="480" w:lineRule="auto"/>
        <w:rPr>
          <w:rFonts w:ascii="Times New Roman" w:hAnsi="Times New Roman" w:cs="Times New Roman"/>
          <w:sz w:val="24"/>
          <w:szCs w:val="24"/>
        </w:rPr>
      </w:pPr>
    </w:p>
    <w:p w14:paraId="7ABE9F42" w14:textId="77777777" w:rsidR="00DB36A5" w:rsidRPr="001065F8" w:rsidRDefault="00DB36A5" w:rsidP="00B21051">
      <w:pPr>
        <w:spacing w:line="480" w:lineRule="auto"/>
        <w:rPr>
          <w:rFonts w:ascii="Times New Roman" w:hAnsi="Times New Roman" w:cs="Times New Roman"/>
          <w:sz w:val="24"/>
          <w:szCs w:val="24"/>
        </w:rPr>
      </w:pPr>
    </w:p>
    <w:p w14:paraId="590874B1" w14:textId="77777777" w:rsidR="00DB36A5" w:rsidRPr="001065F8" w:rsidRDefault="00DB36A5" w:rsidP="00B21051">
      <w:pPr>
        <w:spacing w:line="480" w:lineRule="auto"/>
        <w:rPr>
          <w:rFonts w:ascii="Times New Roman" w:hAnsi="Times New Roman" w:cs="Times New Roman"/>
          <w:sz w:val="24"/>
          <w:szCs w:val="24"/>
        </w:rPr>
      </w:pPr>
    </w:p>
    <w:p w14:paraId="5B856FD6" w14:textId="2AF4471D" w:rsidR="00B21051" w:rsidRPr="001065F8" w:rsidRDefault="00B21051" w:rsidP="00B21051">
      <w:pPr>
        <w:spacing w:line="480" w:lineRule="auto"/>
        <w:rPr>
          <w:rFonts w:ascii="Times New Roman" w:hAnsi="Times New Roman" w:cs="Times New Roman"/>
          <w:sz w:val="24"/>
          <w:szCs w:val="24"/>
        </w:rPr>
      </w:pPr>
      <w:r w:rsidRPr="001065F8">
        <w:rPr>
          <w:rFonts w:ascii="Times New Roman" w:hAnsi="Times New Roman" w:cs="Times New Roman"/>
          <w:b/>
          <w:bCs/>
          <w:sz w:val="24"/>
          <w:szCs w:val="24"/>
        </w:rPr>
        <w:lastRenderedPageBreak/>
        <w:t>Supplemental Table 2</w:t>
      </w:r>
      <w:r w:rsidR="00DB36A5" w:rsidRPr="001065F8">
        <w:rPr>
          <w:rFonts w:ascii="Times New Roman" w:hAnsi="Times New Roman" w:cs="Times New Roman"/>
          <w:b/>
          <w:bCs/>
          <w:sz w:val="24"/>
          <w:szCs w:val="24"/>
        </w:rPr>
        <w:t>.</w:t>
      </w:r>
      <w:r w:rsidR="008D4D11" w:rsidRPr="001065F8">
        <w:rPr>
          <w:rFonts w:ascii="Times New Roman" w:hAnsi="Times New Roman" w:cs="Times New Roman"/>
          <w:sz w:val="24"/>
          <w:szCs w:val="24"/>
        </w:rPr>
        <w:t xml:space="preserve"> IHC antibodies and assay conditions</w:t>
      </w:r>
    </w:p>
    <w:tbl>
      <w:tblPr>
        <w:tblStyle w:val="TableGrid"/>
        <w:tblW w:w="0" w:type="auto"/>
        <w:tblLook w:val="0000" w:firstRow="0" w:lastRow="0" w:firstColumn="0" w:lastColumn="0" w:noHBand="0" w:noVBand="0"/>
      </w:tblPr>
      <w:tblGrid>
        <w:gridCol w:w="1338"/>
        <w:gridCol w:w="1138"/>
        <w:gridCol w:w="1191"/>
        <w:gridCol w:w="1042"/>
        <w:gridCol w:w="1138"/>
        <w:gridCol w:w="1153"/>
        <w:gridCol w:w="1138"/>
        <w:gridCol w:w="1212"/>
      </w:tblGrid>
      <w:tr w:rsidR="008D4D11" w:rsidRPr="001065F8" w14:paraId="341598C8" w14:textId="77777777" w:rsidTr="008D4D11">
        <w:trPr>
          <w:cantSplit/>
          <w:trHeight w:val="20"/>
        </w:trPr>
        <w:tc>
          <w:tcPr>
            <w:tcW w:w="0" w:type="auto"/>
            <w:shd w:val="clear" w:color="auto" w:fill="A5A5A5" w:themeFill="accent3"/>
          </w:tcPr>
          <w:p w14:paraId="7CA6998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Antibody </w:t>
            </w:r>
          </w:p>
        </w:tc>
        <w:tc>
          <w:tcPr>
            <w:tcW w:w="0" w:type="auto"/>
            <w:shd w:val="clear" w:color="auto" w:fill="A5A5A5" w:themeFill="accent3"/>
          </w:tcPr>
          <w:p w14:paraId="1E5C98CD"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PD-L1 </w:t>
            </w:r>
          </w:p>
        </w:tc>
        <w:tc>
          <w:tcPr>
            <w:tcW w:w="0" w:type="auto"/>
            <w:shd w:val="clear" w:color="auto" w:fill="A5A5A5" w:themeFill="accent3"/>
          </w:tcPr>
          <w:p w14:paraId="615EB25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NY-ESO-1 </w:t>
            </w:r>
          </w:p>
        </w:tc>
        <w:tc>
          <w:tcPr>
            <w:tcW w:w="0" w:type="auto"/>
            <w:shd w:val="clear" w:color="auto" w:fill="A5A5A5" w:themeFill="accent3"/>
          </w:tcPr>
          <w:p w14:paraId="08EC5A1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CD3 </w:t>
            </w:r>
          </w:p>
        </w:tc>
        <w:tc>
          <w:tcPr>
            <w:tcW w:w="0" w:type="auto"/>
            <w:shd w:val="clear" w:color="auto" w:fill="A5A5A5" w:themeFill="accent3"/>
          </w:tcPr>
          <w:p w14:paraId="6E4A18A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CD4 </w:t>
            </w:r>
          </w:p>
        </w:tc>
        <w:tc>
          <w:tcPr>
            <w:tcW w:w="0" w:type="auto"/>
            <w:shd w:val="clear" w:color="auto" w:fill="A5A5A5" w:themeFill="accent3"/>
          </w:tcPr>
          <w:p w14:paraId="2BA16E4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CD8 </w:t>
            </w:r>
          </w:p>
        </w:tc>
        <w:tc>
          <w:tcPr>
            <w:tcW w:w="0" w:type="auto"/>
            <w:shd w:val="clear" w:color="auto" w:fill="A5A5A5" w:themeFill="accent3"/>
          </w:tcPr>
          <w:p w14:paraId="6B1073EE"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FOXP3 </w:t>
            </w:r>
          </w:p>
        </w:tc>
        <w:tc>
          <w:tcPr>
            <w:tcW w:w="0" w:type="auto"/>
            <w:shd w:val="clear" w:color="auto" w:fill="A5A5A5" w:themeFill="accent3"/>
          </w:tcPr>
          <w:p w14:paraId="713C5F0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PD-1 </w:t>
            </w:r>
          </w:p>
        </w:tc>
      </w:tr>
      <w:tr w:rsidR="008D4D11" w:rsidRPr="001065F8" w14:paraId="706533C8" w14:textId="77777777" w:rsidTr="008D4D11">
        <w:trPr>
          <w:cantSplit/>
          <w:trHeight w:val="20"/>
        </w:trPr>
        <w:tc>
          <w:tcPr>
            <w:tcW w:w="0" w:type="auto"/>
            <w:shd w:val="clear" w:color="auto" w:fill="E7E6E6" w:themeFill="background2"/>
          </w:tcPr>
          <w:p w14:paraId="3B930E6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Source </w:t>
            </w:r>
          </w:p>
        </w:tc>
        <w:tc>
          <w:tcPr>
            <w:tcW w:w="0" w:type="auto"/>
          </w:tcPr>
          <w:p w14:paraId="139BF51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Merck </w:t>
            </w:r>
          </w:p>
        </w:tc>
        <w:tc>
          <w:tcPr>
            <w:tcW w:w="0" w:type="auto"/>
          </w:tcPr>
          <w:p w14:paraId="61160FE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Sigma </w:t>
            </w:r>
          </w:p>
        </w:tc>
        <w:tc>
          <w:tcPr>
            <w:tcW w:w="0" w:type="auto"/>
          </w:tcPr>
          <w:p w14:paraId="266CF2A0"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Dako </w:t>
            </w:r>
          </w:p>
        </w:tc>
        <w:tc>
          <w:tcPr>
            <w:tcW w:w="0" w:type="auto"/>
          </w:tcPr>
          <w:p w14:paraId="3CA4B892"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Leica </w:t>
            </w:r>
          </w:p>
        </w:tc>
        <w:tc>
          <w:tcPr>
            <w:tcW w:w="0" w:type="auto"/>
          </w:tcPr>
          <w:p w14:paraId="164987B7" w14:textId="77777777" w:rsidR="00DB36A5" w:rsidRPr="001065F8" w:rsidRDefault="00DB36A5" w:rsidP="008D4D11">
            <w:pPr>
              <w:autoSpaceDE w:val="0"/>
              <w:autoSpaceDN w:val="0"/>
              <w:adjustRightInd w:val="0"/>
              <w:rPr>
                <w:rFonts w:ascii="Times New Roman" w:hAnsi="Times New Roman" w:cs="Times New Roman"/>
                <w:color w:val="000000"/>
              </w:rPr>
            </w:pPr>
            <w:proofErr w:type="spellStart"/>
            <w:r w:rsidRPr="001065F8">
              <w:rPr>
                <w:rFonts w:ascii="Times New Roman" w:hAnsi="Times New Roman" w:cs="Times New Roman"/>
                <w:color w:val="000000"/>
              </w:rPr>
              <w:t>eBioscience</w:t>
            </w:r>
            <w:proofErr w:type="spellEnd"/>
            <w:r w:rsidRPr="001065F8">
              <w:rPr>
                <w:rFonts w:ascii="Times New Roman" w:hAnsi="Times New Roman" w:cs="Times New Roman"/>
                <w:color w:val="000000"/>
              </w:rPr>
              <w:t xml:space="preserve"> </w:t>
            </w:r>
          </w:p>
        </w:tc>
        <w:tc>
          <w:tcPr>
            <w:tcW w:w="0" w:type="auto"/>
          </w:tcPr>
          <w:p w14:paraId="1DE846AF" w14:textId="77777777" w:rsidR="00DB36A5" w:rsidRPr="001065F8" w:rsidRDefault="00DB36A5" w:rsidP="008D4D11">
            <w:pPr>
              <w:autoSpaceDE w:val="0"/>
              <w:autoSpaceDN w:val="0"/>
              <w:adjustRightInd w:val="0"/>
              <w:rPr>
                <w:rFonts w:ascii="Times New Roman" w:hAnsi="Times New Roman" w:cs="Times New Roman"/>
                <w:color w:val="000000"/>
              </w:rPr>
            </w:pPr>
            <w:proofErr w:type="spellStart"/>
            <w:r w:rsidRPr="001065F8">
              <w:rPr>
                <w:rFonts w:ascii="Times New Roman" w:hAnsi="Times New Roman" w:cs="Times New Roman"/>
                <w:color w:val="000000"/>
              </w:rPr>
              <w:t>eBioscience</w:t>
            </w:r>
            <w:proofErr w:type="spellEnd"/>
            <w:r w:rsidRPr="001065F8">
              <w:rPr>
                <w:rFonts w:ascii="Times New Roman" w:hAnsi="Times New Roman" w:cs="Times New Roman"/>
                <w:color w:val="000000"/>
              </w:rPr>
              <w:t xml:space="preserve"> </w:t>
            </w:r>
          </w:p>
        </w:tc>
        <w:tc>
          <w:tcPr>
            <w:tcW w:w="0" w:type="auto"/>
          </w:tcPr>
          <w:p w14:paraId="72EC5AD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Abcam </w:t>
            </w:r>
          </w:p>
        </w:tc>
      </w:tr>
      <w:tr w:rsidR="008D4D11" w:rsidRPr="001065F8" w14:paraId="1DA14207" w14:textId="77777777" w:rsidTr="008D4D11">
        <w:trPr>
          <w:cantSplit/>
          <w:trHeight w:val="20"/>
        </w:trPr>
        <w:tc>
          <w:tcPr>
            <w:tcW w:w="0" w:type="auto"/>
            <w:shd w:val="clear" w:color="auto" w:fill="E7E6E6" w:themeFill="background2"/>
          </w:tcPr>
          <w:p w14:paraId="7580657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Catalog # </w:t>
            </w:r>
          </w:p>
        </w:tc>
        <w:tc>
          <w:tcPr>
            <w:tcW w:w="0" w:type="auto"/>
          </w:tcPr>
          <w:p w14:paraId="59C21A3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N/A </w:t>
            </w:r>
          </w:p>
        </w:tc>
        <w:tc>
          <w:tcPr>
            <w:tcW w:w="0" w:type="auto"/>
          </w:tcPr>
          <w:p w14:paraId="0673A30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N2038 </w:t>
            </w:r>
          </w:p>
        </w:tc>
        <w:tc>
          <w:tcPr>
            <w:tcW w:w="0" w:type="auto"/>
          </w:tcPr>
          <w:p w14:paraId="1D429D49"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A0452 </w:t>
            </w:r>
          </w:p>
        </w:tc>
        <w:tc>
          <w:tcPr>
            <w:tcW w:w="0" w:type="auto"/>
          </w:tcPr>
          <w:p w14:paraId="1F98CD8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NCL-L-CD4-1F6 </w:t>
            </w:r>
          </w:p>
        </w:tc>
        <w:tc>
          <w:tcPr>
            <w:tcW w:w="0" w:type="auto"/>
          </w:tcPr>
          <w:p w14:paraId="44110C2E"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14-0085 </w:t>
            </w:r>
          </w:p>
        </w:tc>
        <w:tc>
          <w:tcPr>
            <w:tcW w:w="0" w:type="auto"/>
          </w:tcPr>
          <w:p w14:paraId="5D0D28A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14-4777-80 </w:t>
            </w:r>
          </w:p>
        </w:tc>
        <w:tc>
          <w:tcPr>
            <w:tcW w:w="0" w:type="auto"/>
          </w:tcPr>
          <w:p w14:paraId="5CDCCC9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ab52587 </w:t>
            </w:r>
          </w:p>
        </w:tc>
      </w:tr>
      <w:tr w:rsidR="008D4D11" w:rsidRPr="001065F8" w14:paraId="73E280AC" w14:textId="77777777" w:rsidTr="008D4D11">
        <w:trPr>
          <w:cantSplit/>
          <w:trHeight w:val="20"/>
        </w:trPr>
        <w:tc>
          <w:tcPr>
            <w:tcW w:w="0" w:type="auto"/>
            <w:shd w:val="clear" w:color="auto" w:fill="E7E6E6" w:themeFill="background2"/>
          </w:tcPr>
          <w:p w14:paraId="4E6ECE79"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QML Lot # </w:t>
            </w:r>
          </w:p>
        </w:tc>
        <w:tc>
          <w:tcPr>
            <w:tcW w:w="0" w:type="auto"/>
          </w:tcPr>
          <w:p w14:paraId="0BF3E030"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NT1511 </w:t>
            </w:r>
          </w:p>
        </w:tc>
        <w:tc>
          <w:tcPr>
            <w:tcW w:w="0" w:type="auto"/>
          </w:tcPr>
          <w:p w14:paraId="25EC37F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NT2018 </w:t>
            </w:r>
          </w:p>
        </w:tc>
        <w:tc>
          <w:tcPr>
            <w:tcW w:w="0" w:type="auto"/>
          </w:tcPr>
          <w:p w14:paraId="722B4D0D"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NT2025 </w:t>
            </w:r>
          </w:p>
        </w:tc>
        <w:tc>
          <w:tcPr>
            <w:tcW w:w="0" w:type="auto"/>
          </w:tcPr>
          <w:p w14:paraId="0237DB8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NT1641 </w:t>
            </w:r>
          </w:p>
        </w:tc>
        <w:tc>
          <w:tcPr>
            <w:tcW w:w="0" w:type="auto"/>
          </w:tcPr>
          <w:p w14:paraId="33ED3118"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NT2723 </w:t>
            </w:r>
          </w:p>
        </w:tc>
        <w:tc>
          <w:tcPr>
            <w:tcW w:w="0" w:type="auto"/>
          </w:tcPr>
          <w:p w14:paraId="2D812CE8"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NT2722 </w:t>
            </w:r>
          </w:p>
        </w:tc>
        <w:tc>
          <w:tcPr>
            <w:tcW w:w="0" w:type="auto"/>
          </w:tcPr>
          <w:p w14:paraId="4FA479D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NT2721 </w:t>
            </w:r>
          </w:p>
        </w:tc>
      </w:tr>
      <w:tr w:rsidR="008D4D11" w:rsidRPr="001065F8" w14:paraId="1EF3CBEF" w14:textId="77777777" w:rsidTr="008D4D11">
        <w:trPr>
          <w:cantSplit/>
          <w:trHeight w:val="20"/>
        </w:trPr>
        <w:tc>
          <w:tcPr>
            <w:tcW w:w="0" w:type="auto"/>
            <w:shd w:val="clear" w:color="auto" w:fill="E7E6E6" w:themeFill="background2"/>
          </w:tcPr>
          <w:p w14:paraId="536F2B5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Vendor Lot # </w:t>
            </w:r>
          </w:p>
        </w:tc>
        <w:tc>
          <w:tcPr>
            <w:tcW w:w="0" w:type="auto"/>
          </w:tcPr>
          <w:p w14:paraId="6ADE6EF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N/A </w:t>
            </w:r>
          </w:p>
        </w:tc>
        <w:tc>
          <w:tcPr>
            <w:tcW w:w="0" w:type="auto"/>
          </w:tcPr>
          <w:p w14:paraId="7253C2B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025M4801V </w:t>
            </w:r>
          </w:p>
        </w:tc>
        <w:tc>
          <w:tcPr>
            <w:tcW w:w="0" w:type="auto"/>
          </w:tcPr>
          <w:p w14:paraId="126196F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20020069 </w:t>
            </w:r>
          </w:p>
        </w:tc>
        <w:tc>
          <w:tcPr>
            <w:tcW w:w="0" w:type="auto"/>
          </w:tcPr>
          <w:p w14:paraId="44E922E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6014648 </w:t>
            </w:r>
          </w:p>
        </w:tc>
        <w:tc>
          <w:tcPr>
            <w:tcW w:w="0" w:type="auto"/>
          </w:tcPr>
          <w:p w14:paraId="3EEDA37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1936473 </w:t>
            </w:r>
          </w:p>
        </w:tc>
        <w:tc>
          <w:tcPr>
            <w:tcW w:w="0" w:type="auto"/>
          </w:tcPr>
          <w:p w14:paraId="3DA5872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1969041 </w:t>
            </w:r>
          </w:p>
        </w:tc>
        <w:tc>
          <w:tcPr>
            <w:tcW w:w="0" w:type="auto"/>
          </w:tcPr>
          <w:p w14:paraId="123F3C2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GR3174613-8 </w:t>
            </w:r>
          </w:p>
        </w:tc>
      </w:tr>
      <w:tr w:rsidR="008D4D11" w:rsidRPr="001065F8" w14:paraId="6858BA14" w14:textId="77777777" w:rsidTr="008D4D11">
        <w:trPr>
          <w:cantSplit/>
          <w:trHeight w:val="20"/>
        </w:trPr>
        <w:tc>
          <w:tcPr>
            <w:tcW w:w="0" w:type="auto"/>
            <w:shd w:val="clear" w:color="auto" w:fill="E7E6E6" w:themeFill="background2"/>
          </w:tcPr>
          <w:p w14:paraId="09E35DE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Isotype/Clone </w:t>
            </w:r>
          </w:p>
        </w:tc>
        <w:tc>
          <w:tcPr>
            <w:tcW w:w="0" w:type="auto"/>
          </w:tcPr>
          <w:p w14:paraId="729624B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c>
          <w:tcPr>
            <w:tcW w:w="0" w:type="auto"/>
          </w:tcPr>
          <w:p w14:paraId="050C148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c>
          <w:tcPr>
            <w:tcW w:w="0" w:type="auto"/>
          </w:tcPr>
          <w:p w14:paraId="3B7BEC1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Rabbit IgG </w:t>
            </w:r>
          </w:p>
        </w:tc>
        <w:tc>
          <w:tcPr>
            <w:tcW w:w="0" w:type="auto"/>
          </w:tcPr>
          <w:p w14:paraId="1C1CE38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c>
          <w:tcPr>
            <w:tcW w:w="0" w:type="auto"/>
          </w:tcPr>
          <w:p w14:paraId="1B52971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c>
          <w:tcPr>
            <w:tcW w:w="0" w:type="auto"/>
          </w:tcPr>
          <w:p w14:paraId="4A7AA199"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c>
          <w:tcPr>
            <w:tcW w:w="0" w:type="auto"/>
          </w:tcPr>
          <w:p w14:paraId="5D96416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IgG1 </w:t>
            </w:r>
          </w:p>
        </w:tc>
      </w:tr>
      <w:tr w:rsidR="008D4D11" w:rsidRPr="001065F8" w14:paraId="406EAA2A" w14:textId="77777777" w:rsidTr="008D4D11">
        <w:trPr>
          <w:cantSplit/>
          <w:trHeight w:val="20"/>
        </w:trPr>
        <w:tc>
          <w:tcPr>
            <w:tcW w:w="0" w:type="auto"/>
            <w:shd w:val="clear" w:color="auto" w:fill="E7E6E6" w:themeFill="background2"/>
          </w:tcPr>
          <w:p w14:paraId="2EE7760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Clone </w:t>
            </w:r>
          </w:p>
        </w:tc>
        <w:tc>
          <w:tcPr>
            <w:tcW w:w="0" w:type="auto"/>
          </w:tcPr>
          <w:p w14:paraId="00A8699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57E7F81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22C3 </w:t>
            </w:r>
          </w:p>
        </w:tc>
        <w:tc>
          <w:tcPr>
            <w:tcW w:w="0" w:type="auto"/>
          </w:tcPr>
          <w:p w14:paraId="792628B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47F57C1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E978 </w:t>
            </w:r>
          </w:p>
        </w:tc>
        <w:tc>
          <w:tcPr>
            <w:tcW w:w="0" w:type="auto"/>
          </w:tcPr>
          <w:p w14:paraId="2FA5E5B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Polyclonal </w:t>
            </w:r>
          </w:p>
        </w:tc>
        <w:tc>
          <w:tcPr>
            <w:tcW w:w="0" w:type="auto"/>
          </w:tcPr>
          <w:p w14:paraId="0A6A0D7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2192AD3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4B12 </w:t>
            </w:r>
          </w:p>
        </w:tc>
        <w:tc>
          <w:tcPr>
            <w:tcW w:w="0" w:type="auto"/>
          </w:tcPr>
          <w:p w14:paraId="130B4EC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33D8F1B2"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C8/144B </w:t>
            </w:r>
          </w:p>
        </w:tc>
        <w:tc>
          <w:tcPr>
            <w:tcW w:w="0" w:type="auto"/>
          </w:tcPr>
          <w:p w14:paraId="24BCFA4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00D9591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236A/E7 </w:t>
            </w:r>
          </w:p>
        </w:tc>
        <w:tc>
          <w:tcPr>
            <w:tcW w:w="0" w:type="auto"/>
          </w:tcPr>
          <w:p w14:paraId="2D3CB502"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Monoclonal </w:t>
            </w:r>
          </w:p>
          <w:p w14:paraId="0CF8D0C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NAT105 </w:t>
            </w:r>
          </w:p>
        </w:tc>
      </w:tr>
      <w:tr w:rsidR="008D4D11" w:rsidRPr="001065F8" w14:paraId="26A68810" w14:textId="77777777" w:rsidTr="008D4D11">
        <w:trPr>
          <w:cantSplit/>
          <w:trHeight w:val="20"/>
        </w:trPr>
        <w:tc>
          <w:tcPr>
            <w:tcW w:w="0" w:type="auto"/>
            <w:shd w:val="clear" w:color="auto" w:fill="E7E6E6" w:themeFill="background2"/>
          </w:tcPr>
          <w:p w14:paraId="7082E81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Dilution </w:t>
            </w:r>
          </w:p>
        </w:tc>
        <w:tc>
          <w:tcPr>
            <w:tcW w:w="0" w:type="auto"/>
          </w:tcPr>
          <w:p w14:paraId="690F4A0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2.0ug/mL </w:t>
            </w:r>
          </w:p>
        </w:tc>
        <w:tc>
          <w:tcPr>
            <w:tcW w:w="0" w:type="auto"/>
          </w:tcPr>
          <w:p w14:paraId="0A987A1E"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1.5ug/mL </w:t>
            </w:r>
          </w:p>
        </w:tc>
        <w:tc>
          <w:tcPr>
            <w:tcW w:w="0" w:type="auto"/>
          </w:tcPr>
          <w:p w14:paraId="1691768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1:250 </w:t>
            </w:r>
          </w:p>
        </w:tc>
        <w:tc>
          <w:tcPr>
            <w:tcW w:w="0" w:type="auto"/>
          </w:tcPr>
          <w:p w14:paraId="657C6078"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5.0ug/mL </w:t>
            </w:r>
          </w:p>
        </w:tc>
        <w:tc>
          <w:tcPr>
            <w:tcW w:w="0" w:type="auto"/>
          </w:tcPr>
          <w:p w14:paraId="6F8DD679"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0.375ug/mL </w:t>
            </w:r>
          </w:p>
        </w:tc>
        <w:tc>
          <w:tcPr>
            <w:tcW w:w="0" w:type="auto"/>
          </w:tcPr>
          <w:p w14:paraId="2F69DBF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3.0ug/mL </w:t>
            </w:r>
          </w:p>
        </w:tc>
        <w:tc>
          <w:tcPr>
            <w:tcW w:w="0" w:type="auto"/>
          </w:tcPr>
          <w:p w14:paraId="0B285DE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2.0ug/mL </w:t>
            </w:r>
          </w:p>
        </w:tc>
      </w:tr>
      <w:tr w:rsidR="008D4D11" w:rsidRPr="001065F8" w14:paraId="6FAD5DCA" w14:textId="77777777" w:rsidTr="008D4D11">
        <w:trPr>
          <w:cantSplit/>
          <w:trHeight w:val="20"/>
        </w:trPr>
        <w:tc>
          <w:tcPr>
            <w:tcW w:w="0" w:type="auto"/>
            <w:shd w:val="clear" w:color="auto" w:fill="E7E6E6" w:themeFill="background2"/>
          </w:tcPr>
          <w:p w14:paraId="5DBE82E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Incubation Time </w:t>
            </w:r>
          </w:p>
        </w:tc>
        <w:tc>
          <w:tcPr>
            <w:tcW w:w="0" w:type="auto"/>
          </w:tcPr>
          <w:p w14:paraId="70B202B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O/N </w:t>
            </w:r>
          </w:p>
        </w:tc>
        <w:tc>
          <w:tcPr>
            <w:tcW w:w="0" w:type="auto"/>
          </w:tcPr>
          <w:p w14:paraId="781ECB9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2 hours </w:t>
            </w:r>
          </w:p>
        </w:tc>
        <w:tc>
          <w:tcPr>
            <w:tcW w:w="0" w:type="auto"/>
          </w:tcPr>
          <w:p w14:paraId="5074769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 hour </w:t>
            </w:r>
          </w:p>
        </w:tc>
        <w:tc>
          <w:tcPr>
            <w:tcW w:w="0" w:type="auto"/>
          </w:tcPr>
          <w:p w14:paraId="1EF6042D"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1 hour </w:t>
            </w:r>
          </w:p>
        </w:tc>
        <w:tc>
          <w:tcPr>
            <w:tcW w:w="0" w:type="auto"/>
          </w:tcPr>
          <w:p w14:paraId="5F0B083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O/N </w:t>
            </w:r>
          </w:p>
        </w:tc>
        <w:tc>
          <w:tcPr>
            <w:tcW w:w="0" w:type="auto"/>
          </w:tcPr>
          <w:p w14:paraId="454705F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O/N </w:t>
            </w:r>
          </w:p>
        </w:tc>
        <w:tc>
          <w:tcPr>
            <w:tcW w:w="0" w:type="auto"/>
          </w:tcPr>
          <w:p w14:paraId="50BCA25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O/N </w:t>
            </w:r>
          </w:p>
        </w:tc>
      </w:tr>
      <w:tr w:rsidR="008D4D11" w:rsidRPr="001065F8" w14:paraId="49A5AE61" w14:textId="77777777" w:rsidTr="008D4D11">
        <w:trPr>
          <w:cantSplit/>
          <w:trHeight w:val="20"/>
        </w:trPr>
        <w:tc>
          <w:tcPr>
            <w:tcW w:w="0" w:type="auto"/>
            <w:shd w:val="clear" w:color="auto" w:fill="E7E6E6" w:themeFill="background2"/>
          </w:tcPr>
          <w:p w14:paraId="68F3FB5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Pre-treatment </w:t>
            </w:r>
          </w:p>
        </w:tc>
        <w:tc>
          <w:tcPr>
            <w:tcW w:w="0" w:type="auto"/>
          </w:tcPr>
          <w:p w14:paraId="72FDA38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2 + Proteinase K </w:t>
            </w:r>
          </w:p>
        </w:tc>
        <w:tc>
          <w:tcPr>
            <w:tcW w:w="0" w:type="auto"/>
          </w:tcPr>
          <w:p w14:paraId="0778307E"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8 + Proteinase K </w:t>
            </w:r>
          </w:p>
        </w:tc>
        <w:tc>
          <w:tcPr>
            <w:tcW w:w="0" w:type="auto"/>
          </w:tcPr>
          <w:p w14:paraId="28E9045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2, No Enzyme </w:t>
            </w:r>
          </w:p>
        </w:tc>
        <w:tc>
          <w:tcPr>
            <w:tcW w:w="0" w:type="auto"/>
          </w:tcPr>
          <w:p w14:paraId="0E58BB7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4 + Proteinase K </w:t>
            </w:r>
          </w:p>
        </w:tc>
        <w:tc>
          <w:tcPr>
            <w:tcW w:w="0" w:type="auto"/>
          </w:tcPr>
          <w:p w14:paraId="7D1CF56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2, No Enzyme </w:t>
            </w:r>
          </w:p>
        </w:tc>
        <w:tc>
          <w:tcPr>
            <w:tcW w:w="0" w:type="auto"/>
          </w:tcPr>
          <w:p w14:paraId="5B00936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2, No Enzyme </w:t>
            </w:r>
          </w:p>
        </w:tc>
        <w:tc>
          <w:tcPr>
            <w:tcW w:w="0" w:type="auto"/>
          </w:tcPr>
          <w:p w14:paraId="40243F8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SHIER 2, No Enzyme </w:t>
            </w:r>
          </w:p>
        </w:tc>
      </w:tr>
      <w:tr w:rsidR="008D4D11" w:rsidRPr="001065F8" w14:paraId="70AC428E" w14:textId="77777777" w:rsidTr="008D4D11">
        <w:trPr>
          <w:cantSplit/>
          <w:trHeight w:val="20"/>
        </w:trPr>
        <w:tc>
          <w:tcPr>
            <w:tcW w:w="0" w:type="auto"/>
            <w:shd w:val="clear" w:color="auto" w:fill="E7E6E6" w:themeFill="background2"/>
          </w:tcPr>
          <w:p w14:paraId="741F89A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Protocol </w:t>
            </w:r>
          </w:p>
        </w:tc>
        <w:tc>
          <w:tcPr>
            <w:tcW w:w="0" w:type="auto"/>
          </w:tcPr>
          <w:p w14:paraId="78F0409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MIPE </w:t>
            </w:r>
          </w:p>
        </w:tc>
        <w:tc>
          <w:tcPr>
            <w:tcW w:w="0" w:type="auto"/>
          </w:tcPr>
          <w:p w14:paraId="33EA4C1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MIPE </w:t>
            </w:r>
          </w:p>
        </w:tc>
        <w:tc>
          <w:tcPr>
            <w:tcW w:w="0" w:type="auto"/>
          </w:tcPr>
          <w:p w14:paraId="3E764F4C"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 </w:t>
            </w:r>
          </w:p>
        </w:tc>
        <w:tc>
          <w:tcPr>
            <w:tcW w:w="0" w:type="auto"/>
          </w:tcPr>
          <w:p w14:paraId="5BCCE5E2"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MIPE </w:t>
            </w:r>
          </w:p>
        </w:tc>
        <w:tc>
          <w:tcPr>
            <w:tcW w:w="0" w:type="auto"/>
          </w:tcPr>
          <w:p w14:paraId="5E9BEFA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 </w:t>
            </w:r>
          </w:p>
        </w:tc>
        <w:tc>
          <w:tcPr>
            <w:tcW w:w="0" w:type="auto"/>
          </w:tcPr>
          <w:p w14:paraId="1F46EB96"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MIPE </w:t>
            </w:r>
          </w:p>
        </w:tc>
        <w:tc>
          <w:tcPr>
            <w:tcW w:w="0" w:type="auto"/>
          </w:tcPr>
          <w:p w14:paraId="7EC89941"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MIP </w:t>
            </w:r>
          </w:p>
        </w:tc>
      </w:tr>
      <w:tr w:rsidR="008D4D11" w:rsidRPr="001065F8" w14:paraId="292372BA" w14:textId="77777777" w:rsidTr="008D4D11">
        <w:trPr>
          <w:cantSplit/>
          <w:trHeight w:val="20"/>
        </w:trPr>
        <w:tc>
          <w:tcPr>
            <w:tcW w:w="0" w:type="auto"/>
            <w:shd w:val="clear" w:color="auto" w:fill="E7E6E6" w:themeFill="background2"/>
          </w:tcPr>
          <w:p w14:paraId="1B8229D0"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Detection System </w:t>
            </w:r>
          </w:p>
        </w:tc>
        <w:tc>
          <w:tcPr>
            <w:tcW w:w="0" w:type="auto"/>
          </w:tcPr>
          <w:p w14:paraId="6B8ADD83" w14:textId="77777777" w:rsidR="00DB36A5" w:rsidRPr="001065F8" w:rsidRDefault="00DB36A5" w:rsidP="008D4D11">
            <w:pPr>
              <w:autoSpaceDE w:val="0"/>
              <w:autoSpaceDN w:val="0"/>
              <w:adjustRightInd w:val="0"/>
              <w:rPr>
                <w:rFonts w:ascii="Times New Roman" w:hAnsi="Times New Roman" w:cs="Times New Roman"/>
                <w:color w:val="000000"/>
              </w:rPr>
            </w:pPr>
            <w:proofErr w:type="spellStart"/>
            <w:r w:rsidRPr="001065F8">
              <w:rPr>
                <w:rFonts w:ascii="Times New Roman" w:hAnsi="Times New Roman" w:cs="Times New Roman"/>
                <w:color w:val="000000"/>
              </w:rPr>
              <w:t>EnVision</w:t>
            </w:r>
            <w:proofErr w:type="spellEnd"/>
            <w:r w:rsidRPr="001065F8">
              <w:rPr>
                <w:rFonts w:ascii="Times New Roman" w:hAnsi="Times New Roman" w:cs="Times New Roman"/>
                <w:color w:val="000000"/>
              </w:rPr>
              <w:t xml:space="preserve"> FLEX+ HRP Mouse </w:t>
            </w:r>
          </w:p>
        </w:tc>
        <w:tc>
          <w:tcPr>
            <w:tcW w:w="0" w:type="auto"/>
          </w:tcPr>
          <w:p w14:paraId="4960D955"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w:t>
            </w:r>
          </w:p>
          <w:p w14:paraId="237E7DB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w:t>
            </w:r>
          </w:p>
        </w:tc>
        <w:tc>
          <w:tcPr>
            <w:tcW w:w="0" w:type="auto"/>
          </w:tcPr>
          <w:p w14:paraId="46A9247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Rabbit </w:t>
            </w:r>
          </w:p>
        </w:tc>
        <w:tc>
          <w:tcPr>
            <w:tcW w:w="0" w:type="auto"/>
          </w:tcPr>
          <w:p w14:paraId="61E93E1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w:t>
            </w:r>
          </w:p>
          <w:p w14:paraId="4C0046D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w:t>
            </w:r>
          </w:p>
        </w:tc>
        <w:tc>
          <w:tcPr>
            <w:tcW w:w="0" w:type="auto"/>
          </w:tcPr>
          <w:p w14:paraId="41AB307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w:t>
            </w:r>
          </w:p>
          <w:p w14:paraId="5F6F87E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w:t>
            </w:r>
          </w:p>
        </w:tc>
        <w:tc>
          <w:tcPr>
            <w:tcW w:w="0" w:type="auto"/>
          </w:tcPr>
          <w:p w14:paraId="54BD3248"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w:t>
            </w:r>
          </w:p>
          <w:p w14:paraId="793EE90B"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w:t>
            </w:r>
          </w:p>
        </w:tc>
        <w:tc>
          <w:tcPr>
            <w:tcW w:w="0" w:type="auto"/>
          </w:tcPr>
          <w:p w14:paraId="7D7F329E"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Polink-2 Plus HRP </w:t>
            </w:r>
          </w:p>
          <w:p w14:paraId="13C5DFB2"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Mouse </w:t>
            </w:r>
          </w:p>
        </w:tc>
      </w:tr>
      <w:tr w:rsidR="008D4D11" w:rsidRPr="001065F8" w14:paraId="0B654038" w14:textId="77777777" w:rsidTr="008D4D11">
        <w:trPr>
          <w:cantSplit/>
          <w:trHeight w:val="20"/>
        </w:trPr>
        <w:tc>
          <w:tcPr>
            <w:tcW w:w="0" w:type="auto"/>
            <w:shd w:val="clear" w:color="auto" w:fill="E7E6E6" w:themeFill="background2"/>
          </w:tcPr>
          <w:p w14:paraId="4FF512D9"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b/>
                <w:bCs/>
                <w:color w:val="000000"/>
              </w:rPr>
              <w:t xml:space="preserve">Sub-Cellular Localization </w:t>
            </w:r>
          </w:p>
        </w:tc>
        <w:tc>
          <w:tcPr>
            <w:tcW w:w="0" w:type="auto"/>
          </w:tcPr>
          <w:p w14:paraId="07E1016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Plasma Membrane </w:t>
            </w:r>
          </w:p>
        </w:tc>
        <w:tc>
          <w:tcPr>
            <w:tcW w:w="0" w:type="auto"/>
          </w:tcPr>
          <w:p w14:paraId="5DFF757A"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Nucleus &amp; Cytoplasm </w:t>
            </w:r>
          </w:p>
        </w:tc>
        <w:tc>
          <w:tcPr>
            <w:tcW w:w="0" w:type="auto"/>
          </w:tcPr>
          <w:p w14:paraId="2C4AB7D7"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Plasma Membrane </w:t>
            </w:r>
          </w:p>
        </w:tc>
        <w:tc>
          <w:tcPr>
            <w:tcW w:w="0" w:type="auto"/>
          </w:tcPr>
          <w:p w14:paraId="497B89DF"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Plasma Membrane </w:t>
            </w:r>
          </w:p>
        </w:tc>
        <w:tc>
          <w:tcPr>
            <w:tcW w:w="0" w:type="auto"/>
          </w:tcPr>
          <w:p w14:paraId="236516E4"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Plasma Membrane </w:t>
            </w:r>
          </w:p>
        </w:tc>
        <w:tc>
          <w:tcPr>
            <w:tcW w:w="0" w:type="auto"/>
          </w:tcPr>
          <w:p w14:paraId="782BEB5D"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Nucleus </w:t>
            </w:r>
          </w:p>
        </w:tc>
        <w:tc>
          <w:tcPr>
            <w:tcW w:w="0" w:type="auto"/>
          </w:tcPr>
          <w:p w14:paraId="47F13403" w14:textId="77777777" w:rsidR="00DB36A5" w:rsidRPr="001065F8" w:rsidRDefault="00DB36A5" w:rsidP="008D4D11">
            <w:pPr>
              <w:autoSpaceDE w:val="0"/>
              <w:autoSpaceDN w:val="0"/>
              <w:adjustRightInd w:val="0"/>
              <w:rPr>
                <w:rFonts w:ascii="Times New Roman" w:hAnsi="Times New Roman" w:cs="Times New Roman"/>
                <w:color w:val="000000"/>
              </w:rPr>
            </w:pPr>
            <w:r w:rsidRPr="001065F8">
              <w:rPr>
                <w:rFonts w:ascii="Times New Roman" w:hAnsi="Times New Roman" w:cs="Times New Roman"/>
                <w:color w:val="000000"/>
              </w:rPr>
              <w:t xml:space="preserve">Plasma Membrane </w:t>
            </w:r>
          </w:p>
        </w:tc>
      </w:tr>
    </w:tbl>
    <w:p w14:paraId="3C59BD7E" w14:textId="77777777" w:rsidR="00B21051" w:rsidRPr="001065F8" w:rsidRDefault="00B21051" w:rsidP="00B21051">
      <w:pPr>
        <w:spacing w:line="480" w:lineRule="auto"/>
        <w:rPr>
          <w:rFonts w:ascii="Times New Roman" w:hAnsi="Times New Roman" w:cs="Times New Roman"/>
          <w:sz w:val="24"/>
          <w:szCs w:val="24"/>
        </w:rPr>
      </w:pPr>
    </w:p>
    <w:p w14:paraId="4EB40C01" w14:textId="77777777" w:rsidR="00B21051" w:rsidRPr="001065F8" w:rsidRDefault="00B21051" w:rsidP="00B21051">
      <w:pPr>
        <w:spacing w:line="480" w:lineRule="auto"/>
        <w:rPr>
          <w:rFonts w:ascii="Times New Roman" w:hAnsi="Times New Roman" w:cs="Times New Roman"/>
          <w:sz w:val="24"/>
          <w:szCs w:val="24"/>
        </w:rPr>
      </w:pPr>
    </w:p>
    <w:p w14:paraId="381B8339" w14:textId="77777777" w:rsidR="008D4D11" w:rsidRPr="001065F8" w:rsidRDefault="008D4D11" w:rsidP="00B21051">
      <w:pPr>
        <w:spacing w:line="480" w:lineRule="auto"/>
        <w:rPr>
          <w:rFonts w:ascii="Times New Roman" w:hAnsi="Times New Roman" w:cs="Times New Roman"/>
          <w:sz w:val="24"/>
          <w:szCs w:val="24"/>
        </w:rPr>
      </w:pPr>
    </w:p>
    <w:p w14:paraId="3635DC62" w14:textId="77777777" w:rsidR="008D4D11" w:rsidRPr="001065F8" w:rsidRDefault="008D4D11" w:rsidP="00B21051">
      <w:pPr>
        <w:spacing w:line="480" w:lineRule="auto"/>
        <w:rPr>
          <w:rFonts w:ascii="Times New Roman" w:hAnsi="Times New Roman" w:cs="Times New Roman"/>
          <w:sz w:val="24"/>
          <w:szCs w:val="24"/>
        </w:rPr>
      </w:pPr>
    </w:p>
    <w:p w14:paraId="7DFCF1D4" w14:textId="77777777" w:rsidR="008D4D11" w:rsidRPr="001065F8" w:rsidRDefault="008D4D11" w:rsidP="00B21051">
      <w:pPr>
        <w:spacing w:line="480" w:lineRule="auto"/>
        <w:rPr>
          <w:rFonts w:ascii="Times New Roman" w:hAnsi="Times New Roman" w:cs="Times New Roman"/>
          <w:sz w:val="24"/>
          <w:szCs w:val="24"/>
        </w:rPr>
      </w:pPr>
    </w:p>
    <w:p w14:paraId="17D24375" w14:textId="77777777" w:rsidR="008D4D11" w:rsidRPr="001065F8" w:rsidRDefault="008D4D11" w:rsidP="00B21051">
      <w:pPr>
        <w:spacing w:line="480" w:lineRule="auto"/>
        <w:rPr>
          <w:rFonts w:ascii="Times New Roman" w:hAnsi="Times New Roman" w:cs="Times New Roman"/>
          <w:sz w:val="24"/>
          <w:szCs w:val="24"/>
        </w:rPr>
      </w:pPr>
    </w:p>
    <w:p w14:paraId="5677DB81" w14:textId="6BD65044" w:rsidR="00B21051" w:rsidRPr="001065F8" w:rsidRDefault="00B21051" w:rsidP="00B21051">
      <w:pPr>
        <w:spacing w:line="480" w:lineRule="auto"/>
        <w:rPr>
          <w:rFonts w:ascii="Times New Roman Bold" w:hAnsi="Times New Roman Bold" w:cs="Times New Roman"/>
          <w:b/>
          <w:caps/>
          <w:sz w:val="24"/>
          <w:szCs w:val="24"/>
        </w:rPr>
      </w:pPr>
      <w:r w:rsidRPr="001065F8">
        <w:rPr>
          <w:rFonts w:ascii="Times New Roman Bold" w:hAnsi="Times New Roman Bold" w:cs="Times New Roman"/>
          <w:b/>
          <w:caps/>
          <w:sz w:val="24"/>
          <w:szCs w:val="24"/>
        </w:rPr>
        <w:lastRenderedPageBreak/>
        <w:t>Supplemental Figure Legends</w:t>
      </w:r>
    </w:p>
    <w:p w14:paraId="3CB7C56A" w14:textId="77777777" w:rsidR="0045587A" w:rsidRPr="001065F8" w:rsidRDefault="0045587A" w:rsidP="00B21051">
      <w:pPr>
        <w:spacing w:line="480" w:lineRule="auto"/>
        <w:rPr>
          <w:rFonts w:ascii="Times New Roman" w:hAnsi="Times New Roman" w:cs="Times New Roman"/>
          <w:b/>
          <w:bCs/>
          <w:sz w:val="24"/>
          <w:szCs w:val="24"/>
        </w:rPr>
      </w:pPr>
    </w:p>
    <w:p w14:paraId="08F0099A" w14:textId="4069D9F3" w:rsidR="00B21051" w:rsidRPr="001065F8" w:rsidRDefault="0045587A" w:rsidP="00B21051">
      <w:pPr>
        <w:spacing w:line="480" w:lineRule="auto"/>
        <w:rPr>
          <w:rFonts w:ascii="Times New Roman" w:hAnsi="Times New Roman" w:cs="Times New Roman"/>
          <w:sz w:val="24"/>
          <w:szCs w:val="24"/>
        </w:rPr>
      </w:pPr>
      <w:r w:rsidRPr="001065F8">
        <w:rPr>
          <w:rFonts w:ascii="Times New Roman" w:hAnsi="Times New Roman" w:cs="Times New Roman"/>
          <w:b/>
          <w:bCs/>
          <w:sz w:val="24"/>
          <w:szCs w:val="24"/>
        </w:rPr>
        <w:t>Figure S1</w:t>
      </w:r>
      <w:r w:rsidRPr="001065F8">
        <w:rPr>
          <w:rFonts w:ascii="Times New Roman" w:hAnsi="Times New Roman" w:cs="Times New Roman"/>
          <w:sz w:val="24"/>
          <w:szCs w:val="24"/>
        </w:rPr>
        <w:t>. Clinical trial schema.</w:t>
      </w:r>
      <w:r w:rsidR="000C0267" w:rsidRPr="001065F8">
        <w:rPr>
          <w:rFonts w:ascii="Times New Roman" w:hAnsi="Times New Roman" w:cs="Times New Roman"/>
          <w:sz w:val="24"/>
          <w:szCs w:val="24"/>
        </w:rPr>
        <w:t xml:space="preserve"> Each c</w:t>
      </w:r>
      <w:r w:rsidRPr="001065F8">
        <w:rPr>
          <w:rFonts w:ascii="Times New Roman" w:hAnsi="Times New Roman" w:cs="Times New Roman"/>
          <w:sz w:val="24"/>
          <w:szCs w:val="24"/>
        </w:rPr>
        <w:t>ycle</w:t>
      </w:r>
      <w:r w:rsidR="00DA4BD7" w:rsidRPr="001065F8">
        <w:rPr>
          <w:rFonts w:ascii="Times New Roman" w:hAnsi="Times New Roman" w:cs="Times New Roman"/>
          <w:sz w:val="24"/>
          <w:szCs w:val="24"/>
        </w:rPr>
        <w:t xml:space="preserve"> of therapy </w:t>
      </w:r>
      <w:r w:rsidRPr="001065F8">
        <w:rPr>
          <w:rFonts w:ascii="Times New Roman" w:hAnsi="Times New Roman" w:cs="Times New Roman"/>
          <w:sz w:val="24"/>
          <w:szCs w:val="24"/>
        </w:rPr>
        <w:t>w</w:t>
      </w:r>
      <w:r w:rsidR="000C0267" w:rsidRPr="001065F8">
        <w:rPr>
          <w:rFonts w:ascii="Times New Roman" w:hAnsi="Times New Roman" w:cs="Times New Roman"/>
          <w:sz w:val="24"/>
          <w:szCs w:val="24"/>
        </w:rPr>
        <w:t>as</w:t>
      </w:r>
      <w:r w:rsidRPr="001065F8">
        <w:rPr>
          <w:rFonts w:ascii="Times New Roman" w:hAnsi="Times New Roman" w:cs="Times New Roman"/>
          <w:sz w:val="24"/>
          <w:szCs w:val="24"/>
        </w:rPr>
        <w:t xml:space="preserve"> 21 days long.</w:t>
      </w:r>
    </w:p>
    <w:p w14:paraId="17FA84A3" w14:textId="77777777" w:rsidR="0045587A" w:rsidRPr="001065F8" w:rsidRDefault="0045587A" w:rsidP="00B21051">
      <w:pPr>
        <w:spacing w:line="480" w:lineRule="auto"/>
        <w:rPr>
          <w:rFonts w:ascii="Times New Roman" w:hAnsi="Times New Roman" w:cs="Times New Roman"/>
          <w:sz w:val="24"/>
          <w:szCs w:val="24"/>
        </w:rPr>
      </w:pPr>
    </w:p>
    <w:p w14:paraId="5A2162B7" w14:textId="1A25AB4F" w:rsidR="00B21051" w:rsidRPr="001065F8" w:rsidRDefault="00B21051" w:rsidP="00B21051">
      <w:pPr>
        <w:spacing w:line="480" w:lineRule="auto"/>
        <w:rPr>
          <w:rFonts w:ascii="Times New Roman" w:hAnsi="Times New Roman" w:cs="Times New Roman"/>
          <w:sz w:val="24"/>
          <w:szCs w:val="24"/>
        </w:rPr>
      </w:pPr>
      <w:r w:rsidRPr="001065F8">
        <w:rPr>
          <w:rFonts w:ascii="Times New Roman" w:hAnsi="Times New Roman" w:cs="Times New Roman"/>
          <w:b/>
          <w:bCs/>
          <w:sz w:val="24"/>
          <w:szCs w:val="24"/>
        </w:rPr>
        <w:t>Figure S</w:t>
      </w:r>
      <w:r w:rsidR="0045587A" w:rsidRPr="001065F8">
        <w:rPr>
          <w:rFonts w:ascii="Times New Roman" w:hAnsi="Times New Roman" w:cs="Times New Roman"/>
          <w:b/>
          <w:bCs/>
          <w:sz w:val="24"/>
          <w:szCs w:val="24"/>
        </w:rPr>
        <w:t>2</w:t>
      </w:r>
      <w:r w:rsidRPr="001065F8">
        <w:rPr>
          <w:rFonts w:ascii="Times New Roman" w:hAnsi="Times New Roman" w:cs="Times New Roman"/>
          <w:b/>
          <w:bCs/>
          <w:sz w:val="24"/>
          <w:szCs w:val="24"/>
        </w:rPr>
        <w:t>.</w:t>
      </w:r>
      <w:r w:rsidRPr="001065F8">
        <w:rPr>
          <w:rFonts w:ascii="Times New Roman" w:hAnsi="Times New Roman" w:cs="Times New Roman"/>
          <w:sz w:val="24"/>
          <w:szCs w:val="24"/>
        </w:rPr>
        <w:t xml:space="preserve"> Patient 4 CT </w:t>
      </w:r>
      <w:r w:rsidR="00EE4394" w:rsidRPr="001065F8">
        <w:rPr>
          <w:rFonts w:ascii="Times New Roman" w:hAnsi="Times New Roman" w:cs="Times New Roman"/>
          <w:sz w:val="24"/>
          <w:szCs w:val="24"/>
        </w:rPr>
        <w:t>s</w:t>
      </w:r>
      <w:r w:rsidRPr="001065F8">
        <w:rPr>
          <w:rFonts w:ascii="Times New Roman" w:hAnsi="Times New Roman" w:cs="Times New Roman"/>
          <w:sz w:val="24"/>
          <w:szCs w:val="24"/>
        </w:rPr>
        <w:t>cans.  CT scans were taken at baseline and at 12 weeks later.  Patient 4 experienced partial response.</w:t>
      </w:r>
    </w:p>
    <w:p w14:paraId="37E7E6BC" w14:textId="77777777" w:rsidR="00B21051" w:rsidRPr="001065F8" w:rsidRDefault="00B21051" w:rsidP="00B21051">
      <w:pPr>
        <w:spacing w:line="480" w:lineRule="auto"/>
        <w:rPr>
          <w:rFonts w:ascii="Times New Roman" w:hAnsi="Times New Roman" w:cs="Times New Roman"/>
          <w:sz w:val="24"/>
          <w:szCs w:val="24"/>
        </w:rPr>
      </w:pPr>
    </w:p>
    <w:p w14:paraId="06501E1B" w14:textId="7D0A5131" w:rsidR="00B21051" w:rsidRPr="001065F8" w:rsidRDefault="00B21051" w:rsidP="00B21051">
      <w:pPr>
        <w:spacing w:line="480" w:lineRule="auto"/>
        <w:rPr>
          <w:rFonts w:ascii="Times New Roman" w:hAnsi="Times New Roman" w:cs="Times New Roman"/>
          <w:sz w:val="24"/>
          <w:szCs w:val="24"/>
        </w:rPr>
      </w:pPr>
      <w:r w:rsidRPr="001065F8">
        <w:rPr>
          <w:rFonts w:ascii="Times New Roman" w:hAnsi="Times New Roman" w:cs="Times New Roman"/>
          <w:b/>
          <w:bCs/>
          <w:sz w:val="24"/>
          <w:szCs w:val="24"/>
        </w:rPr>
        <w:t>Figure S</w:t>
      </w:r>
      <w:r w:rsidR="0045587A" w:rsidRPr="001065F8">
        <w:rPr>
          <w:rFonts w:ascii="Times New Roman" w:hAnsi="Times New Roman" w:cs="Times New Roman"/>
          <w:b/>
          <w:bCs/>
          <w:sz w:val="24"/>
          <w:szCs w:val="24"/>
        </w:rPr>
        <w:t>3</w:t>
      </w:r>
      <w:r w:rsidRPr="001065F8">
        <w:rPr>
          <w:rFonts w:ascii="Times New Roman" w:hAnsi="Times New Roman" w:cs="Times New Roman"/>
          <w:b/>
          <w:bCs/>
          <w:sz w:val="24"/>
          <w:szCs w:val="24"/>
        </w:rPr>
        <w:t>.</w:t>
      </w:r>
      <w:r w:rsidRPr="001065F8">
        <w:rPr>
          <w:rFonts w:ascii="Times New Roman" w:hAnsi="Times New Roman" w:cs="Times New Roman"/>
          <w:sz w:val="24"/>
          <w:szCs w:val="24"/>
        </w:rPr>
        <w:t xml:space="preserve"> </w:t>
      </w:r>
      <w:r w:rsidR="00EA41C7" w:rsidRPr="001065F8">
        <w:rPr>
          <w:rFonts w:ascii="Times New Roman" w:hAnsi="Times New Roman" w:cs="Times New Roman"/>
          <w:sz w:val="24"/>
          <w:szCs w:val="24"/>
        </w:rPr>
        <w:t>Average global methylation of (A) all genes and probes, (B) promoter sites only, and (C) transcription factor binding sites only.  Y-axis is average beta value across all sites analyzed.  Each point represents average global methylation of one patient’s pre- or on-treatment tumor.  Patient 16 (SD) tumor biopsies were not assessable.</w:t>
      </w:r>
    </w:p>
    <w:p w14:paraId="79AE1AF4" w14:textId="274CFF66" w:rsidR="00DB36A5" w:rsidRPr="001065F8" w:rsidRDefault="00DB36A5" w:rsidP="00B21051">
      <w:pPr>
        <w:spacing w:line="480" w:lineRule="auto"/>
        <w:rPr>
          <w:rFonts w:ascii="Times New Roman" w:hAnsi="Times New Roman" w:cs="Times New Roman"/>
          <w:sz w:val="24"/>
          <w:szCs w:val="24"/>
        </w:rPr>
      </w:pPr>
    </w:p>
    <w:p w14:paraId="5E49BB2F" w14:textId="42AB76B7" w:rsidR="008D4D11" w:rsidRDefault="00DB36A5" w:rsidP="00B21051">
      <w:pPr>
        <w:spacing w:line="480" w:lineRule="auto"/>
        <w:rPr>
          <w:rFonts w:ascii="Times New Roman" w:hAnsi="Times New Roman" w:cs="Times New Roman"/>
          <w:bCs/>
          <w:sz w:val="24"/>
          <w:szCs w:val="24"/>
        </w:rPr>
      </w:pPr>
      <w:r w:rsidRPr="001065F8">
        <w:rPr>
          <w:rFonts w:ascii="Times New Roman" w:hAnsi="Times New Roman" w:cs="Times New Roman"/>
          <w:b/>
          <w:bCs/>
          <w:sz w:val="24"/>
          <w:szCs w:val="24"/>
        </w:rPr>
        <w:t>Figure S</w:t>
      </w:r>
      <w:r w:rsidR="0045587A" w:rsidRPr="001065F8">
        <w:rPr>
          <w:rFonts w:ascii="Times New Roman" w:hAnsi="Times New Roman" w:cs="Times New Roman"/>
          <w:b/>
          <w:bCs/>
          <w:sz w:val="24"/>
          <w:szCs w:val="24"/>
        </w:rPr>
        <w:t>4</w:t>
      </w:r>
      <w:r w:rsidRPr="001065F8">
        <w:rPr>
          <w:rFonts w:ascii="Times New Roman" w:hAnsi="Times New Roman" w:cs="Times New Roman"/>
          <w:b/>
          <w:bCs/>
          <w:sz w:val="24"/>
          <w:szCs w:val="24"/>
        </w:rPr>
        <w:t>.</w:t>
      </w:r>
      <w:r w:rsidR="003400CF">
        <w:rPr>
          <w:rFonts w:ascii="Times New Roman" w:hAnsi="Times New Roman" w:cs="Times New Roman"/>
          <w:bCs/>
          <w:sz w:val="24"/>
          <w:szCs w:val="24"/>
        </w:rPr>
        <w:t xml:space="preserve">  GSEA analysis. </w:t>
      </w:r>
      <w:r w:rsidR="003400CF" w:rsidRPr="003400CF">
        <w:rPr>
          <w:rFonts w:ascii="Times New Roman" w:hAnsi="Times New Roman" w:cs="Times New Roman"/>
          <w:bCs/>
          <w:sz w:val="24"/>
          <w:szCs w:val="24"/>
        </w:rPr>
        <w:t>(</w:t>
      </w:r>
      <w:r w:rsidR="003400CF">
        <w:rPr>
          <w:rFonts w:ascii="Times New Roman" w:hAnsi="Times New Roman" w:cs="Times New Roman"/>
          <w:bCs/>
          <w:sz w:val="24"/>
          <w:szCs w:val="24"/>
        </w:rPr>
        <w:t>A</w:t>
      </w:r>
      <w:r w:rsidR="003400CF" w:rsidRPr="003400CF">
        <w:rPr>
          <w:rFonts w:ascii="Times New Roman" w:hAnsi="Times New Roman" w:cs="Times New Roman"/>
          <w:bCs/>
          <w:sz w:val="24"/>
          <w:szCs w:val="24"/>
        </w:rPr>
        <w:t>) GSEA comparing pre- and on-treatment biopsies using gene sets for antigen presentation (</w:t>
      </w:r>
      <w:proofErr w:type="spellStart"/>
      <w:r w:rsidR="003400CF" w:rsidRPr="003400CF">
        <w:rPr>
          <w:rFonts w:ascii="Times New Roman" w:hAnsi="Times New Roman" w:cs="Times New Roman"/>
          <w:bCs/>
          <w:sz w:val="24"/>
          <w:szCs w:val="24"/>
        </w:rPr>
        <w:t>Ag_Pres</w:t>
      </w:r>
      <w:proofErr w:type="spellEnd"/>
      <w:r w:rsidR="003400CF" w:rsidRPr="003400CF">
        <w:rPr>
          <w:rFonts w:ascii="Times New Roman" w:hAnsi="Times New Roman" w:cs="Times New Roman"/>
          <w:bCs/>
          <w:sz w:val="24"/>
          <w:szCs w:val="24"/>
        </w:rPr>
        <w:t>), Interferon-a (</w:t>
      </w:r>
      <w:proofErr w:type="spellStart"/>
      <w:r w:rsidR="003400CF" w:rsidRPr="003400CF">
        <w:rPr>
          <w:rFonts w:ascii="Times New Roman" w:hAnsi="Times New Roman" w:cs="Times New Roman"/>
          <w:bCs/>
          <w:sz w:val="24"/>
          <w:szCs w:val="24"/>
        </w:rPr>
        <w:t>INF_alpha</w:t>
      </w:r>
      <w:proofErr w:type="spellEnd"/>
      <w:r w:rsidR="003400CF" w:rsidRPr="003400CF">
        <w:rPr>
          <w:rFonts w:ascii="Times New Roman" w:hAnsi="Times New Roman" w:cs="Times New Roman"/>
          <w:bCs/>
          <w:sz w:val="24"/>
          <w:szCs w:val="24"/>
        </w:rPr>
        <w:t>), Interferon-y (</w:t>
      </w:r>
      <w:proofErr w:type="spellStart"/>
      <w:r w:rsidR="003400CF" w:rsidRPr="003400CF">
        <w:rPr>
          <w:rFonts w:ascii="Times New Roman" w:hAnsi="Times New Roman" w:cs="Times New Roman"/>
          <w:bCs/>
          <w:sz w:val="24"/>
          <w:szCs w:val="24"/>
        </w:rPr>
        <w:t>INF_gamma</w:t>
      </w:r>
      <w:proofErr w:type="spellEnd"/>
      <w:r w:rsidR="003400CF" w:rsidRPr="003400CF">
        <w:rPr>
          <w:rFonts w:ascii="Times New Roman" w:hAnsi="Times New Roman" w:cs="Times New Roman"/>
          <w:bCs/>
          <w:sz w:val="24"/>
          <w:szCs w:val="24"/>
        </w:rPr>
        <w:t>), cytokines, inflammation</w:t>
      </w:r>
      <w:r w:rsidR="00A75EF0">
        <w:rPr>
          <w:rFonts w:ascii="Times New Roman" w:hAnsi="Times New Roman" w:cs="Times New Roman"/>
          <w:bCs/>
          <w:sz w:val="24"/>
          <w:szCs w:val="24"/>
        </w:rPr>
        <w:t xml:space="preserve">.  </w:t>
      </w:r>
      <w:r w:rsidR="00EA41C7" w:rsidRPr="001065F8">
        <w:rPr>
          <w:rFonts w:ascii="Times New Roman" w:hAnsi="Times New Roman" w:cs="Times New Roman"/>
          <w:bCs/>
          <w:sz w:val="24"/>
          <w:szCs w:val="24"/>
        </w:rPr>
        <w:t>(</w:t>
      </w:r>
      <w:r w:rsidR="003400CF">
        <w:rPr>
          <w:rFonts w:ascii="Times New Roman" w:hAnsi="Times New Roman" w:cs="Times New Roman"/>
          <w:bCs/>
          <w:sz w:val="24"/>
          <w:szCs w:val="24"/>
        </w:rPr>
        <w:t>B</w:t>
      </w:r>
      <w:r w:rsidR="00EA41C7" w:rsidRPr="001065F8">
        <w:rPr>
          <w:rFonts w:ascii="Times New Roman" w:hAnsi="Times New Roman" w:cs="Times New Roman"/>
          <w:bCs/>
          <w:sz w:val="24"/>
          <w:szCs w:val="24"/>
        </w:rPr>
        <w:t xml:space="preserve">) Average expression changes of the 4 individual ERVs from </w:t>
      </w:r>
      <w:r w:rsidR="0082580A">
        <w:rPr>
          <w:rFonts w:ascii="Times New Roman" w:hAnsi="Times New Roman" w:cs="Times New Roman"/>
          <w:bCs/>
          <w:sz w:val="24"/>
          <w:szCs w:val="24"/>
        </w:rPr>
        <w:t>Panda</w:t>
      </w:r>
      <w:r w:rsidR="00EA41C7" w:rsidRPr="001065F8">
        <w:rPr>
          <w:rFonts w:ascii="Times New Roman" w:hAnsi="Times New Roman" w:cs="Times New Roman"/>
          <w:bCs/>
          <w:sz w:val="24"/>
          <w:szCs w:val="24"/>
        </w:rPr>
        <w:t xml:space="preserve"> </w:t>
      </w:r>
      <w:r w:rsidR="00EA41C7" w:rsidRPr="001065F8">
        <w:rPr>
          <w:rFonts w:ascii="Times New Roman" w:hAnsi="Times New Roman" w:cs="Times New Roman"/>
          <w:bCs/>
          <w:i/>
          <w:iCs/>
          <w:sz w:val="24"/>
          <w:szCs w:val="24"/>
        </w:rPr>
        <w:t>et al</w:t>
      </w:r>
      <w:r w:rsidR="00EA41C7" w:rsidRPr="001065F8">
        <w:rPr>
          <w:rFonts w:ascii="Times New Roman" w:hAnsi="Times New Roman" w:cs="Times New Roman"/>
          <w:bCs/>
          <w:sz w:val="24"/>
          <w:szCs w:val="24"/>
        </w:rPr>
        <w:t xml:space="preserve"> that demonstrated any appreciable expression in our RNA sequencing analysis</w:t>
      </w:r>
      <w:r w:rsidR="0082580A">
        <w:rPr>
          <w:rFonts w:ascii="Times New Roman" w:hAnsi="Times New Roman" w:cs="Times New Roman"/>
          <w:bCs/>
          <w:sz w:val="24"/>
          <w:szCs w:val="24"/>
        </w:rPr>
        <w:fldChar w:fldCharType="begin" w:fldLock="1"/>
      </w:r>
      <w:r w:rsidR="0082580A">
        <w:rPr>
          <w:rFonts w:ascii="Times New Roman" w:hAnsi="Times New Roman" w:cs="Times New Roman"/>
          <w:bCs/>
          <w:sz w:val="24"/>
          <w:szCs w:val="24"/>
        </w:rPr>
        <w:instrText>ADDIN CSL_CITATION {"citationItems":[{"id":"ITEM-1","itemData":{"DOI":"10.1172/JCI.INSIGHT.121522","PMID":"30135306","abstract":"Although a subset of clear cell renal cell carcinoma (ccRCC) patients respond to immune checkpoint blockade (ICB), predictors of response remain uncertain. We investigated whether abnormal expression of endogenous retroviruses (ERVs) in tumors is associated with local immune checkpoint activation (ICA) and response to ICB. Twenty potentially immunogenic ERVs (πERVs) were identified in ccRCC in The Cancer Genome Atlas data set, and tumors were stratified into 3 groups based on their expression levels. πERV-high ccRCC tumors showed increased immune infiltration, checkpoint pathway upregulation, and higher CD8+ T cell fraction in infiltrating leukocytes compared with πERV-low ccRCC tumors. Similar results were observed in ER+/HER2- breast, colon, and head and neck squamous cell cancers. ERV expression correlated with expression of genes associated with histone methylation and chromatin regulation, and πERV-high ccRCC was enriched in BAP1 mutant tumors. ERV3-2 expression correlated with ICA in 11 solid cancers, including the 4 named above. In a small retrospective cohort of 24 metastatic ccRCC patients treated with single-agent PD-1/PD-L1 blockade, ERV3-2 expression in tumors was significantly higher in responders compared with nonresponders. Thus, abnormal expression of πERVs is associated with ICA in several solid cancers, including ccRCC, and ERV3-2 expression is associated with response to ICB in ccRCC.","author":[{"dropping-particle":"","family":"Panda","given":"Anshuman","non-dropping-particle":"","parse-names":false,"suffix":""},{"dropping-particle":"de","family":"Cubas","given":"Aguirre A.","non-dropping-particle":"","parse-names":false,"suffix":""},{"dropping-particle":"","family":"Stein","given":"Mark","non-dropping-particle":"","parse-names":false,"suffix":""},{"dropping-particle":"","family":"Riedlinger","given":"Gregory","non-dropping-particle":"","parse-names":false,"suffix":""},{"dropping-particle":"","family":"Kra","given":"Joshua","non-dropping-particle":"","parse-names":false,"suffix":""},{"dropping-particle":"","family":"Mayer","given":"Tina","non-dropping-particle":"","parse-names":false,"suffix":""},{"dropping-particle":"","family":"Smith","given":"Christof C.","non-dropping-particle":"","parse-names":false,"suffix":""},{"dropping-particle":"","family":"Vincent","given":"Benjamin G.","non-dropping-particle":"","parse-names":false,"suffix":""},{"dropping-particle":"","family":"Serody","given":"Jonathan S.","non-dropping-particle":"","parse-names":false,"suffix":""},{"dropping-particle":"","family":"Beckermann","given":"Kathryn E.","non-dropping-particle":"","parse-names":false,"suffix":""},{"dropping-particle":"","family":"Ganesan","given":"Shridar","non-dropping-particle":"","parse-names":false,"suffix":""},{"dropping-particle":"","family":"Bhanot","given":"Gyan","non-dropping-particle":"","parse-names":false,"suffix":""},{"dropping-particle":"","family":"Rathmell","given":"W. Kimryn","non-dropping-particle":"","parse-names":false,"suffix":""}],"container-title":"JCI Insight","id":"ITEM-1","issue":"16","issued":{"date-parts":[["2018","8","23"]]},"publisher":"American Society for Clinical Investigation","title":"Endogenous retrovirus expression is associated with response to immune checkpoint blockade in clear cell renal cell carcinoma","type":"article-journal","volume":"3"},"uris":["http://www.mendeley.com/documents/?uuid=655e0028-63fb-3a69-895f-c5bd043aaa79"]}],"mendeley":{"formattedCitation":"&lt;sup&gt;1&lt;/sup&gt;","plainTextFormattedCitation":"1","previouslyFormattedCitation":"&lt;sup&gt;1&lt;/sup&gt;"},"properties":{"noteIndex":0},"schema":"https://github.com/citation-style-language/schema/raw/master/csl-citation.json"}</w:instrText>
      </w:r>
      <w:r w:rsidR="0082580A">
        <w:rPr>
          <w:rFonts w:ascii="Times New Roman" w:hAnsi="Times New Roman" w:cs="Times New Roman"/>
          <w:bCs/>
          <w:sz w:val="24"/>
          <w:szCs w:val="24"/>
        </w:rPr>
        <w:fldChar w:fldCharType="separate"/>
      </w:r>
      <w:r w:rsidR="0082580A" w:rsidRPr="0082580A">
        <w:rPr>
          <w:rFonts w:ascii="Times New Roman" w:hAnsi="Times New Roman" w:cs="Times New Roman"/>
          <w:bCs/>
          <w:noProof/>
          <w:sz w:val="24"/>
          <w:szCs w:val="24"/>
          <w:vertAlign w:val="superscript"/>
        </w:rPr>
        <w:t>1</w:t>
      </w:r>
      <w:r w:rsidR="0082580A">
        <w:rPr>
          <w:rFonts w:ascii="Times New Roman" w:hAnsi="Times New Roman" w:cs="Times New Roman"/>
          <w:bCs/>
          <w:sz w:val="24"/>
          <w:szCs w:val="24"/>
        </w:rPr>
        <w:fldChar w:fldCharType="end"/>
      </w:r>
      <w:r w:rsidR="00EA41C7" w:rsidRPr="001065F8">
        <w:rPr>
          <w:rFonts w:ascii="Times New Roman" w:hAnsi="Times New Roman" w:cs="Times New Roman"/>
          <w:bCs/>
          <w:sz w:val="24"/>
          <w:szCs w:val="24"/>
        </w:rPr>
        <w:t>.  (</w:t>
      </w:r>
      <w:r w:rsidR="003400CF">
        <w:rPr>
          <w:rFonts w:ascii="Times New Roman" w:hAnsi="Times New Roman" w:cs="Times New Roman"/>
          <w:bCs/>
          <w:sz w:val="24"/>
          <w:szCs w:val="24"/>
        </w:rPr>
        <w:t>C</w:t>
      </w:r>
      <w:r w:rsidR="00EA41C7" w:rsidRPr="001065F8">
        <w:rPr>
          <w:rFonts w:ascii="Times New Roman" w:hAnsi="Times New Roman" w:cs="Times New Roman"/>
          <w:bCs/>
          <w:sz w:val="24"/>
          <w:szCs w:val="24"/>
        </w:rPr>
        <w:t xml:space="preserve">) Average expression changes of individual CTAs from </w:t>
      </w:r>
      <w:proofErr w:type="spellStart"/>
      <w:r w:rsidR="00EA41C7" w:rsidRPr="001065F8">
        <w:rPr>
          <w:rFonts w:ascii="Times New Roman" w:hAnsi="Times New Roman" w:cs="Times New Roman"/>
          <w:bCs/>
          <w:sz w:val="24"/>
          <w:szCs w:val="24"/>
        </w:rPr>
        <w:t>Yokoe</w:t>
      </w:r>
      <w:proofErr w:type="spellEnd"/>
      <w:r w:rsidR="00EA41C7" w:rsidRPr="001065F8">
        <w:rPr>
          <w:rFonts w:ascii="Times New Roman" w:hAnsi="Times New Roman" w:cs="Times New Roman"/>
          <w:bCs/>
          <w:sz w:val="24"/>
          <w:szCs w:val="24"/>
        </w:rPr>
        <w:t xml:space="preserve"> </w:t>
      </w:r>
      <w:r w:rsidR="00EA41C7" w:rsidRPr="001065F8">
        <w:rPr>
          <w:rFonts w:ascii="Times New Roman" w:hAnsi="Times New Roman" w:cs="Times New Roman"/>
          <w:bCs/>
          <w:i/>
          <w:iCs/>
          <w:sz w:val="24"/>
          <w:szCs w:val="24"/>
        </w:rPr>
        <w:t>et al</w:t>
      </w:r>
      <w:r w:rsidR="00EA41C7" w:rsidRPr="001065F8">
        <w:rPr>
          <w:rFonts w:ascii="Times New Roman" w:hAnsi="Times New Roman" w:cs="Times New Roman"/>
          <w:bCs/>
          <w:sz w:val="24"/>
          <w:szCs w:val="24"/>
        </w:rPr>
        <w:t xml:space="preserve"> with </w:t>
      </w:r>
      <w:r w:rsidR="00A75EF0">
        <w:rPr>
          <w:rFonts w:ascii="Times New Roman" w:hAnsi="Times New Roman" w:cs="Times New Roman"/>
          <w:bCs/>
          <w:sz w:val="24"/>
          <w:szCs w:val="24"/>
        </w:rPr>
        <w:t xml:space="preserve">detectable </w:t>
      </w:r>
      <w:r w:rsidR="00EA41C7" w:rsidRPr="001065F8">
        <w:rPr>
          <w:rFonts w:ascii="Times New Roman" w:hAnsi="Times New Roman" w:cs="Times New Roman"/>
          <w:bCs/>
          <w:sz w:val="24"/>
          <w:szCs w:val="24"/>
        </w:rPr>
        <w:t>expression in our RNA sequencing analysis</w:t>
      </w:r>
      <w:r w:rsidR="0082580A">
        <w:rPr>
          <w:rFonts w:ascii="Times New Roman" w:hAnsi="Times New Roman" w:cs="Times New Roman"/>
          <w:bCs/>
          <w:sz w:val="24"/>
          <w:szCs w:val="24"/>
        </w:rPr>
        <w:fldChar w:fldCharType="begin" w:fldLock="1"/>
      </w:r>
      <w:r w:rsidR="0082580A">
        <w:rPr>
          <w:rFonts w:ascii="Times New Roman" w:hAnsi="Times New Roman" w:cs="Times New Roman"/>
          <w:bCs/>
          <w:sz w:val="24"/>
          <w:szCs w:val="24"/>
        </w:rPr>
        <w:instrText>ADDIN CSL_CITATION {"citationItems":[{"id":"ITEM-1","itemData":{"DOI":"10.1158/0008-5472.CAN-07-0964","ISSN":"0008-5472","PMID":"18281482","abstract":"Advanced technology in molecular biology has provided us powerful tools for the diagnosis and treatment for cancer. We herein adopted a new methodology to identify a novel cancer/testis (CT) antigen with high frequency of expression in colorectal cancer as follows: ( a ) combining laser microdissection and cDNA microarray was used to analyze the gene expression profile of colorectal cancer cells; ( b ) genes overexpressed in testis and underexpressed in normal colon epithelium were analyzed using cDNA microarray; and ( c ) the gene expression profile of colorectal cancer cells was compared with that of normal testis. Using this methodology, we selected 38 candidates for CT antigen. Among these genes, we identified a novel CT antigen, serine/threonine kinase 31 (STK31), which was previously reported as a gene expressed in spermatogonia. Reverse transcription–PCR analysis showed that STK31 gene expression levels in cancer samples were significantly higher ( P &lt; 0.0001) than those in normal samples. The STK31 gene was frequently expressed not only in colorectal cancer but also in gastric and esophageal cancer. Moreover, STK31 peptide was able to elicit specific CTLs and induced CTLs lysed either peptide-loading or endogenously STK31-expressing target cells. These results showed that the new methodology in this study facilitated identification of CT antigens and that STK31 may be a candidate for cancer immunotherapy against gastrointestinal cancer. [Cancer Res 2008;68(4):1074–82]","author":[{"dropping-particle":"","family":"Yokoe","given":"Takeshi","non-dropping-particle":"","parse-names":false,"suffix":""},{"dropping-particle":"","family":"Tanaka","given":"Fumiaki","non-dropping-particle":"","parse-names":false,"suffix":""},{"dropping-particle":"","family":"Mimori","given":"Koshi","non-dropping-particle":"","parse-names":false,"suffix":""},{"dropping-particle":"","family":"Inoue","given":"Hiroshi","non-dropping-particle":"","parse-names":false,"suffix":""},{"dropping-particle":"","family":"Ohmachi","given":"Takahiro","non-dropping-particle":"","parse-names":false,"suffix":""},{"dropping-particle":"","family":"Kusunoki","given":"Masato","non-dropping-particle":"","parse-names":false,"suffix":""},{"dropping-particle":"","family":"Mori","given":"Masaki","non-dropping-particle":"","parse-names":false,"suffix":""}],"container-title":"Cancer Research","id":"ITEM-1","issue":"4","issued":{"date-parts":[["2008","2","15"]]},"page":"1074-1082","publisher":"American Association for Cancer Research","title":"Efficient Identification of a Novel Cancer/Testis Antigen for Immunotherapy Using Three-Step Microarray Analysis","type":"article-journal","volume":"68"},"uris":["http://www.mendeley.com/documents/?uuid=78a23ff4-f4d5-3986-87f9-fa00ebbdd669"]}],"mendeley":{"formattedCitation":"&lt;sup&gt;2&lt;/sup&gt;","plainTextFormattedCitation":"2","previouslyFormattedCitation":"&lt;sup&gt;2&lt;/sup&gt;"},"properties":{"noteIndex":0},"schema":"https://github.com/citation-style-language/schema/raw/master/csl-citation.json"}</w:instrText>
      </w:r>
      <w:r w:rsidR="0082580A">
        <w:rPr>
          <w:rFonts w:ascii="Times New Roman" w:hAnsi="Times New Roman" w:cs="Times New Roman"/>
          <w:bCs/>
          <w:sz w:val="24"/>
          <w:szCs w:val="24"/>
        </w:rPr>
        <w:fldChar w:fldCharType="separate"/>
      </w:r>
      <w:r w:rsidR="0082580A" w:rsidRPr="0082580A">
        <w:rPr>
          <w:rFonts w:ascii="Times New Roman" w:hAnsi="Times New Roman" w:cs="Times New Roman"/>
          <w:bCs/>
          <w:noProof/>
          <w:sz w:val="24"/>
          <w:szCs w:val="24"/>
          <w:vertAlign w:val="superscript"/>
        </w:rPr>
        <w:t>2</w:t>
      </w:r>
      <w:r w:rsidR="0082580A">
        <w:rPr>
          <w:rFonts w:ascii="Times New Roman" w:hAnsi="Times New Roman" w:cs="Times New Roman"/>
          <w:bCs/>
          <w:sz w:val="24"/>
          <w:szCs w:val="24"/>
        </w:rPr>
        <w:fldChar w:fldCharType="end"/>
      </w:r>
      <w:r w:rsidR="00EA41C7" w:rsidRPr="001065F8">
        <w:rPr>
          <w:rFonts w:ascii="Times New Roman" w:hAnsi="Times New Roman" w:cs="Times New Roman"/>
          <w:bCs/>
          <w:sz w:val="24"/>
          <w:szCs w:val="24"/>
        </w:rPr>
        <w:t>.  (</w:t>
      </w:r>
      <w:r w:rsidR="003400CF">
        <w:rPr>
          <w:rFonts w:ascii="Times New Roman" w:hAnsi="Times New Roman" w:cs="Times New Roman"/>
          <w:bCs/>
          <w:sz w:val="24"/>
          <w:szCs w:val="24"/>
        </w:rPr>
        <w:t>D</w:t>
      </w:r>
      <w:r w:rsidR="00EA41C7" w:rsidRPr="001065F8">
        <w:rPr>
          <w:rFonts w:ascii="Times New Roman" w:hAnsi="Times New Roman" w:cs="Times New Roman"/>
          <w:bCs/>
          <w:sz w:val="24"/>
          <w:szCs w:val="24"/>
        </w:rPr>
        <w:t xml:space="preserve">) Average expression changes of individual CTAs from </w:t>
      </w:r>
      <w:proofErr w:type="spellStart"/>
      <w:r w:rsidR="00EA41C7" w:rsidRPr="001065F8">
        <w:rPr>
          <w:rFonts w:ascii="Times New Roman" w:hAnsi="Times New Roman" w:cs="Times New Roman"/>
          <w:bCs/>
          <w:sz w:val="24"/>
          <w:szCs w:val="24"/>
        </w:rPr>
        <w:t>lncc</w:t>
      </w:r>
      <w:proofErr w:type="spellEnd"/>
      <w:r w:rsidR="00EA41C7" w:rsidRPr="001065F8">
        <w:rPr>
          <w:rFonts w:ascii="Times New Roman" w:hAnsi="Times New Roman" w:cs="Times New Roman"/>
          <w:bCs/>
          <w:sz w:val="24"/>
          <w:szCs w:val="24"/>
        </w:rPr>
        <w:t xml:space="preserve"> with </w:t>
      </w:r>
      <w:r w:rsidR="00A75EF0">
        <w:rPr>
          <w:rFonts w:ascii="Times New Roman" w:hAnsi="Times New Roman" w:cs="Times New Roman"/>
          <w:bCs/>
          <w:sz w:val="24"/>
          <w:szCs w:val="24"/>
        </w:rPr>
        <w:t xml:space="preserve">detectable </w:t>
      </w:r>
      <w:r w:rsidR="00EA41C7" w:rsidRPr="001065F8">
        <w:rPr>
          <w:rFonts w:ascii="Times New Roman" w:hAnsi="Times New Roman" w:cs="Times New Roman"/>
          <w:bCs/>
          <w:sz w:val="24"/>
          <w:szCs w:val="24"/>
        </w:rPr>
        <w:t>expression in our RNA sequencing analysis</w:t>
      </w:r>
      <w:r w:rsidR="0082580A">
        <w:rPr>
          <w:rFonts w:ascii="Times New Roman" w:hAnsi="Times New Roman" w:cs="Times New Roman"/>
          <w:bCs/>
          <w:sz w:val="24"/>
          <w:szCs w:val="24"/>
        </w:rPr>
        <w:fldChar w:fldCharType="begin" w:fldLock="1"/>
      </w:r>
      <w:r w:rsidR="003A2295">
        <w:rPr>
          <w:rFonts w:ascii="Times New Roman" w:hAnsi="Times New Roman" w:cs="Times New Roman"/>
          <w:bCs/>
          <w:sz w:val="24"/>
          <w:szCs w:val="24"/>
        </w:rPr>
        <w:instrText>ADDIN CSL_CITATION {"citationItems":[{"id":"ITEM-1","itemData":{"DOI":"10.1093/nar/gkn673","ISSN":"03051048","abstract":"The potency of the immune response has still to be harnessed effectively to combat human cancers. However, the discovery of T-cell targets in melanomas and other tumors has raised the possibility that cancer vaccines can be used to induce a therapeutically effective immune response against cancer. The targets, cancer-testis (CT) antigens, are immunogenic proteins preferentially expressed in normal gametogenic tissues and different histological types of tumors. Therapeutic cancer vaccines directed against CT antigens are currently in late-stage clinical trials testing whether they can delay or prevent recurrence of lung cancer and melanoma following surgical removal of primary tumors. CT antigens constitute a large, but ill-defined, family of proteins that exhibit a remarkably restricted expression. Currently, there is a considerable amount of information about these proteins, but the data are scattered through the literature and in several bioinformatic databases. The database presented here, CTdatabase (http://www.w3.org/ 1999/), unifies this knowledge to facilitate both the mining of the existing deluge of data, and the identification of proteins alleged to be CT antigens, but that do not have their characteristic restricted expression pattern. CTdatabase is more than a repository of CT antigen data, since all the available information was carefully curated and annotated with most data being specifically processed for CT antigens and stored locally. Starting from a compilation of known CT antigens, CTdatabase provides basic information including gene names and aliases, RefSeq accession numbers, genomic location, known splicing variants, gene duplications and additional family members. Gene expression at the mRNA level in normal and tumor tissues has been collated from publicly available data obtained by several different technologies. Manually curated data related to mRNA and protein expression, and antigen-specific immune responses in cancer patients are also available, together with links to PubMed for relevant CT antigen articles. © 2008 The Author(s).","author":[{"dropping-particle":"","family":"Almeida","given":"Luiz Gonzaga","non-dropping-particle":"","parse-names":false,"suffix":""},{"dropping-particle":"","family":"Sakabe","given":"Noboru J.","non-dropping-particle":"","parse-names":false,"suffix":""},{"dropping-particle":"","family":"Oliveira","given":"Alice R.","non-dropping-particle":"de","parse-names":false,"suffix":""},{"dropping-particle":"","family":"Silva","given":"Maria Cristina C.","non-dropping-particle":"","parse-names":false,"suffix":""},{"dropping-particle":"","family":"Mundstein","given":"Alex S.","non-dropping-particle":"","parse-names":false,"suffix":""},{"dropping-particle":"","family":"Cohen","given":"Tzeela","non-dropping-particle":"","parse-names":false,"suffix":""},{"dropping-particle":"","family":"Chen","given":"Yao Tseng","non-dropping-particle":"","parse-names":false,"suffix":""},{"dropping-particle":"","family":"Chua","given":"Ramon","non-dropping-particle":"","parse-names":false,"suffix":""},{"dropping-particle":"","family":"Gurung","given":"Sita","non-dropping-particle":"","parse-names":false,"suffix":""},{"dropping-particle":"","family":"Gnjatic","given":"Sacha","non-dropping-particle":"","parse-names":false,"suffix":""},{"dropping-particle":"","family":"Jungbluth","given":"Achim A.","non-dropping-particle":"","parse-names":false,"suffix":""},{"dropping-particle":"","family":"Caballero","given":"Otávia L.","non-dropping-particle":"","parse-names":false,"suffix":""},{"dropping-particle":"","family":"Bairoch","given":"Amos","non-dropping-particle":"","parse-names":false,"suffix":""},{"dropping-particle":"","family":"Kiesler","given":"Eva","non-dropping-particle":"","parse-names":false,"suffix":""},{"dropping-particle":"","family":"White","given":"Sarah L.","non-dropping-particle":"","parse-names":false,"suffix":""},{"dropping-particle":"","family":"Simpson","given":"Andrew J.G.","non-dropping-particle":"","parse-names":false,"suffix":""},{"dropping-particle":"","family":"Old","given":"Lloyd J.","non-dropping-particle":"","parse-names":false,"suffix":""},{"dropping-particle":"","family":"Camargo","given":"Anamaria A.","non-dropping-particle":"","parse-names":false,"suffix":""},{"dropping-particle":"","family":"Vasconcelos","given":"Ana Tereza R.","non-dropping-particle":"","parse-names":false,"suffix":""}],"container-title":"Nucleic Acids Research","id":"ITEM-1","issue":"SUPPL. 1","issued":{"date-parts":[["2009"]]},"title":"CTdatabase: A knowledge-base of high-throughput and curated data on cancer-testis antigens","type":"article-journal","volume":"37"},"uris":["http://www.mendeley.com/documents/?uuid=9c6faded-29ee-3b43-b33d-8ee3039910dc"]}],"mendeley":{"formattedCitation":"&lt;sup&gt;3&lt;/sup&gt;","plainTextFormattedCitation":"3","previouslyFormattedCitation":"&lt;sup&gt;3&lt;/sup&gt;"},"properties":{"noteIndex":0},"schema":"https://github.com/citation-style-language/schema/raw/master/csl-citation.json"}</w:instrText>
      </w:r>
      <w:r w:rsidR="0082580A">
        <w:rPr>
          <w:rFonts w:ascii="Times New Roman" w:hAnsi="Times New Roman" w:cs="Times New Roman"/>
          <w:bCs/>
          <w:sz w:val="24"/>
          <w:szCs w:val="24"/>
        </w:rPr>
        <w:fldChar w:fldCharType="separate"/>
      </w:r>
      <w:r w:rsidR="0082580A" w:rsidRPr="0082580A">
        <w:rPr>
          <w:rFonts w:ascii="Times New Roman" w:hAnsi="Times New Roman" w:cs="Times New Roman"/>
          <w:bCs/>
          <w:noProof/>
          <w:sz w:val="24"/>
          <w:szCs w:val="24"/>
          <w:vertAlign w:val="superscript"/>
        </w:rPr>
        <w:t>3</w:t>
      </w:r>
      <w:r w:rsidR="0082580A">
        <w:rPr>
          <w:rFonts w:ascii="Times New Roman" w:hAnsi="Times New Roman" w:cs="Times New Roman"/>
          <w:bCs/>
          <w:sz w:val="24"/>
          <w:szCs w:val="24"/>
        </w:rPr>
        <w:fldChar w:fldCharType="end"/>
      </w:r>
      <w:r w:rsidR="00EA41C7" w:rsidRPr="001065F8">
        <w:rPr>
          <w:rFonts w:ascii="Times New Roman" w:hAnsi="Times New Roman" w:cs="Times New Roman"/>
          <w:bCs/>
          <w:sz w:val="24"/>
          <w:szCs w:val="24"/>
        </w:rPr>
        <w:t xml:space="preserve">.  </w:t>
      </w:r>
      <w:bookmarkStart w:id="0" w:name="_Hlk83142172"/>
      <w:r w:rsidR="00EA41C7" w:rsidRPr="001065F8">
        <w:rPr>
          <w:rFonts w:ascii="Times New Roman" w:hAnsi="Times New Roman" w:cs="Times New Roman"/>
          <w:bCs/>
          <w:sz w:val="24"/>
          <w:szCs w:val="24"/>
        </w:rPr>
        <w:t>All notable expression changes are indicated with pre- and on-treatment expression levels as well as p-values.</w:t>
      </w:r>
      <w:bookmarkEnd w:id="0"/>
    </w:p>
    <w:p w14:paraId="4E963697" w14:textId="77777777" w:rsidR="002E0100" w:rsidRDefault="002E0100" w:rsidP="00B21051">
      <w:pPr>
        <w:spacing w:line="480" w:lineRule="auto"/>
        <w:rPr>
          <w:rFonts w:ascii="Times New Roman" w:hAnsi="Times New Roman" w:cs="Times New Roman"/>
          <w:bCs/>
          <w:sz w:val="24"/>
          <w:szCs w:val="24"/>
        </w:rPr>
      </w:pPr>
    </w:p>
    <w:p w14:paraId="13E101C9" w14:textId="29CBC299" w:rsidR="002E0100" w:rsidRPr="001065F8" w:rsidRDefault="002E0100" w:rsidP="00B21051">
      <w:pPr>
        <w:spacing w:line="480" w:lineRule="auto"/>
        <w:rPr>
          <w:rFonts w:ascii="Times New Roman" w:hAnsi="Times New Roman" w:cs="Times New Roman"/>
          <w:sz w:val="24"/>
          <w:szCs w:val="24"/>
        </w:rPr>
      </w:pPr>
      <w:r w:rsidRPr="00827B1A">
        <w:rPr>
          <w:rFonts w:ascii="Times New Roman" w:hAnsi="Times New Roman" w:cs="Times New Roman"/>
          <w:b/>
          <w:sz w:val="24"/>
          <w:szCs w:val="24"/>
        </w:rPr>
        <w:lastRenderedPageBreak/>
        <w:t>Figure S5.</w:t>
      </w:r>
      <w:r w:rsidRPr="00827B1A">
        <w:rPr>
          <w:rFonts w:ascii="Times New Roman" w:hAnsi="Times New Roman" w:cs="Times New Roman"/>
          <w:bCs/>
          <w:sz w:val="24"/>
          <w:szCs w:val="24"/>
        </w:rPr>
        <w:t xml:space="preserve"> </w:t>
      </w:r>
      <w:r w:rsidRPr="00827B1A">
        <w:rPr>
          <w:rFonts w:ascii="Times New Roman" w:hAnsi="Times New Roman" w:cs="Times New Roman"/>
          <w:bCs/>
          <w:sz w:val="24"/>
          <w:szCs w:val="24"/>
        </w:rPr>
        <w:t>TIL density correlation with DNA demethylation.  Correlation between change in CD8+ TIL density and change in DNA methylation of paired tumor samples.  Spearman non-parametric r values were calculated for change in TIL versus change in (A) global, (B) promoter, or (C) transcription factor binding site demethylation.  Only patients with pre- and on-treatment tumor samples that could be assessed for TIL density as well as DNA methylation were included.  All correlation coefficients were statistically non-significant (p = 0.13, 0.10, and 0.14 for A, B, and C, respectively).  (D) Change in T-cell inflamed gene signatures of pre- versus on-treatment biopsies for each patient with analyzable paired biopsies.</w:t>
      </w:r>
    </w:p>
    <w:p w14:paraId="60C18EDA" w14:textId="77777777" w:rsidR="008D4D11" w:rsidRPr="001065F8" w:rsidRDefault="008D4D11" w:rsidP="00B21051">
      <w:pPr>
        <w:spacing w:line="480" w:lineRule="auto"/>
        <w:rPr>
          <w:rFonts w:ascii="Times New Roman" w:hAnsi="Times New Roman" w:cs="Times New Roman"/>
          <w:sz w:val="24"/>
          <w:szCs w:val="24"/>
        </w:rPr>
      </w:pPr>
    </w:p>
    <w:p w14:paraId="0DC7A710" w14:textId="77777777" w:rsidR="008D4D11" w:rsidRPr="001065F8" w:rsidRDefault="008D4D11" w:rsidP="00B21051">
      <w:pPr>
        <w:spacing w:line="480" w:lineRule="auto"/>
        <w:rPr>
          <w:rFonts w:ascii="Times New Roman" w:hAnsi="Times New Roman" w:cs="Times New Roman"/>
          <w:sz w:val="24"/>
          <w:szCs w:val="24"/>
        </w:rPr>
      </w:pPr>
    </w:p>
    <w:p w14:paraId="4976E337" w14:textId="77777777" w:rsidR="00C21B8D" w:rsidRPr="001065F8" w:rsidRDefault="00C21B8D" w:rsidP="00B21051">
      <w:pPr>
        <w:spacing w:line="480" w:lineRule="auto"/>
        <w:rPr>
          <w:rFonts w:ascii="Times New Roman" w:hAnsi="Times New Roman" w:cs="Times New Roman"/>
          <w:b/>
          <w:bCs/>
          <w:caps/>
          <w:sz w:val="24"/>
          <w:szCs w:val="24"/>
        </w:rPr>
      </w:pPr>
    </w:p>
    <w:p w14:paraId="65FDAB23" w14:textId="77777777" w:rsidR="00C21B8D" w:rsidRPr="001065F8" w:rsidRDefault="00C21B8D" w:rsidP="00B21051">
      <w:pPr>
        <w:spacing w:line="480" w:lineRule="auto"/>
        <w:rPr>
          <w:rFonts w:ascii="Times New Roman" w:hAnsi="Times New Roman" w:cs="Times New Roman"/>
          <w:b/>
          <w:bCs/>
          <w:caps/>
          <w:sz w:val="24"/>
          <w:szCs w:val="24"/>
        </w:rPr>
      </w:pPr>
    </w:p>
    <w:p w14:paraId="14AE6639" w14:textId="77777777" w:rsidR="00C21B8D" w:rsidRPr="001065F8" w:rsidRDefault="00C21B8D" w:rsidP="00B21051">
      <w:pPr>
        <w:spacing w:line="480" w:lineRule="auto"/>
        <w:rPr>
          <w:rFonts w:ascii="Times New Roman" w:hAnsi="Times New Roman" w:cs="Times New Roman"/>
          <w:b/>
          <w:bCs/>
          <w:caps/>
          <w:sz w:val="24"/>
          <w:szCs w:val="24"/>
        </w:rPr>
      </w:pPr>
    </w:p>
    <w:p w14:paraId="2FC5C98F" w14:textId="77777777" w:rsidR="00C21B8D" w:rsidRPr="001065F8" w:rsidRDefault="00C21B8D" w:rsidP="00B21051">
      <w:pPr>
        <w:spacing w:line="480" w:lineRule="auto"/>
        <w:rPr>
          <w:rFonts w:ascii="Times New Roman" w:hAnsi="Times New Roman" w:cs="Times New Roman"/>
          <w:b/>
          <w:bCs/>
          <w:caps/>
          <w:sz w:val="24"/>
          <w:szCs w:val="24"/>
        </w:rPr>
      </w:pPr>
    </w:p>
    <w:p w14:paraId="0B93C1AA" w14:textId="77777777" w:rsidR="00C21B8D" w:rsidRPr="001065F8" w:rsidRDefault="00C21B8D" w:rsidP="00B21051">
      <w:pPr>
        <w:spacing w:line="480" w:lineRule="auto"/>
        <w:rPr>
          <w:rFonts w:ascii="Times New Roman" w:hAnsi="Times New Roman" w:cs="Times New Roman"/>
          <w:b/>
          <w:bCs/>
          <w:caps/>
          <w:sz w:val="24"/>
          <w:szCs w:val="24"/>
        </w:rPr>
      </w:pPr>
    </w:p>
    <w:p w14:paraId="4DD414F6" w14:textId="77777777" w:rsidR="00C21B8D" w:rsidRPr="001065F8" w:rsidRDefault="00C21B8D" w:rsidP="00B21051">
      <w:pPr>
        <w:spacing w:line="480" w:lineRule="auto"/>
        <w:rPr>
          <w:rFonts w:ascii="Times New Roman" w:hAnsi="Times New Roman" w:cs="Times New Roman"/>
          <w:b/>
          <w:bCs/>
          <w:caps/>
          <w:sz w:val="24"/>
          <w:szCs w:val="24"/>
        </w:rPr>
      </w:pPr>
    </w:p>
    <w:p w14:paraId="76F2194B" w14:textId="77777777" w:rsidR="00C21B8D" w:rsidRPr="001065F8" w:rsidRDefault="00C21B8D" w:rsidP="00B21051">
      <w:pPr>
        <w:spacing w:line="480" w:lineRule="auto"/>
        <w:rPr>
          <w:rFonts w:ascii="Times New Roman" w:hAnsi="Times New Roman" w:cs="Times New Roman"/>
          <w:b/>
          <w:bCs/>
          <w:caps/>
          <w:sz w:val="24"/>
          <w:szCs w:val="24"/>
        </w:rPr>
      </w:pPr>
    </w:p>
    <w:p w14:paraId="5428B014" w14:textId="77777777" w:rsidR="00C21B8D" w:rsidRPr="001065F8" w:rsidRDefault="00C21B8D" w:rsidP="00B21051">
      <w:pPr>
        <w:spacing w:line="480" w:lineRule="auto"/>
        <w:rPr>
          <w:rFonts w:ascii="Times New Roman" w:hAnsi="Times New Roman" w:cs="Times New Roman"/>
          <w:b/>
          <w:bCs/>
          <w:caps/>
          <w:sz w:val="24"/>
          <w:szCs w:val="24"/>
        </w:rPr>
      </w:pPr>
    </w:p>
    <w:p w14:paraId="37248B68" w14:textId="77777777" w:rsidR="00C21B8D" w:rsidRPr="001065F8" w:rsidRDefault="00C21B8D" w:rsidP="00B21051">
      <w:pPr>
        <w:spacing w:line="480" w:lineRule="auto"/>
        <w:rPr>
          <w:rFonts w:ascii="Times New Roman" w:hAnsi="Times New Roman" w:cs="Times New Roman"/>
          <w:b/>
          <w:bCs/>
          <w:caps/>
          <w:sz w:val="24"/>
          <w:szCs w:val="24"/>
        </w:rPr>
      </w:pPr>
    </w:p>
    <w:p w14:paraId="24D0A323" w14:textId="77777777" w:rsidR="00C21B8D" w:rsidRPr="001065F8" w:rsidRDefault="00C21B8D" w:rsidP="00B21051">
      <w:pPr>
        <w:spacing w:line="480" w:lineRule="auto"/>
        <w:rPr>
          <w:rFonts w:ascii="Times New Roman" w:hAnsi="Times New Roman" w:cs="Times New Roman"/>
          <w:b/>
          <w:bCs/>
          <w:caps/>
          <w:sz w:val="24"/>
          <w:szCs w:val="24"/>
        </w:rPr>
      </w:pPr>
    </w:p>
    <w:p w14:paraId="7C3392F4" w14:textId="1004D79F" w:rsidR="00496156" w:rsidRPr="001065F8" w:rsidRDefault="00496156" w:rsidP="00B21051">
      <w:pPr>
        <w:spacing w:line="480" w:lineRule="auto"/>
        <w:rPr>
          <w:rFonts w:ascii="Times New Roman" w:hAnsi="Times New Roman" w:cs="Times New Roman"/>
          <w:b/>
          <w:bCs/>
          <w:caps/>
          <w:sz w:val="24"/>
          <w:szCs w:val="24"/>
        </w:rPr>
      </w:pPr>
      <w:r w:rsidRPr="001065F8">
        <w:rPr>
          <w:rFonts w:ascii="Times New Roman" w:hAnsi="Times New Roman" w:cs="Times New Roman"/>
          <w:b/>
          <w:bCs/>
          <w:caps/>
          <w:sz w:val="24"/>
          <w:szCs w:val="24"/>
        </w:rPr>
        <w:lastRenderedPageBreak/>
        <w:t>Supplemental Methods</w:t>
      </w:r>
    </w:p>
    <w:p w14:paraId="17200FEB" w14:textId="440F6018" w:rsidR="00496156" w:rsidRPr="001065F8" w:rsidRDefault="00496156" w:rsidP="00B21051">
      <w:pPr>
        <w:spacing w:line="480" w:lineRule="auto"/>
        <w:rPr>
          <w:rFonts w:ascii="Times New Roman" w:hAnsi="Times New Roman" w:cs="Times New Roman"/>
          <w:sz w:val="24"/>
          <w:szCs w:val="24"/>
        </w:rPr>
      </w:pPr>
    </w:p>
    <w:p w14:paraId="4C55D9F9" w14:textId="1A8A9C7C" w:rsidR="00496156" w:rsidRPr="001065F8" w:rsidRDefault="00496156" w:rsidP="00B21051">
      <w:pPr>
        <w:spacing w:line="480" w:lineRule="auto"/>
        <w:rPr>
          <w:rFonts w:ascii="Times New Roman" w:hAnsi="Times New Roman" w:cs="Times New Roman"/>
          <w:b/>
          <w:bCs/>
          <w:sz w:val="24"/>
          <w:szCs w:val="24"/>
        </w:rPr>
      </w:pPr>
      <w:r w:rsidRPr="001065F8">
        <w:rPr>
          <w:rFonts w:ascii="Times New Roman" w:hAnsi="Times New Roman" w:cs="Times New Roman"/>
          <w:b/>
          <w:bCs/>
          <w:sz w:val="24"/>
          <w:szCs w:val="24"/>
        </w:rPr>
        <w:t>Immunohistochemistry</w:t>
      </w:r>
    </w:p>
    <w:p w14:paraId="18711B2C" w14:textId="77777777" w:rsidR="00903E87" w:rsidRPr="001065F8" w:rsidRDefault="00903E87" w:rsidP="00B21051">
      <w:pPr>
        <w:spacing w:line="480" w:lineRule="auto"/>
        <w:rPr>
          <w:rFonts w:ascii="Times New Roman" w:hAnsi="Times New Roman" w:cs="Times New Roman"/>
          <w:sz w:val="24"/>
          <w:szCs w:val="24"/>
        </w:rPr>
      </w:pPr>
      <w:r w:rsidRPr="001065F8">
        <w:rPr>
          <w:rFonts w:ascii="Times New Roman" w:hAnsi="Times New Roman" w:cs="Times New Roman"/>
          <w:sz w:val="24"/>
          <w:szCs w:val="24"/>
        </w:rPr>
        <w:t xml:space="preserve">Immunohistochemical (IHC) staining for PD-L1 used a mouse monoclonal anti-PD-L1 antibody (clone 22C3, Merck, Palo Alto, CA) capable of detecting PD-L1 in formalin-fixed, paraffin-embedded (FFPE) specimens. In brief, FFPE tissue blocks were cut 4 </w:t>
      </w:r>
      <w:proofErr w:type="spellStart"/>
      <w:r w:rsidRPr="001065F8">
        <w:rPr>
          <w:rFonts w:ascii="Times New Roman" w:hAnsi="Times New Roman" w:cs="Times New Roman"/>
          <w:sz w:val="24"/>
          <w:szCs w:val="24"/>
        </w:rPr>
        <w:t>μm</w:t>
      </w:r>
      <w:proofErr w:type="spellEnd"/>
      <w:r w:rsidRPr="001065F8">
        <w:rPr>
          <w:rFonts w:ascii="Times New Roman" w:hAnsi="Times New Roman" w:cs="Times New Roman"/>
          <w:sz w:val="24"/>
          <w:szCs w:val="24"/>
        </w:rPr>
        <w:t xml:space="preserve"> thickness, and sections mounted onto positively-charged glass slides. Slides were baked (60°C, dry heat, for 45 minutes) immediately prior to use. Tissue sections were de-waxed using organic solvents (xylene, 100%, four changes), and an alcohol series (100%, 70%, 30% ethanol) descending to distilled water. </w:t>
      </w:r>
    </w:p>
    <w:p w14:paraId="32868699" w14:textId="23C9668C" w:rsidR="00903E87" w:rsidRPr="001065F8" w:rsidRDefault="00903E87"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 xml:space="preserve">Low pH Target Retrieval Solution (Dako Cat. No. S1700) was used for the unmasking of the 22C3 antigen/epitope of PD-L1 with a commercial steamer (20 minutes above 90°C) as heat source. Upon cooling slides (5 minutes), retrieval of the 22C3 antigen/epitope of PD-L1 was further advanced using Proteinase K (Dako Cat. No. S3020, 1:160 dilution in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wash buffer, 10 minutes). Primary antibody incubation (PD-L1 </w:t>
      </w:r>
      <w:proofErr w:type="spellStart"/>
      <w:r w:rsidRPr="001065F8">
        <w:rPr>
          <w:rFonts w:ascii="Times New Roman" w:hAnsi="Times New Roman" w:cs="Times New Roman"/>
          <w:sz w:val="24"/>
          <w:szCs w:val="24"/>
        </w:rPr>
        <w:t>mAb</w:t>
      </w:r>
      <w:proofErr w:type="spellEnd"/>
      <w:r w:rsidRPr="001065F8">
        <w:rPr>
          <w:rFonts w:ascii="Times New Roman" w:hAnsi="Times New Roman" w:cs="Times New Roman"/>
          <w:sz w:val="24"/>
          <w:szCs w:val="24"/>
        </w:rPr>
        <w:t xml:space="preserve"> clone 22C3, 2μg/mL) was performed off-platform for 16 ± 1 hours in a dark humidified chamber. Primary Antibody Diluent (Dako Cat. No. S0809) was used to prepare working dilutions of PD-L1 (22C3) and isotype positive and negative control antibodies (Dako Cat. No. M0755 CD20cy and R&amp;D Systems Cat. No. MAB002 Mouse IgG1κ). Target recognition for PD-L1 (22C3) and the site of antigen-primary antibody interaction in FFPE sections used all wash, block, and signal amplification/detection reagents from the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HRP-Polymer kit (Dako Cat. No. K8012).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Mouse Linker (15 minutes),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HRP-polymer (25 minutes),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DAB Chromogen (10 minutes), nickel chloride (Ni2+Cl2) DAB </w:t>
      </w:r>
      <w:r w:rsidRPr="001065F8">
        <w:rPr>
          <w:rFonts w:ascii="Times New Roman" w:hAnsi="Times New Roman" w:cs="Times New Roman"/>
          <w:sz w:val="24"/>
          <w:szCs w:val="24"/>
        </w:rPr>
        <w:lastRenderedPageBreak/>
        <w:t xml:space="preserve">Enhancer (10 minutes), with hematoxylin counterstain (1/5 dilution, 1 minute), completed the assay protocol. Between all incubation steps, slides were extensively washed with </w:t>
      </w:r>
      <w:proofErr w:type="spellStart"/>
      <w:r w:rsidRPr="001065F8">
        <w:rPr>
          <w:rFonts w:ascii="Times New Roman" w:hAnsi="Times New Roman" w:cs="Times New Roman"/>
          <w:sz w:val="24"/>
          <w:szCs w:val="24"/>
        </w:rPr>
        <w:t>EnVision</w:t>
      </w:r>
      <w:proofErr w:type="spellEnd"/>
      <w:r w:rsidRPr="001065F8">
        <w:rPr>
          <w:rFonts w:ascii="Times New Roman" w:hAnsi="Times New Roman" w:cs="Times New Roman"/>
          <w:sz w:val="24"/>
          <w:szCs w:val="24"/>
        </w:rPr>
        <w:t xml:space="preserve">™ FLEX+ wash buffer. </w:t>
      </w:r>
    </w:p>
    <w:p w14:paraId="1CD68BA8" w14:textId="13212461" w:rsidR="00903E87" w:rsidRPr="001065F8" w:rsidRDefault="00903E87"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 xml:space="preserve">At the conclusion, slides were rinsed in distilled water, dehydrated in an alcohol series (95%, 100% ethanol) and organic solvent (xylene, 100%, four changes), and permanently </w:t>
      </w:r>
      <w:proofErr w:type="spellStart"/>
      <w:r w:rsidRPr="001065F8">
        <w:rPr>
          <w:rFonts w:ascii="Times New Roman" w:hAnsi="Times New Roman" w:cs="Times New Roman"/>
          <w:sz w:val="24"/>
          <w:szCs w:val="24"/>
        </w:rPr>
        <w:t>coverslipped</w:t>
      </w:r>
      <w:proofErr w:type="spellEnd"/>
      <w:r w:rsidRPr="001065F8">
        <w:rPr>
          <w:rFonts w:ascii="Times New Roman" w:hAnsi="Times New Roman" w:cs="Times New Roman"/>
          <w:sz w:val="24"/>
          <w:szCs w:val="24"/>
        </w:rPr>
        <w:t xml:space="preserve"> for storage and interpretation. </w:t>
      </w:r>
    </w:p>
    <w:p w14:paraId="6883C0F1" w14:textId="4C876172" w:rsidR="00903E87" w:rsidRPr="001065F8" w:rsidRDefault="00903E87"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 xml:space="preserve">These steps were automated with a </w:t>
      </w:r>
      <w:proofErr w:type="spellStart"/>
      <w:r w:rsidRPr="001065F8">
        <w:rPr>
          <w:rFonts w:ascii="Times New Roman" w:hAnsi="Times New Roman" w:cs="Times New Roman"/>
          <w:sz w:val="24"/>
          <w:szCs w:val="24"/>
        </w:rPr>
        <w:t>TechMate</w:t>
      </w:r>
      <w:proofErr w:type="spellEnd"/>
      <w:r w:rsidRPr="001065F8">
        <w:rPr>
          <w:rFonts w:ascii="Times New Roman" w:hAnsi="Times New Roman" w:cs="Times New Roman"/>
          <w:sz w:val="24"/>
          <w:szCs w:val="24"/>
        </w:rPr>
        <w:t xml:space="preserve"> Instrument (Roche Diagnostics) running QML workmate software v3.96. This automated platform uses a capillary gap process for all reagent changes, up to and including counterstaining, and intervening buffer washes.</w:t>
      </w:r>
      <w:r w:rsidR="008D4D11" w:rsidRPr="001065F8">
        <w:rPr>
          <w:rFonts w:ascii="Times New Roman" w:hAnsi="Times New Roman" w:cs="Times New Roman"/>
          <w:sz w:val="24"/>
          <w:szCs w:val="24"/>
        </w:rPr>
        <w:t xml:space="preserve"> </w:t>
      </w:r>
      <w:r w:rsidRPr="001065F8">
        <w:rPr>
          <w:rFonts w:ascii="Times New Roman" w:hAnsi="Times New Roman" w:cs="Times New Roman"/>
          <w:sz w:val="24"/>
          <w:szCs w:val="24"/>
        </w:rPr>
        <w:t xml:space="preserve"> All steps were carried out at room temperature (25°C).  </w:t>
      </w:r>
    </w:p>
    <w:p w14:paraId="289331E7" w14:textId="065A2D45" w:rsidR="00903E87" w:rsidRPr="001065F8" w:rsidRDefault="00903E87"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The target antigen was identified by light microscopy.</w:t>
      </w:r>
      <w:r w:rsidR="008D4D11" w:rsidRPr="001065F8">
        <w:rPr>
          <w:rFonts w:ascii="Times New Roman" w:hAnsi="Times New Roman" w:cs="Times New Roman"/>
          <w:sz w:val="24"/>
          <w:szCs w:val="24"/>
        </w:rPr>
        <w:t xml:space="preserve"> </w:t>
      </w:r>
      <w:r w:rsidRPr="001065F8">
        <w:rPr>
          <w:rFonts w:ascii="Times New Roman" w:hAnsi="Times New Roman" w:cs="Times New Roman"/>
          <w:sz w:val="24"/>
          <w:szCs w:val="24"/>
        </w:rPr>
        <w:t xml:space="preserve"> Nuclei were counterstained using hematoxylin to further assess cell and tissue morphology. </w:t>
      </w:r>
      <w:r w:rsidR="008D4D11" w:rsidRPr="001065F8">
        <w:rPr>
          <w:rFonts w:ascii="Times New Roman" w:hAnsi="Times New Roman" w:cs="Times New Roman"/>
          <w:sz w:val="24"/>
          <w:szCs w:val="24"/>
        </w:rPr>
        <w:t xml:space="preserve"> A</w:t>
      </w:r>
      <w:r w:rsidRPr="001065F8">
        <w:rPr>
          <w:rFonts w:ascii="Times New Roman" w:hAnsi="Times New Roman" w:cs="Times New Roman"/>
          <w:sz w:val="24"/>
          <w:szCs w:val="24"/>
        </w:rPr>
        <w:t>dditional IHC markers (NY-ESO-1, CD3, CD4, CD8, FOXP3, PD-1) were analyzed in a similar fashion as PD-L1, with the following modifications:</w:t>
      </w:r>
    </w:p>
    <w:p w14:paraId="4E11EBD0" w14:textId="46E635DA" w:rsidR="00903E87" w:rsidRPr="001065F8" w:rsidRDefault="00903E87" w:rsidP="00B21051">
      <w:pPr>
        <w:spacing w:line="480" w:lineRule="auto"/>
        <w:rPr>
          <w:rFonts w:ascii="Times New Roman" w:hAnsi="Times New Roman" w:cs="Times New Roman"/>
          <w:sz w:val="24"/>
          <w:szCs w:val="24"/>
        </w:rPr>
      </w:pPr>
      <w:r w:rsidRPr="001065F8">
        <w:rPr>
          <w:rFonts w:ascii="Times New Roman" w:hAnsi="Times New Roman" w:cs="Times New Roman"/>
          <w:sz w:val="24"/>
          <w:szCs w:val="24"/>
        </w:rPr>
        <w:t xml:space="preserve">SHIER 2 (Citrate-based, pH 6.0-6.2), SHIER 4 (Tris-EDTA, pH 9), and SHIER 8 (AR10, pH10) solutions </w:t>
      </w:r>
      <w:proofErr w:type="gramStart"/>
      <w:r w:rsidR="00C96A1C" w:rsidRPr="001065F8">
        <w:rPr>
          <w:rFonts w:ascii="Times New Roman" w:hAnsi="Times New Roman" w:cs="Times New Roman"/>
          <w:sz w:val="24"/>
          <w:szCs w:val="24"/>
        </w:rPr>
        <w:t>was</w:t>
      </w:r>
      <w:proofErr w:type="gramEnd"/>
      <w:r w:rsidR="00C96A1C" w:rsidRPr="001065F8">
        <w:rPr>
          <w:rFonts w:ascii="Times New Roman" w:hAnsi="Times New Roman" w:cs="Times New Roman"/>
          <w:sz w:val="24"/>
          <w:szCs w:val="24"/>
        </w:rPr>
        <w:t xml:space="preserve"> </w:t>
      </w:r>
      <w:r w:rsidRPr="001065F8">
        <w:rPr>
          <w:rFonts w:ascii="Times New Roman" w:hAnsi="Times New Roman" w:cs="Times New Roman"/>
          <w:sz w:val="24"/>
          <w:szCs w:val="24"/>
        </w:rPr>
        <w:t xml:space="preserve">used for unmasking antigens/epitopes using a commercial steamer (20 minutes above 97°C) as a heat source. After heat-induced epitope retrieval, the process steps </w:t>
      </w:r>
      <w:r w:rsidR="00C96A1C" w:rsidRPr="001065F8">
        <w:rPr>
          <w:rFonts w:ascii="Times New Roman" w:hAnsi="Times New Roman" w:cs="Times New Roman"/>
          <w:sz w:val="24"/>
          <w:szCs w:val="24"/>
        </w:rPr>
        <w:t>we</w:t>
      </w:r>
      <w:r w:rsidRPr="001065F8">
        <w:rPr>
          <w:rFonts w:ascii="Times New Roman" w:hAnsi="Times New Roman" w:cs="Times New Roman"/>
          <w:sz w:val="24"/>
          <w:szCs w:val="24"/>
        </w:rPr>
        <w:t xml:space="preserve">re automated using a </w:t>
      </w:r>
      <w:proofErr w:type="spellStart"/>
      <w:r w:rsidRPr="001065F8">
        <w:rPr>
          <w:rFonts w:ascii="Times New Roman" w:hAnsi="Times New Roman" w:cs="Times New Roman"/>
          <w:sz w:val="24"/>
          <w:szCs w:val="24"/>
        </w:rPr>
        <w:t>TechMate</w:t>
      </w:r>
      <w:proofErr w:type="spellEnd"/>
      <w:r w:rsidRPr="001065F8">
        <w:rPr>
          <w:rFonts w:ascii="Times New Roman" w:hAnsi="Times New Roman" w:cs="Times New Roman"/>
          <w:sz w:val="24"/>
          <w:szCs w:val="24"/>
        </w:rPr>
        <w:t xml:space="preserve"> Instrument (Roche Diagnostics) running QML workmate software v3.96. </w:t>
      </w:r>
    </w:p>
    <w:p w14:paraId="601B5BAA" w14:textId="342841FC" w:rsidR="00B82156" w:rsidRPr="001065F8" w:rsidRDefault="00903E87"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Reagent Manufacturing Buffer (RMB) with Goat Serum</w:t>
      </w:r>
      <w:r w:rsidR="00C96A1C" w:rsidRPr="001065F8">
        <w:rPr>
          <w:rFonts w:ascii="Times New Roman" w:hAnsi="Times New Roman" w:cs="Times New Roman"/>
          <w:sz w:val="24"/>
          <w:szCs w:val="24"/>
        </w:rPr>
        <w:t xml:space="preserve"> was</w:t>
      </w:r>
      <w:r w:rsidRPr="001065F8">
        <w:rPr>
          <w:rFonts w:ascii="Times New Roman" w:hAnsi="Times New Roman" w:cs="Times New Roman"/>
          <w:sz w:val="24"/>
          <w:szCs w:val="24"/>
        </w:rPr>
        <w:t xml:space="preserve"> used to prepare working dilutions of all primary antibodies, species-match positive controls, and isotype-match negative controls. Target recognition at the site of antigen-primary antibody interaction in FFPE sections </w:t>
      </w:r>
      <w:r w:rsidRPr="001065F8">
        <w:rPr>
          <w:rFonts w:ascii="Times New Roman" w:hAnsi="Times New Roman" w:cs="Times New Roman"/>
          <w:sz w:val="24"/>
          <w:szCs w:val="24"/>
        </w:rPr>
        <w:lastRenderedPageBreak/>
        <w:t>uses detection reagents from Polink-2 Plus HRP kits from GBI Labs designed for detection of Mouse or Rabbit primary antibodies.</w:t>
      </w:r>
    </w:p>
    <w:p w14:paraId="4B6F1F3B" w14:textId="00F92B50" w:rsidR="00B82156" w:rsidRPr="001065F8" w:rsidRDefault="00B82156"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For PD-L1 and NY-ESO scoring, a modified H-score was used.  The modified H-score was calculated based on the percent of tumor with membrane-specific staining at four different intensity levels: negative (&lt;1), low (1+), moderate (2+), and high (3+).  Each staining level was assigned a percent of tumor score from one of the following: 0, 1, 2, 5, 10, 15, 20, 30, 40, 50, 60, 70, 80, 85, 90, 93, 95, 99, or 100%.  Each intensity level was multiplied by its corresponding staining percentage level and then all products were summed to arrive at the final modified H-score.</w:t>
      </w:r>
    </w:p>
    <w:p w14:paraId="3873FB91" w14:textId="70D9B0BE" w:rsidR="00B82156" w:rsidRPr="001065F8" w:rsidRDefault="00B82156"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For immune biomarker scoring, 20x fields of the entire tissue specimen were reviewed with the aid of accompanying H&amp;</w:t>
      </w:r>
      <w:proofErr w:type="gramStart"/>
      <w:r w:rsidRPr="001065F8">
        <w:rPr>
          <w:rFonts w:ascii="Times New Roman" w:hAnsi="Times New Roman" w:cs="Times New Roman"/>
          <w:sz w:val="24"/>
          <w:szCs w:val="24"/>
        </w:rPr>
        <w:t>E stained</w:t>
      </w:r>
      <w:proofErr w:type="gramEnd"/>
      <w:r w:rsidRPr="001065F8">
        <w:rPr>
          <w:rFonts w:ascii="Times New Roman" w:hAnsi="Times New Roman" w:cs="Times New Roman"/>
          <w:sz w:val="24"/>
          <w:szCs w:val="24"/>
        </w:rPr>
        <w:t xml:space="preserve"> slides.  Scores of 0-3 were assigned based on the following: 0 (no positive immune cells, &lt;1 cell/20X field), 1 (low density, 1-10 </w:t>
      </w:r>
      <w:r w:rsidR="003654D2" w:rsidRPr="001065F8">
        <w:rPr>
          <w:rFonts w:ascii="Times New Roman" w:hAnsi="Times New Roman" w:cs="Times New Roman"/>
          <w:sz w:val="24"/>
          <w:szCs w:val="24"/>
        </w:rPr>
        <w:t xml:space="preserve">positive immune </w:t>
      </w:r>
      <w:r w:rsidRPr="001065F8">
        <w:rPr>
          <w:rFonts w:ascii="Times New Roman" w:hAnsi="Times New Roman" w:cs="Times New Roman"/>
          <w:sz w:val="24"/>
          <w:szCs w:val="24"/>
        </w:rPr>
        <w:t>cells/20X field), 2 (moderate density, 11-20</w:t>
      </w:r>
      <w:r w:rsidR="003654D2" w:rsidRPr="001065F8">
        <w:rPr>
          <w:rFonts w:ascii="Times New Roman" w:hAnsi="Times New Roman" w:cs="Times New Roman"/>
          <w:sz w:val="24"/>
          <w:szCs w:val="24"/>
        </w:rPr>
        <w:t xml:space="preserve"> positive immune</w:t>
      </w:r>
      <w:r w:rsidRPr="001065F8">
        <w:rPr>
          <w:rFonts w:ascii="Times New Roman" w:hAnsi="Times New Roman" w:cs="Times New Roman"/>
          <w:sz w:val="24"/>
          <w:szCs w:val="24"/>
        </w:rPr>
        <w:t xml:space="preserve"> cells/20X field), and 3 (high density, </w:t>
      </w:r>
      <w:r w:rsidR="003654D2" w:rsidRPr="001065F8">
        <w:rPr>
          <w:rFonts w:ascii="Times New Roman" w:hAnsi="Times New Roman" w:cs="Times New Roman"/>
          <w:sz w:val="24"/>
          <w:szCs w:val="24"/>
        </w:rPr>
        <w:t>&gt;20 positive immune cells/20X field).</w:t>
      </w:r>
    </w:p>
    <w:p w14:paraId="5D6BD6F2" w14:textId="6105A1CB" w:rsidR="00C96A1C" w:rsidRPr="001065F8" w:rsidRDefault="00C96A1C" w:rsidP="008D4D11">
      <w:pPr>
        <w:spacing w:line="480" w:lineRule="auto"/>
        <w:ind w:firstLine="720"/>
        <w:rPr>
          <w:rFonts w:ascii="Times New Roman" w:hAnsi="Times New Roman" w:cs="Times New Roman"/>
          <w:sz w:val="24"/>
          <w:szCs w:val="24"/>
        </w:rPr>
      </w:pPr>
      <w:r w:rsidRPr="001065F8">
        <w:rPr>
          <w:rFonts w:ascii="Times New Roman" w:hAnsi="Times New Roman" w:cs="Times New Roman"/>
          <w:sz w:val="24"/>
          <w:szCs w:val="24"/>
        </w:rPr>
        <w:t xml:space="preserve">Refer to supplemental table </w:t>
      </w:r>
      <w:r w:rsidR="00972ACF" w:rsidRPr="001065F8">
        <w:rPr>
          <w:rFonts w:ascii="Times New Roman" w:hAnsi="Times New Roman" w:cs="Times New Roman"/>
          <w:sz w:val="24"/>
          <w:szCs w:val="24"/>
        </w:rPr>
        <w:t>2</w:t>
      </w:r>
      <w:r w:rsidRPr="001065F8">
        <w:rPr>
          <w:rFonts w:ascii="Times New Roman" w:hAnsi="Times New Roman" w:cs="Times New Roman"/>
          <w:sz w:val="24"/>
          <w:szCs w:val="24"/>
        </w:rPr>
        <w:t xml:space="preserve"> for antibody specifications and IHC assay conditions.</w:t>
      </w:r>
    </w:p>
    <w:p w14:paraId="66CA35BF" w14:textId="6534A15E" w:rsidR="007F394B" w:rsidRPr="001065F8" w:rsidRDefault="007F394B" w:rsidP="00B21051">
      <w:pPr>
        <w:spacing w:line="480" w:lineRule="auto"/>
        <w:rPr>
          <w:rFonts w:ascii="Times New Roman" w:hAnsi="Times New Roman" w:cs="Times New Roman"/>
          <w:sz w:val="24"/>
          <w:szCs w:val="24"/>
        </w:rPr>
      </w:pPr>
    </w:p>
    <w:p w14:paraId="2F1F803F" w14:textId="77777777" w:rsidR="007F394B" w:rsidRPr="001065F8" w:rsidRDefault="007F394B" w:rsidP="00B21051">
      <w:pPr>
        <w:spacing w:line="480" w:lineRule="auto"/>
        <w:rPr>
          <w:rFonts w:ascii="Times New Roman" w:hAnsi="Times New Roman" w:cs="Times New Roman"/>
          <w:sz w:val="24"/>
          <w:szCs w:val="24"/>
        </w:rPr>
      </w:pPr>
      <w:r w:rsidRPr="001065F8">
        <w:rPr>
          <w:rFonts w:ascii="Times New Roman" w:hAnsi="Times New Roman" w:cs="Times New Roman"/>
          <w:sz w:val="24"/>
          <w:szCs w:val="24"/>
        </w:rPr>
        <w:br w:type="page"/>
      </w:r>
    </w:p>
    <w:p w14:paraId="37EEF4DD" w14:textId="1EBA9E70" w:rsidR="00496156" w:rsidRPr="001065F8" w:rsidRDefault="007F394B" w:rsidP="00B21051">
      <w:pPr>
        <w:spacing w:line="480" w:lineRule="auto"/>
        <w:rPr>
          <w:rFonts w:ascii="Times New Roman" w:hAnsi="Times New Roman" w:cs="Times New Roman"/>
          <w:b/>
          <w:bCs/>
          <w:sz w:val="24"/>
          <w:szCs w:val="24"/>
        </w:rPr>
      </w:pPr>
      <w:r w:rsidRPr="001065F8">
        <w:rPr>
          <w:rFonts w:ascii="Times New Roman" w:hAnsi="Times New Roman" w:cs="Times New Roman"/>
          <w:b/>
          <w:bCs/>
          <w:sz w:val="24"/>
          <w:szCs w:val="24"/>
        </w:rPr>
        <w:lastRenderedPageBreak/>
        <w:t>Research Biopsies</w:t>
      </w:r>
    </w:p>
    <w:p w14:paraId="19E7A917" w14:textId="1DC4B759" w:rsidR="007F394B" w:rsidRPr="001065F8" w:rsidRDefault="007F394B" w:rsidP="00B21051">
      <w:pPr>
        <w:spacing w:line="480" w:lineRule="auto"/>
      </w:pPr>
      <w:r w:rsidRPr="001065F8">
        <w:rPr>
          <w:rFonts w:ascii="Times New Roman" w:hAnsi="Times New Roman" w:cs="Times New Roman"/>
          <w:sz w:val="24"/>
          <w:szCs w:val="24"/>
        </w:rPr>
        <w:t xml:space="preserve">In the interest of maximizing benefit and data sharing from a clinical trial which mandated research biopsies both prior to treatment and on-treatment, we report the following characteristics of the biopsies.  </w:t>
      </w:r>
      <w:r w:rsidR="00CD4817" w:rsidRPr="001065F8">
        <w:rPr>
          <w:rFonts w:ascii="Times New Roman" w:hAnsi="Times New Roman" w:cs="Times New Roman"/>
          <w:sz w:val="24"/>
          <w:szCs w:val="24"/>
        </w:rPr>
        <w:t>For the purpose of this report, N = 31+20 represents</w:t>
      </w:r>
      <w:r w:rsidR="00B13211" w:rsidRPr="001065F8">
        <w:rPr>
          <w:rFonts w:ascii="Times New Roman" w:hAnsi="Times New Roman" w:cs="Times New Roman"/>
          <w:sz w:val="24"/>
          <w:szCs w:val="24"/>
        </w:rPr>
        <w:t xml:space="preserve"> the</w:t>
      </w:r>
      <w:r w:rsidR="00CD4817" w:rsidRPr="001065F8">
        <w:rPr>
          <w:rFonts w:ascii="Times New Roman" w:hAnsi="Times New Roman" w:cs="Times New Roman"/>
          <w:sz w:val="24"/>
          <w:szCs w:val="24"/>
        </w:rPr>
        <w:t xml:space="preserve"> combination of </w:t>
      </w:r>
      <w:r w:rsidR="00B13211" w:rsidRPr="001065F8">
        <w:rPr>
          <w:rFonts w:ascii="Times New Roman" w:hAnsi="Times New Roman" w:cs="Times New Roman"/>
          <w:sz w:val="24"/>
          <w:szCs w:val="24"/>
        </w:rPr>
        <w:t xml:space="preserve">total </w:t>
      </w:r>
      <w:r w:rsidR="00CD4817" w:rsidRPr="001065F8">
        <w:rPr>
          <w:rFonts w:ascii="Times New Roman" w:hAnsi="Times New Roman" w:cs="Times New Roman"/>
          <w:sz w:val="24"/>
          <w:szCs w:val="24"/>
        </w:rPr>
        <w:t>pre-treatment and on-treatment biopsies in the</w:t>
      </w:r>
      <w:r w:rsidRPr="001065F8">
        <w:rPr>
          <w:rFonts w:ascii="Times New Roman" w:hAnsi="Times New Roman" w:cs="Times New Roman"/>
          <w:sz w:val="24"/>
          <w:szCs w:val="24"/>
        </w:rPr>
        <w:t xml:space="preserve"> intention to treat population</w:t>
      </w:r>
      <w:r w:rsidR="00CD4817" w:rsidRPr="001065F8">
        <w:rPr>
          <w:rFonts w:ascii="Times New Roman" w:hAnsi="Times New Roman" w:cs="Times New Roman"/>
          <w:sz w:val="24"/>
          <w:szCs w:val="24"/>
        </w:rPr>
        <w:t>.  This number also includes</w:t>
      </w:r>
      <w:r w:rsidRPr="001065F8">
        <w:rPr>
          <w:rFonts w:ascii="Times New Roman" w:hAnsi="Times New Roman" w:cs="Times New Roman"/>
          <w:sz w:val="24"/>
          <w:szCs w:val="24"/>
        </w:rPr>
        <w:t xml:space="preserve"> one patient who </w:t>
      </w:r>
      <w:r w:rsidR="00CD4817" w:rsidRPr="001065F8">
        <w:rPr>
          <w:rFonts w:ascii="Times New Roman" w:hAnsi="Times New Roman" w:cs="Times New Roman"/>
          <w:sz w:val="24"/>
          <w:szCs w:val="24"/>
        </w:rPr>
        <w:t>underwent</w:t>
      </w:r>
      <w:r w:rsidRPr="001065F8">
        <w:rPr>
          <w:rFonts w:ascii="Times New Roman" w:hAnsi="Times New Roman" w:cs="Times New Roman"/>
          <w:sz w:val="24"/>
          <w:szCs w:val="24"/>
        </w:rPr>
        <w:t xml:space="preserve"> enrollment and </w:t>
      </w:r>
      <w:r w:rsidR="00CD4817" w:rsidRPr="001065F8">
        <w:rPr>
          <w:rFonts w:ascii="Times New Roman" w:hAnsi="Times New Roman" w:cs="Times New Roman"/>
          <w:sz w:val="24"/>
          <w:szCs w:val="24"/>
        </w:rPr>
        <w:t xml:space="preserve">pre-treatment </w:t>
      </w:r>
      <w:r w:rsidRPr="001065F8">
        <w:rPr>
          <w:rFonts w:ascii="Times New Roman" w:hAnsi="Times New Roman" w:cs="Times New Roman"/>
          <w:sz w:val="24"/>
          <w:szCs w:val="24"/>
        </w:rPr>
        <w:t>biopsy</w:t>
      </w:r>
      <w:r w:rsidR="00CD4817" w:rsidRPr="001065F8">
        <w:rPr>
          <w:rFonts w:ascii="Times New Roman" w:hAnsi="Times New Roman" w:cs="Times New Roman"/>
          <w:sz w:val="24"/>
          <w:szCs w:val="24"/>
        </w:rPr>
        <w:t xml:space="preserve"> but withdrew prior to t</w:t>
      </w:r>
      <w:r w:rsidRPr="001065F8">
        <w:rPr>
          <w:rFonts w:ascii="Times New Roman" w:hAnsi="Times New Roman" w:cs="Times New Roman"/>
          <w:sz w:val="24"/>
          <w:szCs w:val="24"/>
        </w:rPr>
        <w:t>reatment</w:t>
      </w:r>
      <w:r w:rsidR="00B0682C" w:rsidRPr="001065F8">
        <w:rPr>
          <w:rFonts w:ascii="Times New Roman" w:hAnsi="Times New Roman" w:cs="Times New Roman"/>
          <w:sz w:val="24"/>
          <w:szCs w:val="24"/>
        </w:rPr>
        <w:t>.  Patient adverse events related to the biopsy procedures themselves were evaluated by chart review of the procedural notes and subsequent clinic notes for each</w:t>
      </w:r>
      <w:r w:rsidR="00B0682C" w:rsidRPr="001065F8">
        <w:t xml:space="preserve"> patient.</w:t>
      </w:r>
    </w:p>
    <w:tbl>
      <w:tblPr>
        <w:tblStyle w:val="TableGrid"/>
        <w:tblW w:w="0" w:type="auto"/>
        <w:tblLook w:val="04A0" w:firstRow="1" w:lastRow="0" w:firstColumn="1" w:lastColumn="0" w:noHBand="0" w:noVBand="1"/>
      </w:tblPr>
      <w:tblGrid>
        <w:gridCol w:w="4315"/>
        <w:gridCol w:w="2880"/>
        <w:gridCol w:w="2155"/>
      </w:tblGrid>
      <w:tr w:rsidR="007F394B" w:rsidRPr="001065F8" w14:paraId="59BE07E5" w14:textId="77777777" w:rsidTr="00EE4394">
        <w:tc>
          <w:tcPr>
            <w:tcW w:w="4315" w:type="dxa"/>
            <w:shd w:val="clear" w:color="auto" w:fill="A5A5A5" w:themeFill="accent3"/>
          </w:tcPr>
          <w:p w14:paraId="6ACD8716" w14:textId="77777777" w:rsidR="007F394B" w:rsidRPr="001065F8" w:rsidRDefault="007F394B">
            <w:pPr>
              <w:rPr>
                <w:rFonts w:ascii="Times New Roman" w:hAnsi="Times New Roman" w:cs="Times New Roman"/>
                <w:b/>
                <w:bCs/>
                <w:sz w:val="24"/>
                <w:szCs w:val="24"/>
              </w:rPr>
            </w:pPr>
          </w:p>
        </w:tc>
        <w:tc>
          <w:tcPr>
            <w:tcW w:w="2880" w:type="dxa"/>
            <w:shd w:val="clear" w:color="auto" w:fill="A5A5A5" w:themeFill="accent3"/>
          </w:tcPr>
          <w:p w14:paraId="69C456AB" w14:textId="4E04175F" w:rsidR="007F394B" w:rsidRPr="001065F8" w:rsidRDefault="007B1519">
            <w:pPr>
              <w:rPr>
                <w:rFonts w:ascii="Times New Roman" w:hAnsi="Times New Roman" w:cs="Times New Roman"/>
                <w:b/>
                <w:bCs/>
                <w:sz w:val="24"/>
                <w:szCs w:val="24"/>
              </w:rPr>
            </w:pPr>
            <w:r w:rsidRPr="001065F8">
              <w:rPr>
                <w:rFonts w:ascii="Times New Roman" w:hAnsi="Times New Roman" w:cs="Times New Roman"/>
                <w:b/>
                <w:bCs/>
                <w:sz w:val="24"/>
                <w:szCs w:val="24"/>
              </w:rPr>
              <w:t>Patient biopsies</w:t>
            </w:r>
            <w:r w:rsidR="007F394B" w:rsidRPr="001065F8">
              <w:rPr>
                <w:rFonts w:ascii="Times New Roman" w:hAnsi="Times New Roman" w:cs="Times New Roman"/>
                <w:b/>
                <w:bCs/>
                <w:sz w:val="24"/>
                <w:szCs w:val="24"/>
              </w:rPr>
              <w:t xml:space="preserve"> (N = </w:t>
            </w:r>
            <w:r w:rsidRPr="001065F8">
              <w:rPr>
                <w:rFonts w:ascii="Times New Roman" w:hAnsi="Times New Roman" w:cs="Times New Roman"/>
                <w:b/>
                <w:bCs/>
                <w:sz w:val="24"/>
                <w:szCs w:val="24"/>
              </w:rPr>
              <w:t>5</w:t>
            </w:r>
            <w:r w:rsidR="00CD4817" w:rsidRPr="001065F8">
              <w:rPr>
                <w:rFonts w:ascii="Times New Roman" w:hAnsi="Times New Roman" w:cs="Times New Roman"/>
                <w:b/>
                <w:bCs/>
                <w:sz w:val="24"/>
                <w:szCs w:val="24"/>
              </w:rPr>
              <w:t>1</w:t>
            </w:r>
            <w:r w:rsidR="007F394B" w:rsidRPr="001065F8">
              <w:rPr>
                <w:rFonts w:ascii="Times New Roman" w:hAnsi="Times New Roman" w:cs="Times New Roman"/>
                <w:b/>
                <w:bCs/>
                <w:sz w:val="24"/>
                <w:szCs w:val="24"/>
              </w:rPr>
              <w:t>)</w:t>
            </w:r>
          </w:p>
        </w:tc>
        <w:tc>
          <w:tcPr>
            <w:tcW w:w="2155" w:type="dxa"/>
            <w:shd w:val="clear" w:color="auto" w:fill="A5A5A5" w:themeFill="accent3"/>
          </w:tcPr>
          <w:p w14:paraId="2C3DCBBE" w14:textId="23F881F3" w:rsidR="007F394B" w:rsidRPr="001065F8" w:rsidRDefault="007F394B">
            <w:pPr>
              <w:rPr>
                <w:rFonts w:ascii="Times New Roman" w:hAnsi="Times New Roman" w:cs="Times New Roman"/>
                <w:b/>
                <w:bCs/>
                <w:sz w:val="24"/>
                <w:szCs w:val="24"/>
              </w:rPr>
            </w:pPr>
            <w:r w:rsidRPr="001065F8">
              <w:rPr>
                <w:rFonts w:ascii="Times New Roman" w:hAnsi="Times New Roman" w:cs="Times New Roman"/>
                <w:b/>
                <w:bCs/>
                <w:sz w:val="24"/>
                <w:szCs w:val="24"/>
              </w:rPr>
              <w:t xml:space="preserve">% </w:t>
            </w:r>
            <w:proofErr w:type="gramStart"/>
            <w:r w:rsidR="00657E8C" w:rsidRPr="001065F8">
              <w:rPr>
                <w:rFonts w:ascii="Times New Roman" w:hAnsi="Times New Roman" w:cs="Times New Roman"/>
                <w:b/>
                <w:bCs/>
                <w:sz w:val="24"/>
                <w:szCs w:val="24"/>
              </w:rPr>
              <w:t>biopsies</w:t>
            </w:r>
            <w:proofErr w:type="gramEnd"/>
          </w:p>
        </w:tc>
      </w:tr>
      <w:tr w:rsidR="007F394B" w:rsidRPr="001065F8" w14:paraId="4E40EB1F" w14:textId="77777777" w:rsidTr="00EE4394">
        <w:tc>
          <w:tcPr>
            <w:tcW w:w="4315" w:type="dxa"/>
            <w:shd w:val="clear" w:color="auto" w:fill="E7E6E6" w:themeFill="background2"/>
          </w:tcPr>
          <w:p w14:paraId="6A41CE28" w14:textId="387975B5"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Pre-treatment biopsies</w:t>
            </w:r>
          </w:p>
        </w:tc>
        <w:tc>
          <w:tcPr>
            <w:tcW w:w="2880" w:type="dxa"/>
          </w:tcPr>
          <w:p w14:paraId="798EB8EF" w14:textId="552E022D"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31</w:t>
            </w:r>
          </w:p>
        </w:tc>
        <w:tc>
          <w:tcPr>
            <w:tcW w:w="2155" w:type="dxa"/>
          </w:tcPr>
          <w:p w14:paraId="735991F2" w14:textId="4F977B7C" w:rsidR="007F394B"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w:t>
            </w:r>
          </w:p>
        </w:tc>
      </w:tr>
      <w:tr w:rsidR="007F394B" w:rsidRPr="001065F8" w14:paraId="18253CE0" w14:textId="77777777" w:rsidTr="00EE4394">
        <w:tc>
          <w:tcPr>
            <w:tcW w:w="4315" w:type="dxa"/>
            <w:shd w:val="clear" w:color="auto" w:fill="E7E6E6" w:themeFill="background2"/>
          </w:tcPr>
          <w:p w14:paraId="2B88E7FE" w14:textId="5F024865"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On-treatment biopsies</w:t>
            </w:r>
          </w:p>
        </w:tc>
        <w:tc>
          <w:tcPr>
            <w:tcW w:w="2880" w:type="dxa"/>
          </w:tcPr>
          <w:p w14:paraId="3E38CC0C" w14:textId="1BD44503"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20</w:t>
            </w:r>
          </w:p>
        </w:tc>
        <w:tc>
          <w:tcPr>
            <w:tcW w:w="2155" w:type="dxa"/>
          </w:tcPr>
          <w:p w14:paraId="23F8BADC" w14:textId="01692FCC" w:rsidR="007F394B"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w:t>
            </w:r>
          </w:p>
        </w:tc>
      </w:tr>
      <w:tr w:rsidR="007F394B" w:rsidRPr="001065F8" w14:paraId="13C99564" w14:textId="77777777" w:rsidTr="00EE4394">
        <w:tc>
          <w:tcPr>
            <w:tcW w:w="4315" w:type="dxa"/>
            <w:shd w:val="clear" w:color="auto" w:fill="E7E6E6" w:themeFill="background2"/>
          </w:tcPr>
          <w:p w14:paraId="679D24A1" w14:textId="2504B246"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Total biopsies</w:t>
            </w:r>
          </w:p>
        </w:tc>
        <w:tc>
          <w:tcPr>
            <w:tcW w:w="2880" w:type="dxa"/>
          </w:tcPr>
          <w:p w14:paraId="12932ABA" w14:textId="3AA4BEA4"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51</w:t>
            </w:r>
          </w:p>
        </w:tc>
        <w:tc>
          <w:tcPr>
            <w:tcW w:w="2155" w:type="dxa"/>
          </w:tcPr>
          <w:p w14:paraId="32DAED2D" w14:textId="6446CF1F" w:rsidR="007F394B" w:rsidRPr="001065F8" w:rsidRDefault="00CD4817">
            <w:pPr>
              <w:rPr>
                <w:rFonts w:ascii="Times New Roman" w:hAnsi="Times New Roman" w:cs="Times New Roman"/>
                <w:sz w:val="24"/>
                <w:szCs w:val="24"/>
              </w:rPr>
            </w:pPr>
            <w:r w:rsidRPr="001065F8">
              <w:rPr>
                <w:rFonts w:ascii="Times New Roman" w:hAnsi="Times New Roman" w:cs="Times New Roman"/>
                <w:sz w:val="24"/>
                <w:szCs w:val="24"/>
              </w:rPr>
              <w:t>100%</w:t>
            </w:r>
          </w:p>
        </w:tc>
      </w:tr>
      <w:tr w:rsidR="007F394B" w:rsidRPr="001065F8" w14:paraId="113028FE" w14:textId="77777777" w:rsidTr="00EE4394">
        <w:tc>
          <w:tcPr>
            <w:tcW w:w="4315" w:type="dxa"/>
            <w:shd w:val="clear" w:color="auto" w:fill="E7E6E6" w:themeFill="background2"/>
          </w:tcPr>
          <w:p w14:paraId="3774E017" w14:textId="00FA434A" w:rsidR="007F394B"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No evaluable tumor for all IHC</w:t>
            </w:r>
            <w:r w:rsidR="009F6BD4" w:rsidRPr="001065F8">
              <w:rPr>
                <w:rFonts w:ascii="Times New Roman" w:hAnsi="Times New Roman" w:cs="Times New Roman"/>
                <w:sz w:val="24"/>
                <w:szCs w:val="24"/>
              </w:rPr>
              <w:t xml:space="preserve"> markers</w:t>
            </w:r>
          </w:p>
        </w:tc>
        <w:tc>
          <w:tcPr>
            <w:tcW w:w="2880" w:type="dxa"/>
          </w:tcPr>
          <w:p w14:paraId="19C5A621" w14:textId="7CCD0377" w:rsidR="007F394B"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9</w:t>
            </w:r>
          </w:p>
        </w:tc>
        <w:tc>
          <w:tcPr>
            <w:tcW w:w="2155" w:type="dxa"/>
          </w:tcPr>
          <w:p w14:paraId="4E82F650" w14:textId="3BFBFE9E" w:rsidR="009F6BD4" w:rsidRPr="001065F8" w:rsidRDefault="009F6BD4">
            <w:pPr>
              <w:rPr>
                <w:rFonts w:ascii="Times New Roman" w:hAnsi="Times New Roman" w:cs="Times New Roman"/>
                <w:sz w:val="24"/>
                <w:szCs w:val="24"/>
              </w:rPr>
            </w:pPr>
            <w:r w:rsidRPr="001065F8">
              <w:rPr>
                <w:rFonts w:ascii="Times New Roman" w:hAnsi="Times New Roman" w:cs="Times New Roman"/>
                <w:sz w:val="24"/>
                <w:szCs w:val="24"/>
              </w:rPr>
              <w:t>18%</w:t>
            </w:r>
          </w:p>
        </w:tc>
      </w:tr>
      <w:tr w:rsidR="007F394B" w:rsidRPr="001065F8" w14:paraId="28786C5C" w14:textId="77777777" w:rsidTr="00EE4394">
        <w:tc>
          <w:tcPr>
            <w:tcW w:w="4315" w:type="dxa"/>
            <w:shd w:val="clear" w:color="auto" w:fill="E7E6E6" w:themeFill="background2"/>
          </w:tcPr>
          <w:p w14:paraId="7FA14826" w14:textId="08D37787" w:rsidR="007F394B"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Not evaluable for at least one IHC marker</w:t>
            </w:r>
          </w:p>
        </w:tc>
        <w:tc>
          <w:tcPr>
            <w:tcW w:w="2880" w:type="dxa"/>
          </w:tcPr>
          <w:p w14:paraId="6959DCA1" w14:textId="5440A8C5" w:rsidR="007B1519" w:rsidRPr="001065F8" w:rsidRDefault="007B1519">
            <w:pPr>
              <w:rPr>
                <w:rFonts w:ascii="Times New Roman" w:hAnsi="Times New Roman" w:cs="Times New Roman"/>
                <w:sz w:val="24"/>
                <w:szCs w:val="24"/>
              </w:rPr>
            </w:pPr>
            <w:r w:rsidRPr="001065F8">
              <w:rPr>
                <w:rFonts w:ascii="Times New Roman" w:hAnsi="Times New Roman" w:cs="Times New Roman"/>
                <w:sz w:val="24"/>
                <w:szCs w:val="24"/>
              </w:rPr>
              <w:t>10</w:t>
            </w:r>
          </w:p>
        </w:tc>
        <w:tc>
          <w:tcPr>
            <w:tcW w:w="2155" w:type="dxa"/>
          </w:tcPr>
          <w:p w14:paraId="3771EC06" w14:textId="40D80670" w:rsidR="007F394B" w:rsidRPr="001065F8" w:rsidRDefault="009F6BD4">
            <w:pPr>
              <w:rPr>
                <w:rFonts w:ascii="Times New Roman" w:hAnsi="Times New Roman" w:cs="Times New Roman"/>
                <w:sz w:val="24"/>
                <w:szCs w:val="24"/>
              </w:rPr>
            </w:pPr>
            <w:r w:rsidRPr="001065F8">
              <w:rPr>
                <w:rFonts w:ascii="Times New Roman" w:hAnsi="Times New Roman" w:cs="Times New Roman"/>
                <w:sz w:val="24"/>
                <w:szCs w:val="24"/>
              </w:rPr>
              <w:t>20%</w:t>
            </w:r>
          </w:p>
        </w:tc>
      </w:tr>
      <w:tr w:rsidR="007F394B" w:rsidRPr="00691CA3" w14:paraId="3667BDA9" w14:textId="77777777" w:rsidTr="00EE4394">
        <w:tc>
          <w:tcPr>
            <w:tcW w:w="4315" w:type="dxa"/>
            <w:shd w:val="clear" w:color="auto" w:fill="E7E6E6" w:themeFill="background2"/>
          </w:tcPr>
          <w:p w14:paraId="2EE1D885" w14:textId="1B5B0133" w:rsidR="007F394B" w:rsidRPr="001065F8" w:rsidRDefault="00B0682C">
            <w:pPr>
              <w:rPr>
                <w:rFonts w:ascii="Times New Roman" w:hAnsi="Times New Roman" w:cs="Times New Roman"/>
                <w:sz w:val="24"/>
                <w:szCs w:val="24"/>
              </w:rPr>
            </w:pPr>
            <w:r w:rsidRPr="001065F8">
              <w:rPr>
                <w:rFonts w:ascii="Times New Roman" w:hAnsi="Times New Roman" w:cs="Times New Roman"/>
                <w:sz w:val="24"/>
                <w:szCs w:val="24"/>
              </w:rPr>
              <w:t>Peri-procedural adverse events</w:t>
            </w:r>
          </w:p>
        </w:tc>
        <w:tc>
          <w:tcPr>
            <w:tcW w:w="2880" w:type="dxa"/>
          </w:tcPr>
          <w:p w14:paraId="293C2AA7" w14:textId="3809A569" w:rsidR="007F394B" w:rsidRPr="001065F8" w:rsidRDefault="00176F3C">
            <w:pPr>
              <w:rPr>
                <w:rFonts w:ascii="Times New Roman" w:hAnsi="Times New Roman" w:cs="Times New Roman"/>
                <w:sz w:val="24"/>
                <w:szCs w:val="24"/>
              </w:rPr>
            </w:pPr>
            <w:r w:rsidRPr="001065F8">
              <w:rPr>
                <w:rFonts w:ascii="Times New Roman" w:hAnsi="Times New Roman" w:cs="Times New Roman"/>
                <w:sz w:val="24"/>
                <w:szCs w:val="24"/>
              </w:rPr>
              <w:t>0</w:t>
            </w:r>
          </w:p>
        </w:tc>
        <w:tc>
          <w:tcPr>
            <w:tcW w:w="2155" w:type="dxa"/>
          </w:tcPr>
          <w:p w14:paraId="043D1553" w14:textId="68506EAC" w:rsidR="007F394B" w:rsidRPr="00691CA3" w:rsidRDefault="00176F3C">
            <w:pPr>
              <w:rPr>
                <w:rFonts w:ascii="Times New Roman" w:hAnsi="Times New Roman" w:cs="Times New Roman"/>
                <w:sz w:val="24"/>
                <w:szCs w:val="24"/>
              </w:rPr>
            </w:pPr>
            <w:r w:rsidRPr="001065F8">
              <w:rPr>
                <w:rFonts w:ascii="Times New Roman" w:hAnsi="Times New Roman" w:cs="Times New Roman"/>
                <w:sz w:val="24"/>
                <w:szCs w:val="24"/>
              </w:rPr>
              <w:t>0%</w:t>
            </w:r>
          </w:p>
        </w:tc>
      </w:tr>
    </w:tbl>
    <w:p w14:paraId="7CAD74BC" w14:textId="3D7CD0AC" w:rsidR="00981556" w:rsidRPr="00691CA3" w:rsidRDefault="00981556">
      <w:pPr>
        <w:rPr>
          <w:rFonts w:ascii="Times New Roman" w:hAnsi="Times New Roman" w:cs="Times New Roman"/>
          <w:sz w:val="24"/>
          <w:szCs w:val="24"/>
        </w:rPr>
      </w:pPr>
    </w:p>
    <w:p w14:paraId="785E2156" w14:textId="2ABFFEB1" w:rsidR="003A2295" w:rsidRDefault="003A2295">
      <w:pPr>
        <w:rPr>
          <w:rFonts w:ascii="Times New Roman" w:hAnsi="Times New Roman" w:cs="Times New Roman"/>
          <w:sz w:val="24"/>
          <w:szCs w:val="24"/>
        </w:rPr>
      </w:pPr>
      <w:r>
        <w:rPr>
          <w:rFonts w:ascii="Times New Roman" w:hAnsi="Times New Roman" w:cs="Times New Roman"/>
          <w:sz w:val="24"/>
          <w:szCs w:val="24"/>
        </w:rPr>
        <w:br w:type="page"/>
      </w:r>
    </w:p>
    <w:p w14:paraId="229A974E" w14:textId="7F050A0A" w:rsidR="00981556" w:rsidRPr="00827B1A" w:rsidRDefault="003A2295">
      <w:pPr>
        <w:rPr>
          <w:rFonts w:ascii="Times New Roman" w:hAnsi="Times New Roman" w:cs="Times New Roman"/>
          <w:b/>
          <w:bCs/>
          <w:sz w:val="24"/>
          <w:szCs w:val="24"/>
        </w:rPr>
      </w:pPr>
      <w:r w:rsidRPr="00827B1A">
        <w:rPr>
          <w:rFonts w:ascii="Times New Roman" w:hAnsi="Times New Roman" w:cs="Times New Roman"/>
          <w:b/>
          <w:bCs/>
          <w:sz w:val="24"/>
          <w:szCs w:val="24"/>
        </w:rPr>
        <w:lastRenderedPageBreak/>
        <w:t>Supplemental References</w:t>
      </w:r>
    </w:p>
    <w:p w14:paraId="3FF3EC77" w14:textId="757057A6" w:rsidR="003A2295" w:rsidRPr="00827B1A" w:rsidRDefault="003A2295" w:rsidP="003A2295">
      <w:pPr>
        <w:widowControl w:val="0"/>
        <w:autoSpaceDE w:val="0"/>
        <w:autoSpaceDN w:val="0"/>
        <w:adjustRightInd w:val="0"/>
        <w:spacing w:line="240" w:lineRule="auto"/>
        <w:ind w:left="640" w:hanging="640"/>
        <w:rPr>
          <w:rFonts w:ascii="Times New Roman" w:hAnsi="Times New Roman" w:cs="Times New Roman"/>
          <w:noProof/>
          <w:sz w:val="24"/>
          <w:szCs w:val="24"/>
        </w:rPr>
      </w:pPr>
      <w:r w:rsidRPr="00827B1A">
        <w:rPr>
          <w:rFonts w:ascii="Times New Roman" w:hAnsi="Times New Roman" w:cs="Times New Roman"/>
          <w:sz w:val="24"/>
          <w:szCs w:val="24"/>
        </w:rPr>
        <w:fldChar w:fldCharType="begin" w:fldLock="1"/>
      </w:r>
      <w:r w:rsidRPr="00827B1A">
        <w:rPr>
          <w:rFonts w:ascii="Times New Roman" w:hAnsi="Times New Roman" w:cs="Times New Roman"/>
          <w:sz w:val="24"/>
          <w:szCs w:val="24"/>
        </w:rPr>
        <w:instrText xml:space="preserve">ADDIN Mendeley Bibliography CSL_BIBLIOGRAPHY </w:instrText>
      </w:r>
      <w:r w:rsidRPr="00827B1A">
        <w:rPr>
          <w:rFonts w:ascii="Times New Roman" w:hAnsi="Times New Roman" w:cs="Times New Roman"/>
          <w:sz w:val="24"/>
          <w:szCs w:val="24"/>
        </w:rPr>
        <w:fldChar w:fldCharType="separate"/>
      </w:r>
      <w:r w:rsidRPr="00827B1A">
        <w:rPr>
          <w:rFonts w:ascii="Times New Roman" w:hAnsi="Times New Roman" w:cs="Times New Roman"/>
          <w:noProof/>
          <w:sz w:val="24"/>
          <w:szCs w:val="24"/>
        </w:rPr>
        <w:t>1.</w:t>
      </w:r>
      <w:r w:rsidRPr="00827B1A">
        <w:rPr>
          <w:rFonts w:ascii="Times New Roman" w:hAnsi="Times New Roman" w:cs="Times New Roman"/>
          <w:noProof/>
          <w:sz w:val="24"/>
          <w:szCs w:val="24"/>
        </w:rPr>
        <w:tab/>
        <w:t xml:space="preserve">Panda, A., Cubas, A. A. de, Stein, M., Riedlinger, G., Kra, J., Mayer, T., </w:t>
      </w:r>
      <w:r w:rsidRPr="00827B1A">
        <w:rPr>
          <w:rFonts w:ascii="Times New Roman" w:hAnsi="Times New Roman" w:cs="Times New Roman"/>
          <w:i/>
          <w:iCs/>
          <w:noProof/>
          <w:sz w:val="24"/>
          <w:szCs w:val="24"/>
        </w:rPr>
        <w:t>et al.</w:t>
      </w:r>
      <w:r w:rsidRPr="00827B1A">
        <w:rPr>
          <w:rFonts w:ascii="Times New Roman" w:hAnsi="Times New Roman" w:cs="Times New Roman"/>
          <w:noProof/>
          <w:sz w:val="24"/>
          <w:szCs w:val="24"/>
        </w:rPr>
        <w:t xml:space="preserve"> Endogenous retrovirus expression is associated with response to immune checkpoint blockade in clear cell renal cell carcinoma. </w:t>
      </w:r>
      <w:r w:rsidRPr="00827B1A">
        <w:rPr>
          <w:rFonts w:ascii="Times New Roman" w:hAnsi="Times New Roman" w:cs="Times New Roman"/>
          <w:i/>
          <w:iCs/>
          <w:noProof/>
          <w:sz w:val="24"/>
          <w:szCs w:val="24"/>
        </w:rPr>
        <w:t>JCI Insight</w:t>
      </w:r>
      <w:r w:rsidRPr="00827B1A">
        <w:rPr>
          <w:rFonts w:ascii="Times New Roman" w:hAnsi="Times New Roman" w:cs="Times New Roman"/>
          <w:noProof/>
          <w:sz w:val="24"/>
          <w:szCs w:val="24"/>
        </w:rPr>
        <w:t xml:space="preserve"> </w:t>
      </w:r>
      <w:r w:rsidRPr="00827B1A">
        <w:rPr>
          <w:rFonts w:ascii="Times New Roman" w:hAnsi="Times New Roman" w:cs="Times New Roman"/>
          <w:b/>
          <w:bCs/>
          <w:noProof/>
          <w:sz w:val="24"/>
          <w:szCs w:val="24"/>
        </w:rPr>
        <w:t>3</w:t>
      </w:r>
      <w:r w:rsidRPr="00827B1A">
        <w:rPr>
          <w:rFonts w:ascii="Times New Roman" w:hAnsi="Times New Roman" w:cs="Times New Roman"/>
          <w:noProof/>
          <w:sz w:val="24"/>
          <w:szCs w:val="24"/>
        </w:rPr>
        <w:t>, (2018).</w:t>
      </w:r>
    </w:p>
    <w:p w14:paraId="0BC36F45" w14:textId="41ADC650" w:rsidR="003A2295" w:rsidRPr="00827B1A" w:rsidRDefault="003A2295" w:rsidP="003A2295">
      <w:pPr>
        <w:widowControl w:val="0"/>
        <w:autoSpaceDE w:val="0"/>
        <w:autoSpaceDN w:val="0"/>
        <w:adjustRightInd w:val="0"/>
        <w:spacing w:line="240" w:lineRule="auto"/>
        <w:ind w:left="640" w:hanging="640"/>
        <w:rPr>
          <w:rFonts w:ascii="Times New Roman" w:hAnsi="Times New Roman" w:cs="Times New Roman"/>
          <w:noProof/>
          <w:sz w:val="24"/>
          <w:szCs w:val="24"/>
        </w:rPr>
      </w:pPr>
      <w:r w:rsidRPr="00827B1A">
        <w:rPr>
          <w:rFonts w:ascii="Times New Roman" w:hAnsi="Times New Roman" w:cs="Times New Roman"/>
          <w:noProof/>
          <w:sz w:val="24"/>
          <w:szCs w:val="24"/>
        </w:rPr>
        <w:t>2.</w:t>
      </w:r>
      <w:r w:rsidRPr="00827B1A">
        <w:rPr>
          <w:rFonts w:ascii="Times New Roman" w:hAnsi="Times New Roman" w:cs="Times New Roman"/>
          <w:noProof/>
          <w:sz w:val="24"/>
          <w:szCs w:val="24"/>
        </w:rPr>
        <w:tab/>
        <w:t xml:space="preserve">Yokoe, T., Tanaka, F., Mimori, K., Inoue, H., Ohmachi, T., Kusunoki, M., </w:t>
      </w:r>
      <w:r w:rsidRPr="00827B1A">
        <w:rPr>
          <w:rFonts w:ascii="Times New Roman" w:hAnsi="Times New Roman" w:cs="Times New Roman"/>
          <w:i/>
          <w:iCs/>
          <w:noProof/>
          <w:sz w:val="24"/>
          <w:szCs w:val="24"/>
        </w:rPr>
        <w:t>et al.</w:t>
      </w:r>
      <w:r w:rsidRPr="00827B1A">
        <w:rPr>
          <w:rFonts w:ascii="Times New Roman" w:hAnsi="Times New Roman" w:cs="Times New Roman"/>
          <w:noProof/>
          <w:sz w:val="24"/>
          <w:szCs w:val="24"/>
        </w:rPr>
        <w:t xml:space="preserve"> Efficient identification of a novel cancer/testis antigen for immunotherapy using three-step microarray analysis. </w:t>
      </w:r>
      <w:r w:rsidRPr="00827B1A">
        <w:rPr>
          <w:rFonts w:ascii="Times New Roman" w:hAnsi="Times New Roman" w:cs="Times New Roman"/>
          <w:i/>
          <w:iCs/>
          <w:noProof/>
          <w:sz w:val="24"/>
          <w:szCs w:val="24"/>
        </w:rPr>
        <w:t>Cancer Res.</w:t>
      </w:r>
      <w:r w:rsidRPr="00827B1A">
        <w:rPr>
          <w:rFonts w:ascii="Times New Roman" w:hAnsi="Times New Roman" w:cs="Times New Roman"/>
          <w:noProof/>
          <w:sz w:val="24"/>
          <w:szCs w:val="24"/>
        </w:rPr>
        <w:t xml:space="preserve"> </w:t>
      </w:r>
      <w:r w:rsidRPr="00827B1A">
        <w:rPr>
          <w:rFonts w:ascii="Times New Roman" w:hAnsi="Times New Roman" w:cs="Times New Roman"/>
          <w:b/>
          <w:bCs/>
          <w:noProof/>
          <w:sz w:val="24"/>
          <w:szCs w:val="24"/>
        </w:rPr>
        <w:t>68</w:t>
      </w:r>
      <w:r w:rsidRPr="00827B1A">
        <w:rPr>
          <w:rFonts w:ascii="Times New Roman" w:hAnsi="Times New Roman" w:cs="Times New Roman"/>
          <w:noProof/>
          <w:sz w:val="24"/>
          <w:szCs w:val="24"/>
        </w:rPr>
        <w:t>, 1074–1082 (2008).</w:t>
      </w:r>
    </w:p>
    <w:p w14:paraId="63905BF8" w14:textId="77777777" w:rsidR="003A2295" w:rsidRPr="00827B1A" w:rsidRDefault="003A2295" w:rsidP="003A2295">
      <w:pPr>
        <w:widowControl w:val="0"/>
        <w:autoSpaceDE w:val="0"/>
        <w:autoSpaceDN w:val="0"/>
        <w:adjustRightInd w:val="0"/>
        <w:spacing w:line="240" w:lineRule="auto"/>
        <w:ind w:left="640" w:hanging="640"/>
        <w:rPr>
          <w:rFonts w:ascii="Times New Roman" w:hAnsi="Times New Roman" w:cs="Times New Roman"/>
          <w:noProof/>
          <w:sz w:val="24"/>
        </w:rPr>
      </w:pPr>
      <w:r w:rsidRPr="00827B1A">
        <w:rPr>
          <w:rFonts w:ascii="Times New Roman" w:hAnsi="Times New Roman" w:cs="Times New Roman"/>
          <w:noProof/>
          <w:sz w:val="24"/>
          <w:szCs w:val="24"/>
        </w:rPr>
        <w:t>3.</w:t>
      </w:r>
      <w:r w:rsidRPr="00827B1A">
        <w:rPr>
          <w:rFonts w:ascii="Times New Roman" w:hAnsi="Times New Roman" w:cs="Times New Roman"/>
          <w:noProof/>
          <w:sz w:val="24"/>
          <w:szCs w:val="24"/>
        </w:rPr>
        <w:tab/>
        <w:t xml:space="preserve">Almeida, L. G., Sakabe, N. J., de Oliveira, A. R., Silva, M. C. C., Mundstein, A. S., Cohen, T., </w:t>
      </w:r>
      <w:r w:rsidRPr="00827B1A">
        <w:rPr>
          <w:rFonts w:ascii="Times New Roman" w:hAnsi="Times New Roman" w:cs="Times New Roman"/>
          <w:i/>
          <w:iCs/>
          <w:noProof/>
          <w:sz w:val="24"/>
          <w:szCs w:val="24"/>
        </w:rPr>
        <w:t>et al.</w:t>
      </w:r>
      <w:r w:rsidRPr="00827B1A">
        <w:rPr>
          <w:rFonts w:ascii="Times New Roman" w:hAnsi="Times New Roman" w:cs="Times New Roman"/>
          <w:noProof/>
          <w:sz w:val="24"/>
          <w:szCs w:val="24"/>
        </w:rPr>
        <w:t xml:space="preserve"> CTdatabase: A knowledge-base of high-throughput and curated data on cancer-testis antigens. </w:t>
      </w:r>
      <w:r w:rsidRPr="00827B1A">
        <w:rPr>
          <w:rFonts w:ascii="Times New Roman" w:hAnsi="Times New Roman" w:cs="Times New Roman"/>
          <w:i/>
          <w:iCs/>
          <w:noProof/>
          <w:sz w:val="24"/>
          <w:szCs w:val="24"/>
        </w:rPr>
        <w:t>Nucleic Acids Res.</w:t>
      </w:r>
      <w:r w:rsidRPr="00827B1A">
        <w:rPr>
          <w:rFonts w:ascii="Times New Roman" w:hAnsi="Times New Roman" w:cs="Times New Roman"/>
          <w:noProof/>
          <w:sz w:val="24"/>
          <w:szCs w:val="24"/>
        </w:rPr>
        <w:t xml:space="preserve"> </w:t>
      </w:r>
      <w:r w:rsidRPr="00827B1A">
        <w:rPr>
          <w:rFonts w:ascii="Times New Roman" w:hAnsi="Times New Roman" w:cs="Times New Roman"/>
          <w:b/>
          <w:bCs/>
          <w:noProof/>
          <w:sz w:val="24"/>
          <w:szCs w:val="24"/>
        </w:rPr>
        <w:t>37</w:t>
      </w:r>
      <w:r w:rsidRPr="00827B1A">
        <w:rPr>
          <w:rFonts w:ascii="Times New Roman" w:hAnsi="Times New Roman" w:cs="Times New Roman"/>
          <w:noProof/>
          <w:sz w:val="24"/>
          <w:szCs w:val="24"/>
        </w:rPr>
        <w:t>, (2009).</w:t>
      </w:r>
    </w:p>
    <w:p w14:paraId="7F5F1D30" w14:textId="6962130E" w:rsidR="003A2295" w:rsidRPr="00691CA3" w:rsidRDefault="003A2295">
      <w:pPr>
        <w:rPr>
          <w:rFonts w:ascii="Times New Roman" w:hAnsi="Times New Roman" w:cs="Times New Roman"/>
          <w:sz w:val="24"/>
          <w:szCs w:val="24"/>
        </w:rPr>
      </w:pPr>
      <w:r w:rsidRPr="00827B1A">
        <w:rPr>
          <w:rFonts w:ascii="Times New Roman" w:hAnsi="Times New Roman" w:cs="Times New Roman"/>
          <w:sz w:val="24"/>
          <w:szCs w:val="24"/>
        </w:rPr>
        <w:fldChar w:fldCharType="end"/>
      </w:r>
    </w:p>
    <w:sectPr w:rsidR="003A2295" w:rsidRPr="00691CA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5748B" w14:textId="77777777" w:rsidR="00F12127" w:rsidRDefault="00F12127" w:rsidP="00863182">
      <w:pPr>
        <w:spacing w:after="0" w:line="240" w:lineRule="auto"/>
      </w:pPr>
      <w:r>
        <w:separator/>
      </w:r>
    </w:p>
  </w:endnote>
  <w:endnote w:type="continuationSeparator" w:id="0">
    <w:p w14:paraId="02C78F03" w14:textId="77777777" w:rsidR="00F12127" w:rsidRDefault="00F12127" w:rsidP="00863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59530" w14:textId="77777777" w:rsidR="00F12127" w:rsidRDefault="00F12127" w:rsidP="00863182">
      <w:pPr>
        <w:spacing w:after="0" w:line="240" w:lineRule="auto"/>
      </w:pPr>
      <w:r>
        <w:separator/>
      </w:r>
    </w:p>
  </w:footnote>
  <w:footnote w:type="continuationSeparator" w:id="0">
    <w:p w14:paraId="0A78C239" w14:textId="77777777" w:rsidR="00F12127" w:rsidRDefault="00F12127" w:rsidP="00863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A1E8D5"/>
    <w:multiLevelType w:val="hybridMultilevel"/>
    <w:tmpl w:val="0EC302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92A4E9"/>
    <w:multiLevelType w:val="hybridMultilevel"/>
    <w:tmpl w:val="BC387B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F41A7F7"/>
    <w:multiLevelType w:val="hybridMultilevel"/>
    <w:tmpl w:val="41BBCB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A3DDE49"/>
    <w:multiLevelType w:val="hybridMultilevel"/>
    <w:tmpl w:val="EE1AAC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F1E393"/>
    <w:multiLevelType w:val="hybridMultilevel"/>
    <w:tmpl w:val="3499BE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F316284"/>
    <w:multiLevelType w:val="hybridMultilevel"/>
    <w:tmpl w:val="E90D0E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678"/>
    <w:rsid w:val="00076678"/>
    <w:rsid w:val="00085976"/>
    <w:rsid w:val="000C0267"/>
    <w:rsid w:val="000C23E5"/>
    <w:rsid w:val="000C3A97"/>
    <w:rsid w:val="000D0007"/>
    <w:rsid w:val="001065F8"/>
    <w:rsid w:val="00140021"/>
    <w:rsid w:val="00141BE0"/>
    <w:rsid w:val="001455CF"/>
    <w:rsid w:val="00176F3C"/>
    <w:rsid w:val="001C2347"/>
    <w:rsid w:val="001C4213"/>
    <w:rsid w:val="001D6B8A"/>
    <w:rsid w:val="002D3D3F"/>
    <w:rsid w:val="002E0100"/>
    <w:rsid w:val="00316B77"/>
    <w:rsid w:val="00335127"/>
    <w:rsid w:val="003400CF"/>
    <w:rsid w:val="003654D2"/>
    <w:rsid w:val="0039153C"/>
    <w:rsid w:val="003A2295"/>
    <w:rsid w:val="003C31D0"/>
    <w:rsid w:val="0045587A"/>
    <w:rsid w:val="004640E7"/>
    <w:rsid w:val="00496156"/>
    <w:rsid w:val="00561330"/>
    <w:rsid w:val="00590CE9"/>
    <w:rsid w:val="00605C0C"/>
    <w:rsid w:val="00657E8C"/>
    <w:rsid w:val="00685F59"/>
    <w:rsid w:val="00691CA3"/>
    <w:rsid w:val="00725DBD"/>
    <w:rsid w:val="00797BD7"/>
    <w:rsid w:val="007B1519"/>
    <w:rsid w:val="007D16FC"/>
    <w:rsid w:val="007D4DE0"/>
    <w:rsid w:val="007F394B"/>
    <w:rsid w:val="00801CEC"/>
    <w:rsid w:val="0082580A"/>
    <w:rsid w:val="00827B1A"/>
    <w:rsid w:val="00840187"/>
    <w:rsid w:val="00863182"/>
    <w:rsid w:val="00895A66"/>
    <w:rsid w:val="008A15A4"/>
    <w:rsid w:val="008D4D11"/>
    <w:rsid w:val="00903E87"/>
    <w:rsid w:val="0092596D"/>
    <w:rsid w:val="00972ACF"/>
    <w:rsid w:val="00981556"/>
    <w:rsid w:val="0098237F"/>
    <w:rsid w:val="009C4656"/>
    <w:rsid w:val="009F6BD4"/>
    <w:rsid w:val="00A31E67"/>
    <w:rsid w:val="00A662CF"/>
    <w:rsid w:val="00A75EF0"/>
    <w:rsid w:val="00A9585C"/>
    <w:rsid w:val="00AB28A9"/>
    <w:rsid w:val="00AC479A"/>
    <w:rsid w:val="00AF21C7"/>
    <w:rsid w:val="00AF4B09"/>
    <w:rsid w:val="00B0682C"/>
    <w:rsid w:val="00B13211"/>
    <w:rsid w:val="00B20B5E"/>
    <w:rsid w:val="00B21051"/>
    <w:rsid w:val="00B3272C"/>
    <w:rsid w:val="00B70A86"/>
    <w:rsid w:val="00B80095"/>
    <w:rsid w:val="00B82156"/>
    <w:rsid w:val="00C21B8D"/>
    <w:rsid w:val="00C96A1C"/>
    <w:rsid w:val="00CD4817"/>
    <w:rsid w:val="00D64F91"/>
    <w:rsid w:val="00D733FF"/>
    <w:rsid w:val="00DA4BD7"/>
    <w:rsid w:val="00DB36A5"/>
    <w:rsid w:val="00E31C92"/>
    <w:rsid w:val="00E96F5D"/>
    <w:rsid w:val="00EA41C7"/>
    <w:rsid w:val="00EB298C"/>
    <w:rsid w:val="00EE4394"/>
    <w:rsid w:val="00EF429B"/>
    <w:rsid w:val="00F12127"/>
    <w:rsid w:val="00F673B4"/>
    <w:rsid w:val="00F77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9F93A"/>
  <w15:chartTrackingRefBased/>
  <w15:docId w15:val="{6B04E13E-35E1-44BB-8443-268C6F6F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6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156"/>
    <w:rPr>
      <w:rFonts w:ascii="Segoe UI" w:hAnsi="Segoe UI" w:cs="Segoe UI"/>
      <w:sz w:val="18"/>
      <w:szCs w:val="18"/>
    </w:rPr>
  </w:style>
  <w:style w:type="table" w:styleId="TableGrid">
    <w:name w:val="Table Grid"/>
    <w:basedOn w:val="TableNormal"/>
    <w:uiPriority w:val="39"/>
    <w:rsid w:val="00496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673B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903E8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63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182"/>
  </w:style>
  <w:style w:type="paragraph" w:styleId="Footer">
    <w:name w:val="footer"/>
    <w:basedOn w:val="Normal"/>
    <w:link w:val="FooterChar"/>
    <w:uiPriority w:val="99"/>
    <w:unhideWhenUsed/>
    <w:rsid w:val="00863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182"/>
  </w:style>
  <w:style w:type="character" w:styleId="CommentReference">
    <w:name w:val="annotation reference"/>
    <w:basedOn w:val="DefaultParagraphFont"/>
    <w:uiPriority w:val="99"/>
    <w:semiHidden/>
    <w:unhideWhenUsed/>
    <w:rsid w:val="008A15A4"/>
    <w:rPr>
      <w:sz w:val="16"/>
      <w:szCs w:val="16"/>
    </w:rPr>
  </w:style>
  <w:style w:type="paragraph" w:styleId="CommentText">
    <w:name w:val="annotation text"/>
    <w:basedOn w:val="Normal"/>
    <w:link w:val="CommentTextChar"/>
    <w:uiPriority w:val="99"/>
    <w:semiHidden/>
    <w:unhideWhenUsed/>
    <w:rsid w:val="008A15A4"/>
    <w:pPr>
      <w:spacing w:after="0" w:line="240" w:lineRule="auto"/>
    </w:pPr>
    <w:rPr>
      <w:rFonts w:ascii="Times New Roman" w:eastAsiaTheme="minorEastAsia" w:hAnsi="Times New Roman"/>
      <w:color w:val="000000" w:themeColor="text1"/>
      <w:sz w:val="20"/>
      <w:szCs w:val="20"/>
      <w:lang w:eastAsia="ko-KR"/>
    </w:rPr>
  </w:style>
  <w:style w:type="character" w:customStyle="1" w:styleId="CommentTextChar">
    <w:name w:val="Comment Text Char"/>
    <w:basedOn w:val="DefaultParagraphFont"/>
    <w:link w:val="CommentText"/>
    <w:uiPriority w:val="99"/>
    <w:semiHidden/>
    <w:rsid w:val="008A15A4"/>
    <w:rPr>
      <w:rFonts w:ascii="Times New Roman" w:eastAsiaTheme="minorEastAsia" w:hAnsi="Times New Roman"/>
      <w:color w:val="000000" w:themeColor="text1"/>
      <w:sz w:val="20"/>
      <w:szCs w:val="20"/>
      <w:lang w:eastAsia="ko-KR"/>
    </w:rPr>
  </w:style>
  <w:style w:type="paragraph" w:styleId="CommentSubject">
    <w:name w:val="annotation subject"/>
    <w:basedOn w:val="CommentText"/>
    <w:next w:val="CommentText"/>
    <w:link w:val="CommentSubjectChar"/>
    <w:uiPriority w:val="99"/>
    <w:semiHidden/>
    <w:unhideWhenUsed/>
    <w:rsid w:val="00A662CF"/>
    <w:pPr>
      <w:spacing w:after="160"/>
    </w:pPr>
    <w:rPr>
      <w:rFonts w:asciiTheme="minorHAnsi" w:eastAsiaTheme="minorHAnsi" w:hAnsiTheme="minorHAnsi"/>
      <w:b/>
      <w:bCs/>
      <w:color w:val="auto"/>
      <w:lang w:eastAsia="en-US"/>
    </w:rPr>
  </w:style>
  <w:style w:type="character" w:customStyle="1" w:styleId="CommentSubjectChar">
    <w:name w:val="Comment Subject Char"/>
    <w:basedOn w:val="CommentTextChar"/>
    <w:link w:val="CommentSubject"/>
    <w:uiPriority w:val="99"/>
    <w:semiHidden/>
    <w:rsid w:val="00A662CF"/>
    <w:rPr>
      <w:rFonts w:ascii="Times New Roman" w:eastAsiaTheme="minorEastAsia" w:hAnsi="Times New Roman"/>
      <w:b/>
      <w:bCs/>
      <w:color w:val="000000" w:themeColor="text1"/>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46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EAB4B00DA22C468FC811C3E2E8390B" ma:contentTypeVersion="13" ma:contentTypeDescription="Create a new document." ma:contentTypeScope="" ma:versionID="cbb98734699b3eb8e3c3c8ff48a44b9d">
  <xsd:schema xmlns:xsd="http://www.w3.org/2001/XMLSchema" xmlns:xs="http://www.w3.org/2001/XMLSchema" xmlns:p="http://schemas.microsoft.com/office/2006/metadata/properties" xmlns:ns3="6aaeab15-9aeb-48d7-854c-9e2ea7d6ff59" xmlns:ns4="ab4c3e96-0c22-4be8-8dd7-72c823641a84" targetNamespace="http://schemas.microsoft.com/office/2006/metadata/properties" ma:root="true" ma:fieldsID="6527fe8938355d1c5beeca37208d124d" ns3:_="" ns4:_="">
    <xsd:import namespace="6aaeab15-9aeb-48d7-854c-9e2ea7d6ff59"/>
    <xsd:import namespace="ab4c3e96-0c22-4be8-8dd7-72c823641a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eab15-9aeb-48d7-854c-9e2ea7d6f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4c3e96-0c22-4be8-8dd7-72c823641a8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338B5-2915-43B5-8D35-594AC60FD171}">
  <ds:schemaRefs>
    <ds:schemaRef ds:uri="http://purl.org/dc/elements/1.1/"/>
    <ds:schemaRef ds:uri="6aaeab15-9aeb-48d7-854c-9e2ea7d6ff59"/>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ab4c3e96-0c22-4be8-8dd7-72c823641a84"/>
    <ds:schemaRef ds:uri="http://www.w3.org/XML/1998/namespace"/>
    <ds:schemaRef ds:uri="http://purl.org/dc/dcmitype/"/>
  </ds:schemaRefs>
</ds:datastoreItem>
</file>

<file path=customXml/itemProps2.xml><?xml version="1.0" encoding="utf-8"?>
<ds:datastoreItem xmlns:ds="http://schemas.openxmlformats.org/officeDocument/2006/customXml" ds:itemID="{8B35C045-E8BF-4A21-83C8-76D8355A42C5}">
  <ds:schemaRefs>
    <ds:schemaRef ds:uri="http://schemas.microsoft.com/sharepoint/v3/contenttype/forms"/>
  </ds:schemaRefs>
</ds:datastoreItem>
</file>

<file path=customXml/itemProps3.xml><?xml version="1.0" encoding="utf-8"?>
<ds:datastoreItem xmlns:ds="http://schemas.openxmlformats.org/officeDocument/2006/customXml" ds:itemID="{C9F3A9DA-CB19-4166-8FE5-23746C51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eab15-9aeb-48d7-854c-9e2ea7d6ff59"/>
    <ds:schemaRef ds:uri="ab4c3e96-0c22-4be8-8dd7-72c823641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DF5C8-41B6-4D4B-A8B9-C4DFA8A3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Kuang</dc:creator>
  <cp:keywords/>
  <dc:description/>
  <cp:lastModifiedBy>Charlie Kuang</cp:lastModifiedBy>
  <cp:revision>3</cp:revision>
  <dcterms:created xsi:type="dcterms:W3CDTF">2021-12-05T05:28:00Z</dcterms:created>
  <dcterms:modified xsi:type="dcterms:W3CDTF">2021-12-05T05:28:00Z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0x010100B2EAB4B00DA22C468FC811C3E2E8390B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http://www.zotero.org/styles/national-library-of-medicine</vt:lpwstr>
  </property>
  <property fmtid="{D5CDD505-2E9C-101B-9397-08002B2CF9AE}" pid="14" name="Mendeley Recent Style Name 5_1">
    <vt:lpwstr>National Library of Medicine</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https://csl.mendeley.com/styles/475718761/nature</vt:lpwstr>
  </property>
  <property fmtid="{D5CDD505-2E9C-101B-9397-08002B2CF9AE}" pid="18" name="Mendeley Recent Style Name 7_1">
    <vt:lpwstr>Nature - Chaoyuan Kuang</vt:lpwstr>
  </property>
  <property fmtid="{D5CDD505-2E9C-101B-9397-08002B2CF9AE}" pid="19" name="Mendeley Recent Style Id 8_1">
    <vt:lpwstr>http://csl.mendeley.com/styles/475718761/nature</vt:lpwstr>
  </property>
  <property fmtid="{D5CDD505-2E9C-101B-9397-08002B2CF9AE}" pid="20" name="Mendeley Recent Style Name 8_1">
    <vt:lpwstr>Nature - Chaoyuan Kuang</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b516f7bb-c7d2-34f4-b703-45802e675975</vt:lpwstr>
  </property>
  <property fmtid="{D5CDD505-2E9C-101B-9397-08002B2CF9AE}" pid="25" name="Mendeley Citation Style_1">
    <vt:lpwstr>https://csl.mendeley.com/styles/475718761/nature</vt:lpwstr>
  </property>
</Properties>
</file>