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DC3D3" w14:textId="6D7D8C22" w:rsidR="00AB3F1C" w:rsidRPr="00AB3F1C" w:rsidRDefault="00AB3F1C" w:rsidP="00AB3F1C">
      <w:pPr>
        <w:spacing w:line="360" w:lineRule="auto"/>
        <w:rPr>
          <w:rFonts w:ascii="Times New Roman" w:hAnsi="Times New Roman" w:cs="Times New Roman"/>
          <w:b/>
          <w:bCs/>
          <w:szCs w:val="21"/>
        </w:rPr>
      </w:pPr>
      <w:r w:rsidRPr="00AB3F1C">
        <w:rPr>
          <w:rFonts w:ascii="Times New Roman" w:hAnsi="Times New Roman" w:cs="Times New Roman" w:hint="eastAsia"/>
          <w:b/>
          <w:bCs/>
          <w:szCs w:val="21"/>
        </w:rPr>
        <w:t>C</w:t>
      </w:r>
      <w:r w:rsidRPr="00AB3F1C">
        <w:rPr>
          <w:rFonts w:ascii="Times New Roman" w:hAnsi="Times New Roman" w:cs="Times New Roman"/>
          <w:b/>
          <w:bCs/>
          <w:szCs w:val="21"/>
        </w:rPr>
        <w:t>linicopathology and prognosis analysis</w:t>
      </w:r>
    </w:p>
    <w:p w14:paraId="1EA6F9D9" w14:textId="0EB5784F" w:rsidR="00AB3F1C" w:rsidRDefault="00AB3F1C" w:rsidP="00AB3F1C">
      <w:pPr>
        <w:spacing w:line="360" w:lineRule="auto"/>
        <w:ind w:firstLineChars="200" w:firstLine="420"/>
        <w:rPr>
          <w:rFonts w:ascii="Times New Roman" w:hAnsi="Times New Roman" w:cs="Times New Roman"/>
        </w:rPr>
      </w:pPr>
      <w:r w:rsidRPr="00021277">
        <w:rPr>
          <w:rFonts w:ascii="Times New Roman" w:hAnsi="Times New Roman" w:cs="Times New Roman"/>
          <w:szCs w:val="21"/>
        </w:rPr>
        <w:t xml:space="preserve">The association between </w:t>
      </w:r>
      <w:r w:rsidRPr="00A775F4">
        <w:rPr>
          <w:rFonts w:ascii="Times New Roman" w:hAnsi="Times New Roman" w:cs="Times New Roman"/>
          <w:i/>
          <w:iCs/>
          <w:szCs w:val="21"/>
        </w:rPr>
        <w:t>BCAM</w:t>
      </w:r>
      <w:r w:rsidRPr="00021277">
        <w:rPr>
          <w:rFonts w:ascii="Times New Roman" w:hAnsi="Times New Roman" w:cs="Times New Roman"/>
          <w:szCs w:val="21"/>
        </w:rPr>
        <w:t xml:space="preserve"> </w:t>
      </w:r>
      <w:r>
        <w:rPr>
          <w:rFonts w:ascii="Times New Roman" w:hAnsi="Times New Roman" w:cs="Times New Roman"/>
          <w:szCs w:val="21"/>
        </w:rPr>
        <w:t>mRNA</w:t>
      </w:r>
      <w:r w:rsidRPr="00021277">
        <w:rPr>
          <w:rFonts w:ascii="Times New Roman" w:hAnsi="Times New Roman" w:cs="Times New Roman"/>
          <w:szCs w:val="21"/>
        </w:rPr>
        <w:t xml:space="preserve"> expression and various clinical features of </w:t>
      </w:r>
      <w:proofErr w:type="spellStart"/>
      <w:r>
        <w:rPr>
          <w:rFonts w:ascii="Times New Roman" w:hAnsi="Times New Roman" w:cs="Times New Roman"/>
          <w:szCs w:val="21"/>
        </w:rPr>
        <w:t>ccRCC</w:t>
      </w:r>
      <w:proofErr w:type="spellEnd"/>
      <w:r w:rsidRPr="00021277">
        <w:rPr>
          <w:rFonts w:ascii="Times New Roman" w:hAnsi="Times New Roman" w:cs="Times New Roman"/>
          <w:szCs w:val="21"/>
        </w:rPr>
        <w:t xml:space="preserve">, </w:t>
      </w:r>
      <w:proofErr w:type="spellStart"/>
      <w:r>
        <w:rPr>
          <w:rFonts w:ascii="Times New Roman" w:hAnsi="Times New Roman" w:cs="Times New Roman"/>
          <w:szCs w:val="21"/>
        </w:rPr>
        <w:t>pRCC</w:t>
      </w:r>
      <w:proofErr w:type="spellEnd"/>
      <w:r w:rsidRPr="00021277">
        <w:rPr>
          <w:rFonts w:ascii="Times New Roman" w:hAnsi="Times New Roman" w:cs="Times New Roman"/>
          <w:szCs w:val="21"/>
        </w:rPr>
        <w:t xml:space="preserve"> and </w:t>
      </w:r>
      <w:proofErr w:type="spellStart"/>
      <w:r>
        <w:rPr>
          <w:rFonts w:ascii="Times New Roman" w:hAnsi="Times New Roman" w:cs="Times New Roman"/>
          <w:szCs w:val="21"/>
        </w:rPr>
        <w:t>chRCC</w:t>
      </w:r>
      <w:proofErr w:type="spellEnd"/>
      <w:r w:rsidRPr="00021277">
        <w:rPr>
          <w:rFonts w:ascii="Times New Roman" w:hAnsi="Times New Roman" w:cs="Times New Roman"/>
          <w:szCs w:val="21"/>
        </w:rPr>
        <w:t xml:space="preserve"> were </w:t>
      </w:r>
      <w:r w:rsidR="00373B19">
        <w:rPr>
          <w:rFonts w:ascii="Times New Roman" w:hAnsi="Times New Roman" w:cs="Times New Roman"/>
          <w:szCs w:val="21"/>
        </w:rPr>
        <w:t>analyzed</w:t>
      </w:r>
      <w:r w:rsidRPr="00021277">
        <w:rPr>
          <w:rFonts w:ascii="Times New Roman" w:hAnsi="Times New Roman" w:cs="Times New Roman"/>
          <w:szCs w:val="21"/>
        </w:rPr>
        <w:t xml:space="preserve">, </w:t>
      </w:r>
      <w:r>
        <w:rPr>
          <w:rFonts w:ascii="Times New Roman" w:hAnsi="Times New Roman" w:cs="Times New Roman" w:hint="eastAsia"/>
          <w:szCs w:val="21"/>
        </w:rPr>
        <w:t>including</w:t>
      </w:r>
      <w:r>
        <w:rPr>
          <w:rFonts w:ascii="Times New Roman" w:hAnsi="Times New Roman" w:cs="Times New Roman"/>
          <w:szCs w:val="21"/>
        </w:rPr>
        <w:t xml:space="preserve"> age, gender, </w:t>
      </w:r>
      <w:proofErr w:type="spellStart"/>
      <w:r>
        <w:rPr>
          <w:rFonts w:ascii="Times New Roman" w:hAnsi="Times New Roman" w:cs="Times New Roman"/>
          <w:szCs w:val="21"/>
        </w:rPr>
        <w:t>pT</w:t>
      </w:r>
      <w:proofErr w:type="spellEnd"/>
      <w:r>
        <w:rPr>
          <w:rFonts w:ascii="Times New Roman" w:hAnsi="Times New Roman" w:cs="Times New Roman"/>
          <w:szCs w:val="21"/>
        </w:rPr>
        <w:t xml:space="preserve"> stage, </w:t>
      </w:r>
      <w:proofErr w:type="spellStart"/>
      <w:r>
        <w:rPr>
          <w:rFonts w:ascii="Times New Roman" w:hAnsi="Times New Roman" w:cs="Times New Roman"/>
          <w:szCs w:val="21"/>
        </w:rPr>
        <w:t>pN</w:t>
      </w:r>
      <w:proofErr w:type="spellEnd"/>
      <w:r>
        <w:rPr>
          <w:rFonts w:ascii="Times New Roman" w:hAnsi="Times New Roman" w:cs="Times New Roman"/>
          <w:szCs w:val="21"/>
        </w:rPr>
        <w:t xml:space="preserve"> stage, metastatic status</w:t>
      </w:r>
      <w:r w:rsidR="009362B2">
        <w:rPr>
          <w:rFonts w:ascii="Times New Roman" w:hAnsi="Times New Roman" w:cs="Times New Roman"/>
          <w:szCs w:val="21"/>
        </w:rPr>
        <w:t>,</w:t>
      </w:r>
      <w:r>
        <w:rPr>
          <w:rFonts w:ascii="Times New Roman" w:hAnsi="Times New Roman" w:cs="Times New Roman"/>
          <w:szCs w:val="21"/>
        </w:rPr>
        <w:t xml:space="preserve"> tumor grading</w:t>
      </w:r>
      <w:r w:rsidRPr="00021277">
        <w:rPr>
          <w:rFonts w:ascii="Times New Roman" w:hAnsi="Times New Roman" w:cs="Times New Roman"/>
          <w:szCs w:val="21"/>
        </w:rPr>
        <w:t>. It was considered that there was statistic</w:t>
      </w:r>
      <w:r w:rsidR="00373B19">
        <w:rPr>
          <w:rFonts w:ascii="Times New Roman" w:hAnsi="Times New Roman" w:cs="Times New Roman"/>
          <w:szCs w:val="21"/>
        </w:rPr>
        <w:t>al</w:t>
      </w:r>
      <w:r w:rsidRPr="00021277">
        <w:rPr>
          <w:rFonts w:ascii="Times New Roman" w:hAnsi="Times New Roman" w:cs="Times New Roman"/>
          <w:szCs w:val="21"/>
        </w:rPr>
        <w:t xml:space="preserve"> difference if p &lt; 0.05.</w:t>
      </w:r>
      <w:r>
        <w:rPr>
          <w:rFonts w:ascii="Times New Roman" w:hAnsi="Times New Roman" w:cs="Times New Roman"/>
          <w:szCs w:val="21"/>
        </w:rPr>
        <w:t xml:space="preserve"> </w:t>
      </w:r>
      <w:r>
        <w:rPr>
          <w:rFonts w:ascii="Times New Roman" w:hAnsi="Times New Roman" w:cs="Times New Roman"/>
        </w:rPr>
        <w:t xml:space="preserve">Then, the </w:t>
      </w:r>
      <w:r w:rsidRPr="00A775F4">
        <w:rPr>
          <w:rFonts w:ascii="Times New Roman" w:hAnsi="Times New Roman" w:cs="Times New Roman"/>
          <w:i/>
          <w:iCs/>
        </w:rPr>
        <w:t>BCAM</w:t>
      </w:r>
      <w:r>
        <w:rPr>
          <w:rFonts w:ascii="Times New Roman" w:hAnsi="Times New Roman" w:cs="Times New Roman"/>
        </w:rPr>
        <w:t xml:space="preserve"> proteomic expression difference in </w:t>
      </w:r>
      <w:proofErr w:type="spellStart"/>
      <w:r>
        <w:rPr>
          <w:rFonts w:ascii="Times New Roman" w:hAnsi="Times New Roman" w:cs="Times New Roman"/>
        </w:rPr>
        <w:t>ccRCC</w:t>
      </w:r>
      <w:proofErr w:type="spellEnd"/>
      <w:r>
        <w:rPr>
          <w:rFonts w:ascii="Times New Roman" w:hAnsi="Times New Roman" w:cs="Times New Roman"/>
        </w:rPr>
        <w:t xml:space="preserve"> was also explored </w:t>
      </w:r>
      <w:r w:rsidR="00373B19">
        <w:rPr>
          <w:rFonts w:ascii="Times New Roman" w:hAnsi="Times New Roman" w:cs="Times New Roman"/>
        </w:rPr>
        <w:t>among different subgroups</w:t>
      </w:r>
      <w:r>
        <w:rPr>
          <w:rFonts w:ascii="Times New Roman" w:hAnsi="Times New Roman" w:cs="Times New Roman"/>
        </w:rPr>
        <w:t>. Ultimately, w</w:t>
      </w:r>
      <w:r w:rsidRPr="009A6E6B">
        <w:rPr>
          <w:rFonts w:ascii="Times New Roman" w:hAnsi="Times New Roman" w:cs="Times New Roman"/>
        </w:rPr>
        <w:t xml:space="preserve">e conducted the overall survival (OS) analysis to assess the potential association between the expression status of the </w:t>
      </w:r>
      <w:r w:rsidRPr="00A775F4">
        <w:rPr>
          <w:rFonts w:ascii="Times New Roman" w:hAnsi="Times New Roman" w:cs="Times New Roman"/>
          <w:i/>
          <w:iCs/>
        </w:rPr>
        <w:t>BCAM</w:t>
      </w:r>
      <w:r w:rsidRPr="009A6E6B">
        <w:rPr>
          <w:rFonts w:ascii="Times New Roman" w:hAnsi="Times New Roman" w:cs="Times New Roman"/>
        </w:rPr>
        <w:t xml:space="preserve"> gene and the prognosis of </w:t>
      </w:r>
      <w:proofErr w:type="spellStart"/>
      <w:r>
        <w:rPr>
          <w:rFonts w:ascii="Times New Roman" w:hAnsi="Times New Roman" w:cs="Times New Roman"/>
        </w:rPr>
        <w:t>ccRCC</w:t>
      </w:r>
      <w:proofErr w:type="spellEnd"/>
      <w:r w:rsidRPr="009A6E6B">
        <w:rPr>
          <w:rFonts w:ascii="Times New Roman" w:hAnsi="Times New Roman" w:cs="Times New Roman"/>
        </w:rPr>
        <w:t xml:space="preserve">, </w:t>
      </w:r>
      <w:proofErr w:type="spellStart"/>
      <w:r>
        <w:rPr>
          <w:rFonts w:ascii="Times New Roman" w:hAnsi="Times New Roman" w:cs="Times New Roman"/>
        </w:rPr>
        <w:t>pRCC</w:t>
      </w:r>
      <w:proofErr w:type="spellEnd"/>
      <w:r w:rsidRPr="009A6E6B">
        <w:rPr>
          <w:rFonts w:ascii="Times New Roman" w:hAnsi="Times New Roman" w:cs="Times New Roman"/>
        </w:rPr>
        <w:t xml:space="preserve">, </w:t>
      </w:r>
      <w:proofErr w:type="spellStart"/>
      <w:r>
        <w:rPr>
          <w:rFonts w:ascii="Times New Roman" w:hAnsi="Times New Roman" w:cs="Times New Roman"/>
        </w:rPr>
        <w:t>chRCC</w:t>
      </w:r>
      <w:proofErr w:type="spellEnd"/>
      <w:r>
        <w:rPr>
          <w:rFonts w:ascii="Times New Roman" w:hAnsi="Times New Roman" w:cs="Times New Roman"/>
        </w:rPr>
        <w:t xml:space="preserve"> </w:t>
      </w:r>
      <w:r w:rsidRPr="009A6E6B">
        <w:rPr>
          <w:rFonts w:ascii="Times New Roman" w:hAnsi="Times New Roman" w:cs="Times New Roman"/>
        </w:rPr>
        <w:t>respectively</w:t>
      </w:r>
      <w:r>
        <w:rPr>
          <w:rFonts w:ascii="Times New Roman" w:hAnsi="Times New Roman" w:cs="Times New Roman"/>
        </w:rPr>
        <w:t xml:space="preserve"> </w:t>
      </w:r>
      <w:r>
        <w:rPr>
          <w:rFonts w:ascii="Times New Roman" w:hAnsi="Times New Roman" w:cs="Times New Roman" w:hint="eastAsia"/>
        </w:rPr>
        <w:t>using</w:t>
      </w:r>
      <w:r>
        <w:rPr>
          <w:rFonts w:ascii="Times New Roman" w:hAnsi="Times New Roman" w:cs="Times New Roman"/>
        </w:rPr>
        <w:t xml:space="preserve"> GEPIA (Gene Expression Profiling Interactive Analysis)</w:t>
      </w:r>
      <w:r w:rsidRPr="009A6E6B">
        <w:rPr>
          <w:rFonts w:ascii="Times New Roman" w:hAnsi="Times New Roman" w:cs="Times New Roman"/>
        </w:rPr>
        <w:t>.</w:t>
      </w:r>
      <w:r>
        <w:rPr>
          <w:rFonts w:ascii="Times New Roman" w:hAnsi="Times New Roman" w:cs="Times New Roman"/>
        </w:rPr>
        <w:fldChar w:fldCharType="begin"/>
      </w:r>
      <w:r w:rsidR="00905C00">
        <w:rPr>
          <w:rFonts w:ascii="Times New Roman" w:hAnsi="Times New Roman" w:cs="Times New Roman"/>
        </w:rPr>
        <w:instrText xml:space="preserve"> ADDIN ZOTERO_ITEM CSL_CITATION {"citationID":"cxQBGgWD","properties":{"formattedCitation":"\\super 1\\nosupersub{}","plainCitation":"1","noteIndex":0},"citationItems":[{"id":528,"uris":["http://zotero.org/users/local/OwE58yZl/items/JF8CP53I"],"itemData":{"id":528,"type":"article-journal","abstract":"Tremendous amount of RNA sequencing data have been produced by large consortium projects such as TCGA and GTEx, creating new opportunities for data mining and deeper understanding of gene functions. While certain existing web servers are valuable and widely used, many expression analysis functions needed by experimental biologists are still not adequately addressed by these tools. We introduce GEPIA (Gene Expression Proﬁling Interactive Analysis), a web-based tool to deliver fast and customizable functionalities based on TCGA and GTEx data. GEPIA provides key interactive and customizable functions including differential expression analysis, proﬁling plotting, correlation analysis, patient survival analysis, similar gene detection and dimensionality reduction analysis. The comprehensive expression analyses with simple clicking through GEPIA greatly facilitate data mining in wide research areas, scientiﬁc discussion and the therapeutic discovery process. GEPIA ﬁlls in the gap between cancer genomics big data and the delivery of integrated information to end users, thus helping unleash the value of the current data resources. GEPIA is available at http://gepia.cancer-pku.cn/.","container-title":"Nucleic Acids Research","DOI":"10.1093/nar/gkx247","ISSN":"0305-1048, 1362-4962","issue":"W1","language":"en","page":"W98-W102","source":"DOI.org (Crossref)","title":"GEPIA: a web server for cancer and normal gene expression profiling and interactive analyses","title-short":"GEPIA","volume":"45","author":[{"family":"Tang","given":"Zefang"},{"family":"Li","given":"Chenwei"},{"family":"Kang","given":"Boxi"},{"family":"Gao","given":"Ge"},{"family":"Li","given":"Cheng"},{"family":"Zhang","given":"Zemin"}],"issued":{"date-parts":[["2017",7,3]]}}}],"schema":"https://github.com/citation-style-language/schema/raw/master/csl-citation.json"} </w:instrText>
      </w:r>
      <w:r>
        <w:rPr>
          <w:rFonts w:ascii="Times New Roman" w:hAnsi="Times New Roman" w:cs="Times New Roman"/>
        </w:rPr>
        <w:fldChar w:fldCharType="separate"/>
      </w:r>
      <w:r w:rsidRPr="00AB3F1C">
        <w:rPr>
          <w:rFonts w:ascii="Times New Roman" w:hAnsi="Times New Roman" w:cs="Times New Roman"/>
          <w:kern w:val="0"/>
          <w:szCs w:val="24"/>
          <w:vertAlign w:val="superscript"/>
        </w:rPr>
        <w:t>1</w:t>
      </w:r>
      <w:r>
        <w:rPr>
          <w:rFonts w:ascii="Times New Roman" w:hAnsi="Times New Roman" w:cs="Times New Roman"/>
        </w:rPr>
        <w:fldChar w:fldCharType="end"/>
      </w:r>
      <w:r>
        <w:rPr>
          <w:rFonts w:ascii="Times New Roman" w:hAnsi="Times New Roman" w:cs="Times New Roman"/>
        </w:rPr>
        <w:t xml:space="preserve"> </w:t>
      </w:r>
      <w:r w:rsidRPr="009A6E6B">
        <w:rPr>
          <w:rFonts w:ascii="Times New Roman" w:hAnsi="Times New Roman" w:cs="Times New Roman"/>
        </w:rPr>
        <w:t xml:space="preserve">The results were visualized by plotting the Kaplan-Meier curve, and </w:t>
      </w:r>
      <w:r>
        <w:rPr>
          <w:rFonts w:ascii="Times New Roman" w:hAnsi="Times New Roman" w:cs="Times New Roman"/>
        </w:rPr>
        <w:t xml:space="preserve">we identified the median value as </w:t>
      </w:r>
      <w:r w:rsidRPr="009A6E6B">
        <w:rPr>
          <w:rFonts w:ascii="Times New Roman" w:hAnsi="Times New Roman" w:cs="Times New Roman"/>
        </w:rPr>
        <w:t>the cutoff between high expression and low expression groups</w:t>
      </w:r>
      <w:r>
        <w:rPr>
          <w:rFonts w:ascii="Times New Roman" w:hAnsi="Times New Roman" w:cs="Times New Roman"/>
        </w:rPr>
        <w:t xml:space="preserve">. </w:t>
      </w:r>
    </w:p>
    <w:p w14:paraId="20CE4BF9" w14:textId="254542B6" w:rsidR="00AB3F1C" w:rsidRDefault="00AB3F1C" w:rsidP="00AB3F1C">
      <w:pPr>
        <w:spacing w:line="360" w:lineRule="auto"/>
        <w:rPr>
          <w:rFonts w:ascii="Times New Roman" w:hAnsi="Times New Roman" w:cs="Times New Roman"/>
        </w:rPr>
      </w:pPr>
    </w:p>
    <w:p w14:paraId="657E3887" w14:textId="77777777" w:rsidR="00AB3F1C" w:rsidRPr="00AB3F1C" w:rsidRDefault="00AB3F1C" w:rsidP="00AB3F1C">
      <w:pPr>
        <w:spacing w:line="360" w:lineRule="auto"/>
        <w:rPr>
          <w:rFonts w:ascii="Times New Roman" w:hAnsi="Times New Roman" w:cs="Times New Roman"/>
          <w:b/>
          <w:bCs/>
          <w:szCs w:val="21"/>
        </w:rPr>
      </w:pPr>
      <w:r w:rsidRPr="00AB3F1C">
        <w:rPr>
          <w:rFonts w:ascii="Times New Roman" w:hAnsi="Times New Roman" w:cs="Times New Roman"/>
          <w:b/>
          <w:bCs/>
          <w:szCs w:val="21"/>
        </w:rPr>
        <w:t>Functional and pathway enrichment analysis</w:t>
      </w:r>
    </w:p>
    <w:p w14:paraId="364B8C5A" w14:textId="2F1D375E" w:rsidR="00AB3F1C" w:rsidRDefault="00AB3F1C" w:rsidP="00AB3F1C">
      <w:pPr>
        <w:spacing w:line="360" w:lineRule="auto"/>
        <w:ind w:firstLineChars="200" w:firstLine="420"/>
        <w:rPr>
          <w:rFonts w:ascii="Times New Roman" w:hAnsi="Times New Roman" w:cs="Times New Roman"/>
          <w:szCs w:val="21"/>
        </w:rPr>
      </w:pPr>
      <w:r w:rsidRPr="00AB3F1C">
        <w:rPr>
          <w:rFonts w:ascii="Times New Roman" w:hAnsi="Times New Roman" w:cs="Times New Roman"/>
          <w:szCs w:val="21"/>
        </w:rPr>
        <w:t xml:space="preserve">In order to better comprehend the biological functions and signaling pathways </w:t>
      </w:r>
      <w:r w:rsidR="00373B19">
        <w:rPr>
          <w:rFonts w:ascii="Times New Roman" w:hAnsi="Times New Roman" w:cs="Times New Roman"/>
          <w:szCs w:val="21"/>
        </w:rPr>
        <w:t>correlated with</w:t>
      </w:r>
      <w:r w:rsidRPr="00AB3F1C">
        <w:rPr>
          <w:rFonts w:ascii="Times New Roman" w:hAnsi="Times New Roman" w:cs="Times New Roman"/>
          <w:szCs w:val="21"/>
        </w:rPr>
        <w:t xml:space="preserve"> BCAM gene expression, first, the “</w:t>
      </w:r>
      <w:proofErr w:type="spellStart"/>
      <w:r w:rsidRPr="00AB3F1C">
        <w:rPr>
          <w:rFonts w:ascii="Times New Roman" w:hAnsi="Times New Roman" w:cs="Times New Roman"/>
          <w:szCs w:val="21"/>
        </w:rPr>
        <w:t>Limma</w:t>
      </w:r>
      <w:proofErr w:type="spellEnd"/>
      <w:r w:rsidRPr="00AB3F1C">
        <w:rPr>
          <w:rFonts w:ascii="Times New Roman" w:hAnsi="Times New Roman" w:cs="Times New Roman"/>
          <w:szCs w:val="21"/>
        </w:rPr>
        <w:t xml:space="preserve">” package was used to analyze the differential expression of mRNAs between </w:t>
      </w:r>
      <w:r w:rsidR="00A775F4">
        <w:rPr>
          <w:rFonts w:ascii="Times New Roman" w:hAnsi="Times New Roman" w:cs="Times New Roman"/>
          <w:szCs w:val="21"/>
        </w:rPr>
        <w:t xml:space="preserve">the </w:t>
      </w:r>
      <w:r w:rsidRPr="00A775F4">
        <w:rPr>
          <w:rFonts w:ascii="Times New Roman" w:hAnsi="Times New Roman" w:cs="Times New Roman"/>
          <w:i/>
          <w:iCs/>
          <w:szCs w:val="21"/>
        </w:rPr>
        <w:t>BCAM</w:t>
      </w:r>
      <w:r w:rsidRPr="00AB3F1C">
        <w:rPr>
          <w:rFonts w:ascii="Times New Roman" w:hAnsi="Times New Roman" w:cs="Times New Roman"/>
          <w:szCs w:val="21"/>
        </w:rPr>
        <w:t xml:space="preserve">-low and </w:t>
      </w:r>
      <w:r w:rsidRPr="00A775F4">
        <w:rPr>
          <w:rFonts w:ascii="Times New Roman" w:hAnsi="Times New Roman" w:cs="Times New Roman"/>
          <w:i/>
          <w:iCs/>
          <w:szCs w:val="21"/>
        </w:rPr>
        <w:t>BCAM</w:t>
      </w:r>
      <w:r w:rsidRPr="00AB3F1C">
        <w:rPr>
          <w:rFonts w:ascii="Times New Roman" w:hAnsi="Times New Roman" w:cs="Times New Roman"/>
          <w:szCs w:val="21"/>
        </w:rPr>
        <w:t xml:space="preserve">-high </w:t>
      </w:r>
      <w:r w:rsidR="00A775F4">
        <w:rPr>
          <w:rFonts w:ascii="Times New Roman" w:hAnsi="Times New Roman" w:cs="Times New Roman" w:hint="eastAsia"/>
          <w:szCs w:val="21"/>
        </w:rPr>
        <w:t>sub</w:t>
      </w:r>
      <w:r w:rsidRPr="00AB3F1C">
        <w:rPr>
          <w:rFonts w:ascii="Times New Roman" w:hAnsi="Times New Roman" w:cs="Times New Roman"/>
          <w:szCs w:val="21"/>
        </w:rPr>
        <w:t>group</w:t>
      </w:r>
      <w:r w:rsidR="00A775F4">
        <w:rPr>
          <w:rFonts w:ascii="Times New Roman" w:hAnsi="Times New Roman" w:cs="Times New Roman"/>
          <w:szCs w:val="21"/>
        </w:rPr>
        <w:t>s</w:t>
      </w:r>
      <w:r w:rsidRPr="00AB3F1C">
        <w:rPr>
          <w:rFonts w:ascii="Times New Roman" w:hAnsi="Times New Roman" w:cs="Times New Roman"/>
          <w:szCs w:val="21"/>
        </w:rPr>
        <w:t xml:space="preserve">. Volcano plot was constructed to reveal all the over-expressed and down-expressed mRNAs with statistical significance. Adjusted p &lt; 0.05 and fold change = </w:t>
      </w:r>
      <w:r w:rsidRPr="00AB3F1C">
        <w:rPr>
          <w:rFonts w:ascii="Times New Roman" w:hAnsi="Times New Roman" w:cs="Times New Roman" w:hint="eastAsia"/>
          <w:szCs w:val="21"/>
        </w:rPr>
        <w:t>1.5</w:t>
      </w:r>
      <w:r w:rsidRPr="00AB3F1C">
        <w:rPr>
          <w:rFonts w:ascii="Times New Roman" w:hAnsi="Times New Roman" w:cs="Times New Roman"/>
          <w:szCs w:val="21"/>
        </w:rPr>
        <w:t xml:space="preserve"> were defined as the thresholds. Due to the large number of differential genes, we also plotted a heatmap to shown the 50 up-regulated genes and 50 down-regulated genes with the largest differential changes, in which different colors represent the expression trend in </w:t>
      </w:r>
      <w:proofErr w:type="spellStart"/>
      <w:r w:rsidRPr="00AB3F1C">
        <w:rPr>
          <w:rFonts w:ascii="Times New Roman" w:hAnsi="Times New Roman" w:cs="Times New Roman"/>
          <w:szCs w:val="21"/>
        </w:rPr>
        <w:t>ccRCC</w:t>
      </w:r>
      <w:proofErr w:type="spellEnd"/>
      <w:r w:rsidRPr="00AB3F1C">
        <w:rPr>
          <w:rFonts w:ascii="Times New Roman" w:hAnsi="Times New Roman" w:cs="Times New Roman"/>
          <w:szCs w:val="21"/>
        </w:rPr>
        <w:t xml:space="preserve"> samples. After that, the transcriptome data of TCGA </w:t>
      </w:r>
      <w:proofErr w:type="spellStart"/>
      <w:r w:rsidRPr="00AB3F1C">
        <w:rPr>
          <w:rFonts w:ascii="Times New Roman" w:hAnsi="Times New Roman" w:cs="Times New Roman"/>
          <w:szCs w:val="21"/>
        </w:rPr>
        <w:t>ccRCC</w:t>
      </w:r>
      <w:proofErr w:type="spellEnd"/>
      <w:r w:rsidRPr="00AB3F1C">
        <w:rPr>
          <w:rFonts w:ascii="Times New Roman" w:hAnsi="Times New Roman" w:cs="Times New Roman"/>
          <w:szCs w:val="21"/>
        </w:rPr>
        <w:t xml:space="preserve"> were analyzed by performing Gene Ontology (GO) enrichment analysis and Kyoto Encyclopedia of Gene and Genomes (KEGG) pathway enrichment analysis. For GO enrichment analysis, biological process, cellular component and molecular function were all taken into account. We employed the “</w:t>
      </w:r>
      <w:proofErr w:type="spellStart"/>
      <w:r w:rsidRPr="00AB3F1C">
        <w:rPr>
          <w:rFonts w:ascii="Times New Roman" w:hAnsi="Times New Roman" w:cs="Times New Roman"/>
          <w:szCs w:val="21"/>
        </w:rPr>
        <w:t>ClusterProfiler</w:t>
      </w:r>
      <w:proofErr w:type="spellEnd"/>
      <w:r w:rsidRPr="00AB3F1C">
        <w:rPr>
          <w:rFonts w:ascii="Times New Roman" w:hAnsi="Times New Roman" w:cs="Times New Roman"/>
          <w:szCs w:val="21"/>
        </w:rPr>
        <w:t xml:space="preserve">” package to analyze the GO function of differential genes between </w:t>
      </w:r>
      <w:r w:rsidR="00A775F4">
        <w:rPr>
          <w:rFonts w:ascii="Times New Roman" w:hAnsi="Times New Roman" w:cs="Times New Roman"/>
          <w:szCs w:val="21"/>
        </w:rPr>
        <w:t xml:space="preserve">the </w:t>
      </w:r>
      <w:r w:rsidRPr="00A775F4">
        <w:rPr>
          <w:rFonts w:ascii="Times New Roman" w:hAnsi="Times New Roman" w:cs="Times New Roman"/>
          <w:i/>
          <w:iCs/>
          <w:szCs w:val="21"/>
        </w:rPr>
        <w:t>BCAM</w:t>
      </w:r>
      <w:r w:rsidRPr="00AB3F1C">
        <w:rPr>
          <w:rFonts w:ascii="Times New Roman" w:hAnsi="Times New Roman" w:cs="Times New Roman"/>
          <w:szCs w:val="21"/>
        </w:rPr>
        <w:t xml:space="preserve">-low and </w:t>
      </w:r>
      <w:r w:rsidRPr="00A775F4">
        <w:rPr>
          <w:rFonts w:ascii="Times New Roman" w:hAnsi="Times New Roman" w:cs="Times New Roman"/>
          <w:i/>
          <w:iCs/>
          <w:szCs w:val="21"/>
        </w:rPr>
        <w:t>BCAM</w:t>
      </w:r>
      <w:r w:rsidRPr="00AB3F1C">
        <w:rPr>
          <w:rFonts w:ascii="Times New Roman" w:hAnsi="Times New Roman" w:cs="Times New Roman"/>
          <w:szCs w:val="21"/>
        </w:rPr>
        <w:t xml:space="preserve">-high </w:t>
      </w:r>
      <w:r w:rsidR="00A775F4">
        <w:rPr>
          <w:rFonts w:ascii="Times New Roman" w:hAnsi="Times New Roman" w:cs="Times New Roman"/>
          <w:szCs w:val="21"/>
        </w:rPr>
        <w:t>sub</w:t>
      </w:r>
      <w:r w:rsidRPr="00AB3F1C">
        <w:rPr>
          <w:rFonts w:ascii="Times New Roman" w:hAnsi="Times New Roman" w:cs="Times New Roman"/>
          <w:szCs w:val="21"/>
        </w:rPr>
        <w:t>group</w:t>
      </w:r>
      <w:r w:rsidR="00A775F4">
        <w:rPr>
          <w:rFonts w:ascii="Times New Roman" w:hAnsi="Times New Roman" w:cs="Times New Roman"/>
          <w:szCs w:val="21"/>
        </w:rPr>
        <w:t>s</w:t>
      </w:r>
      <w:r w:rsidRPr="00AB3F1C">
        <w:rPr>
          <w:rFonts w:ascii="Times New Roman" w:hAnsi="Times New Roman" w:cs="Times New Roman"/>
          <w:szCs w:val="21"/>
        </w:rPr>
        <w:t xml:space="preserve"> and enrich the KEGG pathway, p &lt; 0.05 or FDR &lt; 0.05 was considered to be an enriched pathway.</w:t>
      </w:r>
    </w:p>
    <w:p w14:paraId="3658B045" w14:textId="77777777" w:rsidR="00AB3F1C" w:rsidRPr="00AB3F1C" w:rsidRDefault="00AB3F1C" w:rsidP="00AB3F1C">
      <w:pPr>
        <w:spacing w:line="360" w:lineRule="auto"/>
        <w:rPr>
          <w:rFonts w:ascii="Times New Roman" w:hAnsi="Times New Roman" w:cs="Times New Roman"/>
          <w:szCs w:val="21"/>
        </w:rPr>
      </w:pPr>
    </w:p>
    <w:p w14:paraId="54F9C918" w14:textId="77777777" w:rsidR="00AB3F1C" w:rsidRPr="00AB3F1C" w:rsidRDefault="00AB3F1C" w:rsidP="00AB3F1C">
      <w:pPr>
        <w:spacing w:line="360" w:lineRule="auto"/>
        <w:rPr>
          <w:rFonts w:ascii="Times New Roman" w:hAnsi="Times New Roman" w:cs="Times New Roman"/>
          <w:b/>
          <w:bCs/>
          <w:szCs w:val="21"/>
        </w:rPr>
      </w:pPr>
      <w:r w:rsidRPr="00AB3F1C">
        <w:rPr>
          <w:rFonts w:ascii="Times New Roman" w:hAnsi="Times New Roman" w:cs="Times New Roman" w:hint="eastAsia"/>
          <w:b/>
          <w:bCs/>
          <w:szCs w:val="21"/>
        </w:rPr>
        <w:t>I</w:t>
      </w:r>
      <w:r w:rsidRPr="00AB3F1C">
        <w:rPr>
          <w:rFonts w:ascii="Times New Roman" w:hAnsi="Times New Roman" w:cs="Times New Roman"/>
          <w:b/>
          <w:bCs/>
          <w:szCs w:val="21"/>
        </w:rPr>
        <w:t>mmune infiltration and immune checkpoint analysis</w:t>
      </w:r>
    </w:p>
    <w:p w14:paraId="0DA47517" w14:textId="72363DE8" w:rsidR="00AB3F1C" w:rsidRPr="00AB3F1C" w:rsidRDefault="00AB3F1C" w:rsidP="00AB3F1C">
      <w:pPr>
        <w:spacing w:line="360" w:lineRule="auto"/>
        <w:ind w:firstLineChars="200" w:firstLine="420"/>
        <w:rPr>
          <w:rFonts w:ascii="Times New Roman" w:hAnsi="Times New Roman" w:cs="Times New Roman"/>
        </w:rPr>
      </w:pPr>
      <w:r w:rsidRPr="00AB3F1C">
        <w:rPr>
          <w:rFonts w:ascii="Times New Roman" w:hAnsi="Times New Roman" w:cs="Times New Roman"/>
        </w:rPr>
        <w:t xml:space="preserve">To further explore the potential correlation between </w:t>
      </w:r>
      <w:r w:rsidRPr="00A775F4">
        <w:rPr>
          <w:rFonts w:ascii="Times New Roman" w:hAnsi="Times New Roman" w:cs="Times New Roman"/>
          <w:i/>
          <w:iCs/>
        </w:rPr>
        <w:t>BCAM</w:t>
      </w:r>
      <w:r w:rsidRPr="00AB3F1C">
        <w:rPr>
          <w:rFonts w:ascii="Times New Roman" w:hAnsi="Times New Roman" w:cs="Times New Roman"/>
        </w:rPr>
        <w:t xml:space="preserve"> expression and immunological conditions in TME in </w:t>
      </w:r>
      <w:proofErr w:type="spellStart"/>
      <w:r w:rsidRPr="00AB3F1C">
        <w:rPr>
          <w:rFonts w:ascii="Times New Roman" w:hAnsi="Times New Roman" w:cs="Times New Roman"/>
        </w:rPr>
        <w:t>ccRCC</w:t>
      </w:r>
      <w:proofErr w:type="spellEnd"/>
      <w:r w:rsidRPr="00AB3F1C">
        <w:rPr>
          <w:rFonts w:ascii="Times New Roman" w:hAnsi="Times New Roman" w:cs="Times New Roman"/>
        </w:rPr>
        <w:t xml:space="preserve">, </w:t>
      </w:r>
      <w:r w:rsidRPr="00AB3F1C">
        <w:rPr>
          <w:rFonts w:ascii="Times New Roman" w:hAnsi="Times New Roman" w:cs="Times New Roman" w:hint="eastAsia"/>
        </w:rPr>
        <w:t>w</w:t>
      </w:r>
      <w:r w:rsidRPr="00AB3F1C">
        <w:rPr>
          <w:rFonts w:ascii="Times New Roman" w:hAnsi="Times New Roman" w:cs="Times New Roman"/>
        </w:rPr>
        <w:t>e then used the “</w:t>
      </w:r>
      <w:proofErr w:type="spellStart"/>
      <w:r w:rsidRPr="00AB3F1C">
        <w:rPr>
          <w:rFonts w:ascii="Times New Roman" w:hAnsi="Times New Roman" w:cs="Times New Roman"/>
        </w:rPr>
        <w:t>immunedeconv</w:t>
      </w:r>
      <w:proofErr w:type="spellEnd"/>
      <w:r w:rsidRPr="00AB3F1C">
        <w:rPr>
          <w:rFonts w:ascii="Times New Roman" w:hAnsi="Times New Roman" w:cs="Times New Roman"/>
        </w:rPr>
        <w:t xml:space="preserve">” package to </w:t>
      </w:r>
      <w:r w:rsidR="00373B19">
        <w:rPr>
          <w:rFonts w:ascii="Times New Roman" w:hAnsi="Times New Roman" w:cs="Times New Roman"/>
        </w:rPr>
        <w:t>observe</w:t>
      </w:r>
      <w:r w:rsidRPr="00AB3F1C">
        <w:rPr>
          <w:rFonts w:ascii="Times New Roman" w:hAnsi="Times New Roman" w:cs="Times New Roman"/>
        </w:rPr>
        <w:t xml:space="preserve"> the </w:t>
      </w:r>
      <w:r w:rsidRPr="00AB3F1C">
        <w:rPr>
          <w:rFonts w:ascii="Times New Roman" w:hAnsi="Times New Roman" w:cs="Times New Roman"/>
        </w:rPr>
        <w:lastRenderedPageBreak/>
        <w:t xml:space="preserve">difference of immune cell score distribution between </w:t>
      </w:r>
      <w:r w:rsidR="00A775F4">
        <w:rPr>
          <w:rFonts w:ascii="Times New Roman" w:hAnsi="Times New Roman" w:cs="Times New Roman"/>
        </w:rPr>
        <w:t xml:space="preserve">the </w:t>
      </w:r>
      <w:r w:rsidRPr="00A775F4">
        <w:rPr>
          <w:rFonts w:ascii="Times New Roman" w:hAnsi="Times New Roman" w:cs="Times New Roman"/>
          <w:i/>
          <w:iCs/>
        </w:rPr>
        <w:t>BCAM</w:t>
      </w:r>
      <w:r w:rsidRPr="00AB3F1C">
        <w:rPr>
          <w:rFonts w:ascii="Times New Roman" w:hAnsi="Times New Roman" w:cs="Times New Roman"/>
        </w:rPr>
        <w:t>-low</w:t>
      </w:r>
      <w:r w:rsidR="00A775F4">
        <w:rPr>
          <w:rFonts w:ascii="Times New Roman" w:hAnsi="Times New Roman" w:cs="Times New Roman"/>
        </w:rPr>
        <w:t xml:space="preserve"> a</w:t>
      </w:r>
      <w:r w:rsidRPr="00AB3F1C">
        <w:rPr>
          <w:rFonts w:ascii="Times New Roman" w:hAnsi="Times New Roman" w:cs="Times New Roman"/>
        </w:rPr>
        <w:t xml:space="preserve">nd </w:t>
      </w:r>
      <w:r w:rsidRPr="00A775F4">
        <w:rPr>
          <w:rFonts w:ascii="Times New Roman" w:hAnsi="Times New Roman" w:cs="Times New Roman"/>
          <w:i/>
          <w:iCs/>
        </w:rPr>
        <w:t>BCAM</w:t>
      </w:r>
      <w:r w:rsidRPr="00AB3F1C">
        <w:rPr>
          <w:rFonts w:ascii="Times New Roman" w:hAnsi="Times New Roman" w:cs="Times New Roman"/>
        </w:rPr>
        <w:t xml:space="preserve">-high </w:t>
      </w:r>
      <w:r w:rsidR="00A775F4">
        <w:rPr>
          <w:rFonts w:ascii="Times New Roman" w:hAnsi="Times New Roman" w:cs="Times New Roman"/>
        </w:rPr>
        <w:t>sub</w:t>
      </w:r>
      <w:r w:rsidRPr="00AB3F1C">
        <w:rPr>
          <w:rFonts w:ascii="Times New Roman" w:hAnsi="Times New Roman" w:cs="Times New Roman"/>
        </w:rPr>
        <w:t>group</w:t>
      </w:r>
      <w:r w:rsidR="00A775F4">
        <w:rPr>
          <w:rFonts w:ascii="Times New Roman" w:hAnsi="Times New Roman" w:cs="Times New Roman"/>
        </w:rPr>
        <w:t>s</w:t>
      </w:r>
      <w:r w:rsidRPr="00AB3F1C">
        <w:rPr>
          <w:rFonts w:ascii="Times New Roman" w:hAnsi="Times New Roman" w:cs="Times New Roman"/>
        </w:rPr>
        <w:t xml:space="preserve">. </w:t>
      </w:r>
      <w:proofErr w:type="spellStart"/>
      <w:r w:rsidRPr="00AB3F1C">
        <w:rPr>
          <w:rFonts w:ascii="Times New Roman" w:hAnsi="Times New Roman" w:cs="Times New Roman"/>
        </w:rPr>
        <w:t>xCELL</w:t>
      </w:r>
      <w:proofErr w:type="spellEnd"/>
      <w:r w:rsidRPr="00AB3F1C">
        <w:rPr>
          <w:rFonts w:ascii="Times New Roman" w:hAnsi="Times New Roman" w:cs="Times New Roman"/>
        </w:rPr>
        <w:t xml:space="preserve"> algorithm was selected for analyzing. A heatmap was plotted and Wilcox test was exploited to determine the significance of the two groups. In addition, the proportions of various immune cells in microenvironment of </w:t>
      </w:r>
      <w:proofErr w:type="spellStart"/>
      <w:r w:rsidRPr="00AB3F1C">
        <w:rPr>
          <w:rFonts w:ascii="Times New Roman" w:hAnsi="Times New Roman" w:cs="Times New Roman"/>
        </w:rPr>
        <w:t>ccRCC</w:t>
      </w:r>
      <w:proofErr w:type="spellEnd"/>
      <w:r w:rsidRPr="00AB3F1C">
        <w:rPr>
          <w:rFonts w:ascii="Times New Roman" w:hAnsi="Times New Roman" w:cs="Times New Roman"/>
        </w:rPr>
        <w:t xml:space="preserve"> were calculated and exhibited. Furthermore, according to different immune characteristics, </w:t>
      </w:r>
      <w:proofErr w:type="spellStart"/>
      <w:r w:rsidRPr="00AB3F1C">
        <w:rPr>
          <w:rFonts w:ascii="Times New Roman" w:hAnsi="Times New Roman" w:cs="Times New Roman"/>
        </w:rPr>
        <w:t>ccRCC</w:t>
      </w:r>
      <w:proofErr w:type="spellEnd"/>
      <w:r w:rsidRPr="00AB3F1C">
        <w:rPr>
          <w:rFonts w:ascii="Times New Roman" w:hAnsi="Times New Roman" w:cs="Times New Roman"/>
        </w:rPr>
        <w:t xml:space="preserve"> samples in CPTAC database were divided into metabolic immune-desert subgroup, VEGF immune desert subgroup, CD8- inflamed subgroup and CD8+ inflamed subgroup, and the potential association between the 4 immune subgroups and the RNA and protein expression and methylation level of </w:t>
      </w:r>
      <w:r w:rsidRPr="00A775F4">
        <w:rPr>
          <w:rFonts w:ascii="Times New Roman" w:hAnsi="Times New Roman" w:cs="Times New Roman"/>
          <w:i/>
          <w:iCs/>
        </w:rPr>
        <w:t>BCAM</w:t>
      </w:r>
      <w:r w:rsidRPr="00AB3F1C">
        <w:rPr>
          <w:rFonts w:ascii="Times New Roman" w:hAnsi="Times New Roman" w:cs="Times New Roman"/>
        </w:rPr>
        <w:t xml:space="preserve"> was analyzed</w:t>
      </w:r>
      <w:r w:rsidRPr="00AB3F1C">
        <w:rPr>
          <w:rFonts w:ascii="Times New Roman" w:hAnsi="Times New Roman" w:cs="Times New Roman" w:hint="eastAsia"/>
        </w:rPr>
        <w:t>.</w:t>
      </w:r>
      <w:r w:rsidR="00905C00">
        <w:rPr>
          <w:rFonts w:ascii="Times New Roman" w:hAnsi="Times New Roman" w:cs="Times New Roman"/>
        </w:rPr>
        <w:fldChar w:fldCharType="begin"/>
      </w:r>
      <w:r w:rsidR="00905C00">
        <w:rPr>
          <w:rFonts w:ascii="Times New Roman" w:hAnsi="Times New Roman" w:cs="Times New Roman"/>
        </w:rPr>
        <w:instrText xml:space="preserve"> ADDIN ZOTERO_ITEM CSL_CITATION {"citationID":"Wznqvst7","properties":{"formattedCitation":"\\super 2\\nosupersub{}","plainCitation":"2","noteIndex":0},"citationItems":[{"id":268,"uris":["http://zotero.org/users/local/OwE58yZl/items/TBNH4KCR"],"itemData":{"id":268,"type":"article-journal","abstract":"To elucidate the deregulated functional modules that drive clear cell renal cell carcinoma (ccRCC), we performed comprehensive genomic, epigenomic, transcriptomic, proteomic, and phosphoproteomic characterization of treatment-naive ccRCC and paired normal adjacent tissue samples. Genomic analyses identified a distinct molecular subgroup associated with genomic instability. Integration of proteogenomic measurements uniquely identified protein dysregulation of cellular mechanisms impacted by genomic alterations, including oxidative phosphorylation-related metabolism, protein translation processes, and phospho-signaling modules. To assess the degree of immune infiltration in individual tumors, we identified microenvironment cell signatures that delineated four immune-based ccRCC subtypes characterized by distinct cellular pathways. This study reports a large-scale proteogenomic analysis of ccRCC to discern the functional impact of genomic alterations and provides evidence for rational treatment selection stemming from ccRCC pathobiology.","container-title":"Cell","DOI":"10.1016/j.cell.2019.10.007","ISSN":"0092-8674","issue":"4","journalAbbreviation":"Cell","language":"en","page":"964-983.e31","source":"ScienceDirect","title":"Integrated Proteogenomic Characterization of Clear Cell Renal Cell Carcinoma","volume":"179","author":[{"family":"Clark","given":"David J."},{"family":"Dhanasekaran","given":"Saravana M."},{"family":"Petralia","given":"Francesca"},{"family":"Pan","given":"Jianbo"},{"family":"Song","given":"Xiaoyu"},{"family":"Hu","given":"Yingwei"},{"family":"Veiga Leprevost","given":"Felipe","non-dropping-particle":"da"},{"family":"Reva","given":"Boris"},{"family":"Lih","given":"Tung-Shing M."},{"family":"Chang","given":"Hui-Yin"},{"family":"Ma","given":"Weiping"},{"family":"Huang","given":"Chen"},{"family":"Ricketts","given":"Christopher J."},{"family":"Chen","given":"Lijun"},{"family":"Krek","given":"Azra"},{"family":"Li","given":"Yize"},{"family":"Rykunov","given":"Dmitry"},{"family":"Li","given":"Qing Kay"},{"family":"Chen","given":"Lin S."},{"family":"Ozbek","given":"Umut"},{"family":"Vasaikar","given":"Suhas"},{"family":"Wu","given":"Yige"},{"family":"Yoo","given":"Seungyeul"},{"family":"Chowdhury","given":"Shrabanti"},{"family":"Wyczalkowski","given":"Matthew A."},{"family":"Ji","given":"Jiayi"},{"family":"Schnaubelt","given":"Michael"},{"family":"Kong","given":"Andy"},{"family":"Sethuraman","given":"Sunantha"},{"family":"Avtonomov","given":"Dmitry M."},{"family":"Ao","given":"Minghui"},{"family":"Colaprico","given":"Antonio"},{"family":"Cao","given":"Song"},{"family":"Cho","given":"Kyung-Cho"},{"family":"Kalayci","given":"Selim"},{"family":"Ma","given":"Shiyong"},{"family":"Liu","given":"Wenke"},{"family":"Ruggles","given":"Kelly"},{"family":"Calinawan","given":"Anna"},{"family":"Gümüş","given":"Zeynep H."},{"family":"Geiszler","given":"Daniel"},{"family":"Kawaler","given":"Emily"},{"family":"Teo","given":"Guo Ci"},{"family":"Wen","given":"Bo"},{"family":"Zhang","given":"Yuping"},{"family":"Keegan","given":"Sarah"},{"family":"Li","given":"Kai"},{"family":"Chen","given":"Feng"},{"family":"Edwards","given":"Nathan"},{"family":"Pierorazio","given":"Phillip M."},{"family":"Chen","given":"Xi Steven"},{"family":"Pavlovich","given":"Christian P."},{"family":"Hakimi","given":"A. Ari"},{"family":"Brominski","given":"Gabriel"},{"family":"Hsieh","given":"James J."},{"family":"Antczak","given":"Andrzej"},{"family":"Omelchenko","given":"Tatiana"},{"family":"Lubinski","given":"Jan"},{"family":"Wiznerowicz","given":"Maciej"},{"family":"Linehan","given":"W. Marston"},{"family":"Kinsinger","given":"Christopher R."},{"family":"Thiagarajan","given":"Mathangi"},{"family":"Boja","given":"Emily S."},{"family":"Mesri","given":"Mehdi"},{"family":"Hiltke","given":"Tara"},{"family":"Robles","given":"Ana I."},{"family":"Rodriguez","given":"Henry"},{"family":"Qian","given":"Jiang"},{"family":"Fenyö","given":"David"},{"family":"Zhang","given":"Bing"},{"family":"Ding","given":"Li"},{"family":"Schadt","given":"Eric"},{"family":"Chinnaiyan","given":"Arul M."},{"family":"Zhang","given":"Zhen"},{"family":"Omenn","given":"Gilbert S."},{"family":"Cieslik","given":"Marcin"},{"family":"Chan","given":"Daniel W."},{"family":"Nesvizhskii","given":"Alexey I."},{"family":"Wang","given":"Pei"},{"family":"Zhang","given":"Hui"},{"family":"Hashimi","given":"Abdul Samad"},{"family":"Pico","given":"Alexander R."},{"family":"Karpova","given":"Alla"},{"family":"Charamut","given":"Alyssa"},{"family":"Paulovich","given":"Amanda G."},{"family":"Perou","given":"Amy M."},{"family":"Malovannaya","given":"Anna"},{"family":"Marrero-Oliveras","given":"Annette"},{"family":"Agarwal","given":"Anupriya"},{"family":"Hindenach","given":"Barbara"},{"family":"Pruetz","given":"Barbara"},{"family":"Kim","given":"Beom-Jun"},{"family":"Druker","given":"Brian J."},{"family":"Newton","given":"Chelsea J."},{"family":"Birger","given":"Chet"},{"family":"Jones","given":"Corbin D."},{"family":"Tognon","given":"Cristina"},{"family":"Mani","given":"D. R."},{"family":"Valley","given":"Dana R."},{"family":"Rohrer","given":"Daniel C."},{"family":"Zhou","given":"Daniel C."},{"family":"Tansil","given":"Darlene"},{"family":"Chesla","given":"David"},{"family":"Heiman","given":"David"},{"family":"Wheeler","given":"David"},{"family":"Tan","given":"Donghui"},{"family":"Chan","given":"Doug"},{"family":"Demir","given":"Emek"},{"family":"Malc","given":"Ewa"},{"family":"Modugno","given":"Francesmary"},{"family":"Getz","given":"Gaddy"},{"family":"Hostetter","given":"Galen"},{"family":"Wilson","given":"George D."},{"family":"Hart","given":"Gerald W."},{"family":"Zhu","given":"Heng"},{"family":"Liu","given":"Hongwei"},{"family":"Culpepper","given":"Houston"},{"family":"Sun","given":"Hua"},{"family":"Zhou","given":"Hua"},{"family":"Day","given":"Jacob"},{"family":"Suh","given":"James"},{"family":"Huang","given":"Jasmine"},{"family":"McDermott","given":"Jason"},{"family":"Whiteaker","given":"Jeffrey R."},{"family":"Tyner","given":"Jeffrey W."},{"family":"Eschbacher","given":"Jennifer"},{"family":"Chen","given":"Jin"},{"family":"McGee","given":"John"},{"family":"Zhu","given":"Jun"},{"family":"Ketchum","given":"Karen A."},{"family":"Rodland","given":"Karin D."},{"family":"Clauser","given":"Karl"},{"family":"Robinson","given":"Karna"},{"family":"Krug","given":"Karsten"},{"family":"Hoadley","given":"Katherine A."},{"family":"Um","given":"Ki Sung"},{"family":"Elburn","given":"Kim"},{"family":"Holloway","given":"Kimberly"},{"family":"Wang","given":"Liang-Bo"},{"family":"Blumenberg","given":"Lili"},{"family":"Hannick","given":"Linda"},{"family":"Qi","given":"Liqun"},{"family":"Sokoll","given":"Lori J."},{"family":"Cornwell","given":"MacIntosh"},{"family":"Loriaux","given":"Marc"},{"family":"Domagalski","given":"Marcin J."},{"family":"Gritsenko","given":"Marina A."},{"family":"Anderson","given":"Matthew"},{"family":"Monroe","given":"Matthew E."},{"family":"Ellis","given":"Matthew J."},{"family":"Dyer","given":"Maureen"},{"family":"Anurag","given":"Meenakshi"},{"family":"Burke","given":"Meghan C."},{"family":"Borucki","given":"Melissa"},{"family":"Gillette","given":"Michael A."},{"family":"Birrer","given":"Michael J."},{"family":"Lewis","given":"Michael"},{"family":"Ittmann","given":"Michael M."},{"family":"Smith","given":"Michael"},{"family":"Vernon","given":"Michael"},{"family":"Chaikin","given":"Michelle"},{"family":"Chheda","given":"Milan G."},{"family":"Khan","given":"Munziba"},{"family":"Roche","given":"Nancy"},{"family":"Edwards","given":"Nathan J."},{"family":"Vatanian","given":"Negin"},{"family":"Tignor","given":"Nicole"},{"family":"Beckmann","given":"Noam"},{"family":"Grady","given":"Pamela"},{"family":"Castro","given":"Patricia"},{"family":"Piehowski","given":"Paul"},{"family":"McGarvey","given":"Peter B."},{"family":"Mieczkowski","given":"Piotr"},{"family":"Hariharan","given":"Pushpa"},{"family":"Gao","given":"Qingsong"},{"family":"Dhir","given":"Rajiv"},{"family":"Kothadia","given":"Ramani Bhupendra"},{"family":"Thangudu","given":"Ratna R."},{"family":"Montgomery","given":"Rebecca"},{"family":"Jayasinghe","given":"Reyka G."},{"family":"Smith","given":"Richard D."},{"family":"Edwards","given":"Robert"},{"family":"Zelt","given":"Robert"},{"family":"Bremner","given":"Ross"},{"family":"Liu","given":"Ruiyang"},{"family":"Hong","given":"Runyu"},{"family":"Mareedu","given":"Sailaja"},{"family":"Payne","given":"Samuel H."},{"family":"Cottingham","given":"Sandra"},{"family":"Markey","given":"Sanford P."},{"family":"Jewell","given":"Scott D."},{"family":"Patel","given":"Shalin"},{"family":"Satpathy","given":"Shankha"},{"family":"Richey","given":"Shannon"},{"family":"Davies","given":"Sherri R."},{"family":"Cai","given":"Shuang"},{"family":"Boca","given":"Simina M."},{"family":"Patil","given":"Snehal"},{"family":"Sengupta","given":"Sohini"},{"family":"Carter","given":"Sonya"},{"family":"Gabriel","given":"Stacey"},{"family":"Thomas","given":"Stefani N."},{"family":"De Young","given":"Stephanie"},{"family":"Stein","given":"Stephen E."},{"family":"Carr","given":"Steven A."},{"family":"Foltz","given":"Steven M."},{"family":"Hilsenbeck","given":"Sue"},{"family":"Krubit","given":"Tanya"},{"family":"Liu","given":"Tao"},{"family":"Skelly","given":"Tara"},{"family":"Westbrook","given":"Thomas"},{"family":"Borate","given":"Uma"},{"family":"Velvulou","given":"Uma"},{"family":"Petyuk","given":"Vladislav A."},{"family":"Bocik","given":"William E."},{"family":"Chen","given":"Xi"},{"family":"Shi","given":"Yan"},{"family":"Geffen","given":"Yifat"},{"family":"Lu","given":"Yihao"},{"family":"Wang","given":"Ying"},{"family":"Maruvka","given":"Yosef"},{"family":"Li","given":"Zhi"},{"family":"Shi","given":"Zhiao"},{"family":"Tu","given":"Zhidong"}],"issued":{"date-parts":[["2019",10,31]]}}}],"schema":"https://github.com/citation-style-language/schema/raw/master/csl-citation.json"} </w:instrText>
      </w:r>
      <w:r w:rsidR="00905C00">
        <w:rPr>
          <w:rFonts w:ascii="Times New Roman" w:hAnsi="Times New Roman" w:cs="Times New Roman"/>
        </w:rPr>
        <w:fldChar w:fldCharType="separate"/>
      </w:r>
      <w:r w:rsidR="00905C00" w:rsidRPr="00905C00">
        <w:rPr>
          <w:rFonts w:ascii="Times New Roman" w:hAnsi="Times New Roman" w:cs="Times New Roman"/>
          <w:kern w:val="0"/>
          <w:szCs w:val="24"/>
          <w:vertAlign w:val="superscript"/>
        </w:rPr>
        <w:t>2</w:t>
      </w:r>
      <w:r w:rsidR="00905C00">
        <w:rPr>
          <w:rFonts w:ascii="Times New Roman" w:hAnsi="Times New Roman" w:cs="Times New Roman"/>
        </w:rPr>
        <w:fldChar w:fldCharType="end"/>
      </w:r>
      <w:r w:rsidRPr="00AB3F1C">
        <w:rPr>
          <w:rFonts w:ascii="Times New Roman" w:hAnsi="Times New Roman" w:cs="Times New Roman" w:hint="eastAsia"/>
        </w:rPr>
        <w:t xml:space="preserve"> </w:t>
      </w:r>
      <w:r w:rsidRPr="00AB3F1C">
        <w:rPr>
          <w:rFonts w:ascii="Times New Roman" w:hAnsi="Times New Roman" w:cs="Times New Roman"/>
        </w:rPr>
        <w:t xml:space="preserve">Ultimately, </w:t>
      </w:r>
      <w:r w:rsidR="00373B19">
        <w:rPr>
          <w:rFonts w:ascii="Times New Roman" w:hAnsi="Times New Roman" w:cs="Times New Roman"/>
        </w:rPr>
        <w:t>t</w:t>
      </w:r>
      <w:r w:rsidRPr="00AB3F1C">
        <w:rPr>
          <w:rFonts w:ascii="Times New Roman" w:hAnsi="Times New Roman" w:cs="Times New Roman"/>
        </w:rPr>
        <w:t xml:space="preserve">he expression values of </w:t>
      </w:r>
      <w:r w:rsidR="00373B19" w:rsidRPr="00373B19">
        <w:rPr>
          <w:rFonts w:ascii="Times New Roman" w:hAnsi="Times New Roman" w:cs="Times New Roman"/>
        </w:rPr>
        <w:t>immune checkpoint SIGLEC15, TIGIT, CD274, HAVCR2, PDCD1, CTLA4, LAG3 and PDCD1LG2</w:t>
      </w:r>
      <w:r w:rsidRPr="00AB3F1C">
        <w:rPr>
          <w:rFonts w:ascii="Times New Roman" w:hAnsi="Times New Roman" w:cs="Times New Roman"/>
        </w:rPr>
        <w:t xml:space="preserve"> genes in </w:t>
      </w:r>
      <w:r w:rsidR="00A775F4">
        <w:rPr>
          <w:rFonts w:ascii="Times New Roman" w:hAnsi="Times New Roman" w:cs="Times New Roman"/>
        </w:rPr>
        <w:t xml:space="preserve">the </w:t>
      </w:r>
      <w:r w:rsidRPr="00A775F4">
        <w:rPr>
          <w:rFonts w:ascii="Times New Roman" w:hAnsi="Times New Roman" w:cs="Times New Roman"/>
          <w:i/>
          <w:iCs/>
        </w:rPr>
        <w:t>BCAM</w:t>
      </w:r>
      <w:r w:rsidRPr="00AB3F1C">
        <w:rPr>
          <w:rFonts w:ascii="Times New Roman" w:hAnsi="Times New Roman" w:cs="Times New Roman"/>
        </w:rPr>
        <w:t xml:space="preserve">-low and </w:t>
      </w:r>
      <w:r w:rsidRPr="00A775F4">
        <w:rPr>
          <w:rFonts w:ascii="Times New Roman" w:hAnsi="Times New Roman" w:cs="Times New Roman"/>
          <w:i/>
          <w:iCs/>
        </w:rPr>
        <w:t>BCAM</w:t>
      </w:r>
      <w:r w:rsidRPr="00AB3F1C">
        <w:rPr>
          <w:rFonts w:ascii="Times New Roman" w:hAnsi="Times New Roman" w:cs="Times New Roman"/>
        </w:rPr>
        <w:t xml:space="preserve">-high </w:t>
      </w:r>
      <w:r w:rsidR="00A775F4">
        <w:rPr>
          <w:rFonts w:ascii="Times New Roman" w:hAnsi="Times New Roman" w:cs="Times New Roman"/>
        </w:rPr>
        <w:t>sub</w:t>
      </w:r>
      <w:r w:rsidRPr="00AB3F1C">
        <w:rPr>
          <w:rFonts w:ascii="Times New Roman" w:hAnsi="Times New Roman" w:cs="Times New Roman"/>
        </w:rPr>
        <w:t>group</w:t>
      </w:r>
      <w:r w:rsidR="00A775F4">
        <w:rPr>
          <w:rFonts w:ascii="Times New Roman" w:hAnsi="Times New Roman" w:cs="Times New Roman"/>
        </w:rPr>
        <w:t>s</w:t>
      </w:r>
      <w:r w:rsidRPr="00AB3F1C">
        <w:rPr>
          <w:rFonts w:ascii="Times New Roman" w:hAnsi="Times New Roman" w:cs="Times New Roman"/>
        </w:rPr>
        <w:t xml:space="preserve"> were extracted using “ggplot2” package.</w:t>
      </w:r>
    </w:p>
    <w:p w14:paraId="6D1CFCE2" w14:textId="77777777" w:rsidR="00AB3F1C" w:rsidRPr="00AB3F1C" w:rsidRDefault="00AB3F1C" w:rsidP="00AB3F1C">
      <w:pPr>
        <w:spacing w:line="360" w:lineRule="auto"/>
        <w:rPr>
          <w:rFonts w:ascii="Times New Roman" w:hAnsi="Times New Roman" w:cs="Times New Roman"/>
        </w:rPr>
      </w:pPr>
    </w:p>
    <w:p w14:paraId="0DC8D03A" w14:textId="77777777" w:rsidR="00905C00" w:rsidRPr="00905C00" w:rsidRDefault="00AB3F1C" w:rsidP="00905C00">
      <w:pPr>
        <w:pStyle w:val="a7"/>
        <w:rPr>
          <w:rFonts w:ascii="等线" w:eastAsia="等线" w:hAnsi="等线"/>
        </w:rPr>
      </w:pPr>
      <w:r>
        <w:fldChar w:fldCharType="begin"/>
      </w:r>
      <w:r>
        <w:instrText xml:space="preserve"> ADDIN ZOTERO_BIBL {"uncited":[],"omitted":[],"custom":[]} CSL_BIBLIOGRAPHY </w:instrText>
      </w:r>
      <w:r>
        <w:fldChar w:fldCharType="separate"/>
      </w:r>
      <w:r w:rsidR="00905C00" w:rsidRPr="00905C00">
        <w:rPr>
          <w:rFonts w:ascii="等线" w:eastAsia="等线" w:hAnsi="等线"/>
        </w:rPr>
        <w:t>1.</w:t>
      </w:r>
      <w:r w:rsidR="00905C00" w:rsidRPr="00905C00">
        <w:rPr>
          <w:rFonts w:ascii="等线" w:eastAsia="等线" w:hAnsi="等线"/>
        </w:rPr>
        <w:tab/>
        <w:t xml:space="preserve">Tang, Z. </w:t>
      </w:r>
      <w:r w:rsidR="00905C00" w:rsidRPr="00905C00">
        <w:rPr>
          <w:rFonts w:ascii="等线" w:eastAsia="等线" w:hAnsi="等线"/>
          <w:i/>
          <w:iCs/>
        </w:rPr>
        <w:t>et al.</w:t>
      </w:r>
      <w:r w:rsidR="00905C00" w:rsidRPr="00905C00">
        <w:rPr>
          <w:rFonts w:ascii="等线" w:eastAsia="等线" w:hAnsi="等线"/>
        </w:rPr>
        <w:t xml:space="preserve"> GEPIA: a web server for cancer and normal gene expression profiling and interactive analyses. </w:t>
      </w:r>
      <w:r w:rsidR="00905C00" w:rsidRPr="00905C00">
        <w:rPr>
          <w:rFonts w:ascii="等线" w:eastAsia="等线" w:hAnsi="等线"/>
          <w:i/>
          <w:iCs/>
        </w:rPr>
        <w:t>Nucleic Acids Research</w:t>
      </w:r>
      <w:r w:rsidR="00905C00" w:rsidRPr="00905C00">
        <w:rPr>
          <w:rFonts w:ascii="等线" w:eastAsia="等线" w:hAnsi="等线"/>
        </w:rPr>
        <w:t xml:space="preserve"> </w:t>
      </w:r>
      <w:r w:rsidR="00905C00" w:rsidRPr="00905C00">
        <w:rPr>
          <w:rFonts w:ascii="等线" w:eastAsia="等线" w:hAnsi="等线"/>
          <w:b/>
          <w:bCs/>
        </w:rPr>
        <w:t>45</w:t>
      </w:r>
      <w:r w:rsidR="00905C00" w:rsidRPr="00905C00">
        <w:rPr>
          <w:rFonts w:ascii="等线" w:eastAsia="等线" w:hAnsi="等线"/>
        </w:rPr>
        <w:t>, W98–W102 (2017).</w:t>
      </w:r>
    </w:p>
    <w:p w14:paraId="6BE904A7" w14:textId="77777777" w:rsidR="00905C00" w:rsidRPr="00905C00" w:rsidRDefault="00905C00" w:rsidP="00905C00">
      <w:pPr>
        <w:pStyle w:val="a7"/>
        <w:rPr>
          <w:rFonts w:ascii="等线" w:eastAsia="等线" w:hAnsi="等线"/>
        </w:rPr>
      </w:pPr>
      <w:r w:rsidRPr="00905C00">
        <w:rPr>
          <w:rFonts w:ascii="等线" w:eastAsia="等线" w:hAnsi="等线"/>
        </w:rPr>
        <w:t>2.</w:t>
      </w:r>
      <w:r w:rsidRPr="00905C00">
        <w:rPr>
          <w:rFonts w:ascii="等线" w:eastAsia="等线" w:hAnsi="等线"/>
        </w:rPr>
        <w:tab/>
        <w:t xml:space="preserve">Clark, D. J. </w:t>
      </w:r>
      <w:r w:rsidRPr="00905C00">
        <w:rPr>
          <w:rFonts w:ascii="等线" w:eastAsia="等线" w:hAnsi="等线"/>
          <w:i/>
          <w:iCs/>
        </w:rPr>
        <w:t>et al.</w:t>
      </w:r>
      <w:r w:rsidRPr="00905C00">
        <w:rPr>
          <w:rFonts w:ascii="等线" w:eastAsia="等线" w:hAnsi="等线"/>
        </w:rPr>
        <w:t xml:space="preserve"> Integrated Proteogenomic Characterization of Clear Cell Renal Cell Carcinoma. </w:t>
      </w:r>
      <w:r w:rsidRPr="00905C00">
        <w:rPr>
          <w:rFonts w:ascii="等线" w:eastAsia="等线" w:hAnsi="等线"/>
          <w:i/>
          <w:iCs/>
        </w:rPr>
        <w:t>Cell</w:t>
      </w:r>
      <w:r w:rsidRPr="00905C00">
        <w:rPr>
          <w:rFonts w:ascii="等线" w:eastAsia="等线" w:hAnsi="等线"/>
        </w:rPr>
        <w:t xml:space="preserve"> </w:t>
      </w:r>
      <w:r w:rsidRPr="00905C00">
        <w:rPr>
          <w:rFonts w:ascii="等线" w:eastAsia="等线" w:hAnsi="等线"/>
          <w:b/>
          <w:bCs/>
        </w:rPr>
        <w:t>179</w:t>
      </w:r>
      <w:r w:rsidRPr="00905C00">
        <w:rPr>
          <w:rFonts w:ascii="等线" w:eastAsia="等线" w:hAnsi="等线"/>
        </w:rPr>
        <w:t>, 964-983.e31 (2019).</w:t>
      </w:r>
    </w:p>
    <w:p w14:paraId="79A68615" w14:textId="55459DCD" w:rsidR="00202B98" w:rsidRPr="00AB3F1C" w:rsidRDefault="00AB3F1C">
      <w:r>
        <w:fldChar w:fldCharType="end"/>
      </w:r>
    </w:p>
    <w:sectPr w:rsidR="00202B98" w:rsidRPr="00AB3F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93C4" w14:textId="77777777" w:rsidR="00A62D33" w:rsidRDefault="00A62D33" w:rsidP="00AB3F1C">
      <w:r>
        <w:separator/>
      </w:r>
    </w:p>
  </w:endnote>
  <w:endnote w:type="continuationSeparator" w:id="0">
    <w:p w14:paraId="63D3A65B" w14:textId="77777777" w:rsidR="00A62D33" w:rsidRDefault="00A62D33" w:rsidP="00AB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AC00" w14:textId="77777777" w:rsidR="00A62D33" w:rsidRDefault="00A62D33" w:rsidP="00AB3F1C">
      <w:r>
        <w:separator/>
      </w:r>
    </w:p>
  </w:footnote>
  <w:footnote w:type="continuationSeparator" w:id="0">
    <w:p w14:paraId="3071B1B5" w14:textId="77777777" w:rsidR="00A62D33" w:rsidRDefault="00A62D33" w:rsidP="00AB3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7A4020"/>
    <w:multiLevelType w:val="multilevel"/>
    <w:tmpl w:val="148224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3646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435D"/>
    <w:rsid w:val="00006879"/>
    <w:rsid w:val="000109A0"/>
    <w:rsid w:val="0001220A"/>
    <w:rsid w:val="00013F26"/>
    <w:rsid w:val="00015611"/>
    <w:rsid w:val="00025F3D"/>
    <w:rsid w:val="00036713"/>
    <w:rsid w:val="00037EE2"/>
    <w:rsid w:val="000474D3"/>
    <w:rsid w:val="000672F3"/>
    <w:rsid w:val="00072AA8"/>
    <w:rsid w:val="00084AFF"/>
    <w:rsid w:val="000A09FA"/>
    <w:rsid w:val="000A4A02"/>
    <w:rsid w:val="000D2A7F"/>
    <w:rsid w:val="000D55E8"/>
    <w:rsid w:val="000E43CB"/>
    <w:rsid w:val="00101296"/>
    <w:rsid w:val="00102D63"/>
    <w:rsid w:val="001110F6"/>
    <w:rsid w:val="00126D82"/>
    <w:rsid w:val="00146588"/>
    <w:rsid w:val="00147F30"/>
    <w:rsid w:val="0015398F"/>
    <w:rsid w:val="001648D5"/>
    <w:rsid w:val="00182B44"/>
    <w:rsid w:val="001A5EC5"/>
    <w:rsid w:val="001A7A1E"/>
    <w:rsid w:val="001D022A"/>
    <w:rsid w:val="001E1685"/>
    <w:rsid w:val="001E17F2"/>
    <w:rsid w:val="001E44C8"/>
    <w:rsid w:val="001F1586"/>
    <w:rsid w:val="001F158E"/>
    <w:rsid w:val="001F1A31"/>
    <w:rsid w:val="001F2AE6"/>
    <w:rsid w:val="00202B98"/>
    <w:rsid w:val="002142B0"/>
    <w:rsid w:val="002175A4"/>
    <w:rsid w:val="002478BD"/>
    <w:rsid w:val="00256818"/>
    <w:rsid w:val="002612D9"/>
    <w:rsid w:val="0026134E"/>
    <w:rsid w:val="002829F2"/>
    <w:rsid w:val="00286128"/>
    <w:rsid w:val="002873A9"/>
    <w:rsid w:val="0028798E"/>
    <w:rsid w:val="00291378"/>
    <w:rsid w:val="00296C48"/>
    <w:rsid w:val="002A09E8"/>
    <w:rsid w:val="002B12B1"/>
    <w:rsid w:val="002C52AE"/>
    <w:rsid w:val="002D101C"/>
    <w:rsid w:val="002D17CE"/>
    <w:rsid w:val="002D44BC"/>
    <w:rsid w:val="002E1442"/>
    <w:rsid w:val="002E3BCB"/>
    <w:rsid w:val="002E7716"/>
    <w:rsid w:val="003051EB"/>
    <w:rsid w:val="0030642A"/>
    <w:rsid w:val="00314DB0"/>
    <w:rsid w:val="003166F9"/>
    <w:rsid w:val="003211B1"/>
    <w:rsid w:val="003213F7"/>
    <w:rsid w:val="00324CB0"/>
    <w:rsid w:val="0033411D"/>
    <w:rsid w:val="00335A9E"/>
    <w:rsid w:val="00335B99"/>
    <w:rsid w:val="00355EF0"/>
    <w:rsid w:val="00370827"/>
    <w:rsid w:val="003708EF"/>
    <w:rsid w:val="003711E3"/>
    <w:rsid w:val="00373B19"/>
    <w:rsid w:val="00381DDB"/>
    <w:rsid w:val="00386BC3"/>
    <w:rsid w:val="003905FD"/>
    <w:rsid w:val="0039280D"/>
    <w:rsid w:val="00392C32"/>
    <w:rsid w:val="003A28DC"/>
    <w:rsid w:val="003E405B"/>
    <w:rsid w:val="003F44F0"/>
    <w:rsid w:val="00403EF7"/>
    <w:rsid w:val="004071C7"/>
    <w:rsid w:val="00411CB4"/>
    <w:rsid w:val="00423870"/>
    <w:rsid w:val="00426300"/>
    <w:rsid w:val="00430991"/>
    <w:rsid w:val="00447EC3"/>
    <w:rsid w:val="00460D58"/>
    <w:rsid w:val="00461C03"/>
    <w:rsid w:val="00462D7A"/>
    <w:rsid w:val="00466878"/>
    <w:rsid w:val="00480F8C"/>
    <w:rsid w:val="00483A97"/>
    <w:rsid w:val="00484B3D"/>
    <w:rsid w:val="004865CD"/>
    <w:rsid w:val="004926E1"/>
    <w:rsid w:val="004A501F"/>
    <w:rsid w:val="004B0080"/>
    <w:rsid w:val="004B43C5"/>
    <w:rsid w:val="004B7045"/>
    <w:rsid w:val="004C274C"/>
    <w:rsid w:val="004D1358"/>
    <w:rsid w:val="004D293D"/>
    <w:rsid w:val="004D2B4C"/>
    <w:rsid w:val="004D667E"/>
    <w:rsid w:val="004F1997"/>
    <w:rsid w:val="005031B0"/>
    <w:rsid w:val="00523A46"/>
    <w:rsid w:val="00531028"/>
    <w:rsid w:val="00540FA5"/>
    <w:rsid w:val="00576FE6"/>
    <w:rsid w:val="00583423"/>
    <w:rsid w:val="00586FA3"/>
    <w:rsid w:val="00591421"/>
    <w:rsid w:val="00593BDD"/>
    <w:rsid w:val="00596AD3"/>
    <w:rsid w:val="005A1074"/>
    <w:rsid w:val="005B7B2C"/>
    <w:rsid w:val="005C4230"/>
    <w:rsid w:val="005D0574"/>
    <w:rsid w:val="005E26F3"/>
    <w:rsid w:val="005E38AF"/>
    <w:rsid w:val="005E597C"/>
    <w:rsid w:val="005F1A44"/>
    <w:rsid w:val="005F1ACD"/>
    <w:rsid w:val="005F724B"/>
    <w:rsid w:val="00605EAD"/>
    <w:rsid w:val="0061289C"/>
    <w:rsid w:val="00615F94"/>
    <w:rsid w:val="0062621D"/>
    <w:rsid w:val="006264AC"/>
    <w:rsid w:val="00632E86"/>
    <w:rsid w:val="00634A1D"/>
    <w:rsid w:val="006357D4"/>
    <w:rsid w:val="00637EE2"/>
    <w:rsid w:val="00654559"/>
    <w:rsid w:val="00654A15"/>
    <w:rsid w:val="00657BFF"/>
    <w:rsid w:val="0066049C"/>
    <w:rsid w:val="006610F7"/>
    <w:rsid w:val="00670A6D"/>
    <w:rsid w:val="006736B3"/>
    <w:rsid w:val="0068569A"/>
    <w:rsid w:val="006914C7"/>
    <w:rsid w:val="0069150A"/>
    <w:rsid w:val="006A391D"/>
    <w:rsid w:val="006A3E58"/>
    <w:rsid w:val="006A4533"/>
    <w:rsid w:val="006B78A2"/>
    <w:rsid w:val="006C4894"/>
    <w:rsid w:val="006C67F8"/>
    <w:rsid w:val="006D5D43"/>
    <w:rsid w:val="006E22B2"/>
    <w:rsid w:val="006E7AAA"/>
    <w:rsid w:val="006E7B2A"/>
    <w:rsid w:val="006F2C7A"/>
    <w:rsid w:val="006F4656"/>
    <w:rsid w:val="00700DA3"/>
    <w:rsid w:val="00703DA0"/>
    <w:rsid w:val="00713661"/>
    <w:rsid w:val="0072435D"/>
    <w:rsid w:val="00732612"/>
    <w:rsid w:val="00732A5C"/>
    <w:rsid w:val="00735604"/>
    <w:rsid w:val="00741581"/>
    <w:rsid w:val="00753BC7"/>
    <w:rsid w:val="00754EDD"/>
    <w:rsid w:val="00785A34"/>
    <w:rsid w:val="00786D06"/>
    <w:rsid w:val="00793ADE"/>
    <w:rsid w:val="007B0108"/>
    <w:rsid w:val="007D2409"/>
    <w:rsid w:val="007E32B1"/>
    <w:rsid w:val="007E419A"/>
    <w:rsid w:val="007E68CC"/>
    <w:rsid w:val="007F3619"/>
    <w:rsid w:val="007F3837"/>
    <w:rsid w:val="008135FC"/>
    <w:rsid w:val="00833E90"/>
    <w:rsid w:val="00845A11"/>
    <w:rsid w:val="00856AB4"/>
    <w:rsid w:val="00887B2E"/>
    <w:rsid w:val="008D6574"/>
    <w:rsid w:val="008D77A5"/>
    <w:rsid w:val="008E1703"/>
    <w:rsid w:val="008F0737"/>
    <w:rsid w:val="008F2ABC"/>
    <w:rsid w:val="008F2D45"/>
    <w:rsid w:val="00905604"/>
    <w:rsid w:val="00905C00"/>
    <w:rsid w:val="0091463C"/>
    <w:rsid w:val="00915AC6"/>
    <w:rsid w:val="00915F49"/>
    <w:rsid w:val="009260E8"/>
    <w:rsid w:val="00930285"/>
    <w:rsid w:val="009362B2"/>
    <w:rsid w:val="0093731D"/>
    <w:rsid w:val="00947CB9"/>
    <w:rsid w:val="0095566B"/>
    <w:rsid w:val="009657AB"/>
    <w:rsid w:val="00967F17"/>
    <w:rsid w:val="00976B5F"/>
    <w:rsid w:val="00996D22"/>
    <w:rsid w:val="009A50F7"/>
    <w:rsid w:val="009B46FF"/>
    <w:rsid w:val="009C571B"/>
    <w:rsid w:val="009C7B0F"/>
    <w:rsid w:val="009E7358"/>
    <w:rsid w:val="009F17BB"/>
    <w:rsid w:val="00A15F2F"/>
    <w:rsid w:val="00A16C52"/>
    <w:rsid w:val="00A27265"/>
    <w:rsid w:val="00A31C92"/>
    <w:rsid w:val="00A436B2"/>
    <w:rsid w:val="00A47488"/>
    <w:rsid w:val="00A51DD0"/>
    <w:rsid w:val="00A5280E"/>
    <w:rsid w:val="00A55501"/>
    <w:rsid w:val="00A5692C"/>
    <w:rsid w:val="00A578C5"/>
    <w:rsid w:val="00A61CA6"/>
    <w:rsid w:val="00A62D33"/>
    <w:rsid w:val="00A67C47"/>
    <w:rsid w:val="00A775F4"/>
    <w:rsid w:val="00A8091D"/>
    <w:rsid w:val="00A82921"/>
    <w:rsid w:val="00A84E93"/>
    <w:rsid w:val="00A85AB0"/>
    <w:rsid w:val="00A900DB"/>
    <w:rsid w:val="00A94592"/>
    <w:rsid w:val="00A946C2"/>
    <w:rsid w:val="00A94E8F"/>
    <w:rsid w:val="00AA1B71"/>
    <w:rsid w:val="00AA5188"/>
    <w:rsid w:val="00AA69F8"/>
    <w:rsid w:val="00AB088B"/>
    <w:rsid w:val="00AB3F1C"/>
    <w:rsid w:val="00AC63B6"/>
    <w:rsid w:val="00AE70D2"/>
    <w:rsid w:val="00B0315F"/>
    <w:rsid w:val="00B36FED"/>
    <w:rsid w:val="00B6278F"/>
    <w:rsid w:val="00B62A1B"/>
    <w:rsid w:val="00B92EA7"/>
    <w:rsid w:val="00BA3298"/>
    <w:rsid w:val="00BA5814"/>
    <w:rsid w:val="00BB6790"/>
    <w:rsid w:val="00BC5A66"/>
    <w:rsid w:val="00BC6FF4"/>
    <w:rsid w:val="00BD70A9"/>
    <w:rsid w:val="00BF12E2"/>
    <w:rsid w:val="00C118E1"/>
    <w:rsid w:val="00C15A8F"/>
    <w:rsid w:val="00C2073F"/>
    <w:rsid w:val="00C24E6E"/>
    <w:rsid w:val="00C26000"/>
    <w:rsid w:val="00C30115"/>
    <w:rsid w:val="00C452C0"/>
    <w:rsid w:val="00C50549"/>
    <w:rsid w:val="00C5064B"/>
    <w:rsid w:val="00C54DA4"/>
    <w:rsid w:val="00C57B41"/>
    <w:rsid w:val="00C6513E"/>
    <w:rsid w:val="00C6670E"/>
    <w:rsid w:val="00C66EBC"/>
    <w:rsid w:val="00C771B3"/>
    <w:rsid w:val="00C91BDF"/>
    <w:rsid w:val="00C97C4F"/>
    <w:rsid w:val="00CB4ABC"/>
    <w:rsid w:val="00CC578B"/>
    <w:rsid w:val="00CE17B3"/>
    <w:rsid w:val="00CF03B6"/>
    <w:rsid w:val="00CF0E64"/>
    <w:rsid w:val="00D30370"/>
    <w:rsid w:val="00D3489C"/>
    <w:rsid w:val="00D354EE"/>
    <w:rsid w:val="00D413D0"/>
    <w:rsid w:val="00D43FB6"/>
    <w:rsid w:val="00D461D4"/>
    <w:rsid w:val="00D67E2F"/>
    <w:rsid w:val="00D82FA5"/>
    <w:rsid w:val="00D95737"/>
    <w:rsid w:val="00D96F3C"/>
    <w:rsid w:val="00DC18E3"/>
    <w:rsid w:val="00DC4333"/>
    <w:rsid w:val="00DC5FF9"/>
    <w:rsid w:val="00DD1B7A"/>
    <w:rsid w:val="00DD44C9"/>
    <w:rsid w:val="00DD5E72"/>
    <w:rsid w:val="00DD6649"/>
    <w:rsid w:val="00DE38F6"/>
    <w:rsid w:val="00E01C92"/>
    <w:rsid w:val="00E2141E"/>
    <w:rsid w:val="00E61394"/>
    <w:rsid w:val="00E75B4E"/>
    <w:rsid w:val="00E81358"/>
    <w:rsid w:val="00E92C5D"/>
    <w:rsid w:val="00EA474B"/>
    <w:rsid w:val="00EB51C9"/>
    <w:rsid w:val="00EB7ECB"/>
    <w:rsid w:val="00EC0E29"/>
    <w:rsid w:val="00EE444C"/>
    <w:rsid w:val="00EE4741"/>
    <w:rsid w:val="00EE587C"/>
    <w:rsid w:val="00EE6B36"/>
    <w:rsid w:val="00F012D7"/>
    <w:rsid w:val="00F026AB"/>
    <w:rsid w:val="00F36165"/>
    <w:rsid w:val="00F439D1"/>
    <w:rsid w:val="00F445A3"/>
    <w:rsid w:val="00F45477"/>
    <w:rsid w:val="00F46C25"/>
    <w:rsid w:val="00F52292"/>
    <w:rsid w:val="00F52C92"/>
    <w:rsid w:val="00F57496"/>
    <w:rsid w:val="00F604CA"/>
    <w:rsid w:val="00F76633"/>
    <w:rsid w:val="00F808AA"/>
    <w:rsid w:val="00F84163"/>
    <w:rsid w:val="00F90282"/>
    <w:rsid w:val="00F90F79"/>
    <w:rsid w:val="00F910FC"/>
    <w:rsid w:val="00FA5740"/>
    <w:rsid w:val="00FC3E0C"/>
    <w:rsid w:val="00FC463B"/>
    <w:rsid w:val="00FF2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0F96"/>
  <w15:chartTrackingRefBased/>
  <w15:docId w15:val="{C26D5A90-C141-42A0-AC57-2E520F0C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F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3F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B3F1C"/>
    <w:rPr>
      <w:sz w:val="18"/>
      <w:szCs w:val="18"/>
    </w:rPr>
  </w:style>
  <w:style w:type="paragraph" w:styleId="a5">
    <w:name w:val="footer"/>
    <w:basedOn w:val="a"/>
    <w:link w:val="a6"/>
    <w:uiPriority w:val="99"/>
    <w:unhideWhenUsed/>
    <w:rsid w:val="00AB3F1C"/>
    <w:pPr>
      <w:tabs>
        <w:tab w:val="center" w:pos="4153"/>
        <w:tab w:val="right" w:pos="8306"/>
      </w:tabs>
      <w:snapToGrid w:val="0"/>
      <w:jc w:val="left"/>
    </w:pPr>
    <w:rPr>
      <w:sz w:val="18"/>
      <w:szCs w:val="18"/>
    </w:rPr>
  </w:style>
  <w:style w:type="character" w:customStyle="1" w:styleId="a6">
    <w:name w:val="页脚 字符"/>
    <w:basedOn w:val="a0"/>
    <w:link w:val="a5"/>
    <w:uiPriority w:val="99"/>
    <w:rsid w:val="00AB3F1C"/>
    <w:rPr>
      <w:sz w:val="18"/>
      <w:szCs w:val="18"/>
    </w:rPr>
  </w:style>
  <w:style w:type="paragraph" w:styleId="a7">
    <w:name w:val="Bibliography"/>
    <w:basedOn w:val="a"/>
    <w:next w:val="a"/>
    <w:uiPriority w:val="37"/>
    <w:unhideWhenUsed/>
    <w:rsid w:val="00AB3F1C"/>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2392</Words>
  <Characters>13636</Characters>
  <Application>Microsoft Office Word</Application>
  <DocSecurity>0</DocSecurity>
  <Lines>113</Lines>
  <Paragraphs>31</Paragraphs>
  <ScaleCrop>false</ScaleCrop>
  <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1758159421@qq.com</dc:creator>
  <cp:keywords/>
  <dc:description/>
  <cp:lastModifiedBy>1758159421@qq.com</cp:lastModifiedBy>
  <cp:revision>9</cp:revision>
  <dcterms:created xsi:type="dcterms:W3CDTF">2021-12-10T13:10:00Z</dcterms:created>
  <dcterms:modified xsi:type="dcterms:W3CDTF">2022-07-26T04:23:00Z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id="fz540RVl"/&gt;&lt;style id="http://www.zotero.org/styles/nature" hasBibliography="1" bibliographyStyleHasBeenSet="1"/&gt;&lt;prefs&gt;&lt;pref name="fieldType" value="Field"/&gt;&lt;/prefs&gt;&lt;/data&gt;</vt:lpwstr>
  </property>
</Properties>
</file>