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C5E" w:rsidRDefault="00881093">
      <w:r w:rsidRPr="00881093">
        <w:rPr>
          <w:rFonts w:ascii="Times New Roman" w:hAnsi="Times New Roman" w:cs="Times New Roman"/>
          <w:sz w:val="24"/>
          <w:szCs w:val="24"/>
        </w:rPr>
        <w:t xml:space="preserve">Table </w:t>
      </w:r>
      <w:r w:rsidR="005477CF">
        <w:rPr>
          <w:rFonts w:ascii="Times New Roman" w:hAnsi="Times New Roman" w:cs="Times New Roman"/>
          <w:sz w:val="24"/>
          <w:szCs w:val="24"/>
        </w:rPr>
        <w:t>S</w:t>
      </w:r>
      <w:r w:rsidRPr="00881093">
        <w:rPr>
          <w:rFonts w:ascii="Times New Roman" w:hAnsi="Times New Roman" w:cs="Times New Roman"/>
          <w:sz w:val="24"/>
          <w:szCs w:val="24"/>
        </w:rPr>
        <w:t>2.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Associations between maternal methyl nutrient intake or blood levels and </w:t>
      </w:r>
      <w:r w:rsidRPr="006F519C">
        <w:rPr>
          <w:rFonts w:ascii="Times New Roman" w:hAnsi="Times New Roman" w:cs="Times New Roman"/>
          <w:i/>
          <w:sz w:val="24"/>
          <w:szCs w:val="24"/>
        </w:rPr>
        <w:t xml:space="preserve">IGF2 </w:t>
      </w:r>
      <w:r>
        <w:rPr>
          <w:rFonts w:ascii="Times New Roman" w:hAnsi="Times New Roman" w:cs="Times New Roman"/>
          <w:sz w:val="24"/>
          <w:szCs w:val="24"/>
        </w:rPr>
        <w:t xml:space="preserve">DMR0 </w:t>
      </w:r>
      <w:proofErr w:type="spellStart"/>
      <w:r>
        <w:rPr>
          <w:rFonts w:ascii="Times New Roman" w:hAnsi="Times New Roman" w:cs="Times New Roman"/>
          <w:sz w:val="24"/>
          <w:szCs w:val="24"/>
        </w:rPr>
        <w:t>CpG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sites DNA methylation in the placenta and cord blood</w:t>
      </w:r>
    </w:p>
    <w:tbl>
      <w:tblPr>
        <w:tblW w:w="14860" w:type="dxa"/>
        <w:tblInd w:w="-940" w:type="dxa"/>
        <w:tblLook w:val="04A0" w:firstRow="1" w:lastRow="0" w:firstColumn="1" w:lastColumn="0" w:noHBand="0" w:noVBand="1"/>
      </w:tblPr>
      <w:tblGrid>
        <w:gridCol w:w="3620"/>
        <w:gridCol w:w="1600"/>
        <w:gridCol w:w="1580"/>
        <w:gridCol w:w="1640"/>
        <w:gridCol w:w="1600"/>
        <w:gridCol w:w="1520"/>
        <w:gridCol w:w="1530"/>
        <w:gridCol w:w="1770"/>
      </w:tblGrid>
      <w:tr w:rsidR="00881093" w:rsidRPr="00881093" w:rsidTr="0009539A">
        <w:trPr>
          <w:trHeight w:val="312"/>
        </w:trPr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CpG6-7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CpG8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301969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 (</w:t>
            </w:r>
            <w:r w:rsidRPr="0030196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3019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Placenta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Choline intake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 (0.80)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 (0.12)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 (0.72)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-0.033 (0.83)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 (0.23)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 (0.84)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 (0.96)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Betaine intake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 (0.21)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-0.017 (0.84)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 (0.4)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-0.061 (0.94)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 (0.25)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 (0.54)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 (0.63)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Vitamin B</w:t>
            </w: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 (0.002)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 (0.63)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 (0.046)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 (0.48)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 (0.95)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0.22(0.01)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-0.041 (0.73)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Folate intake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 (0.12)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 (0.48)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-0.058 (0.73)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-0.041 (0.71)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 (0.24)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-0.033 (0.85)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-0.091 (0.83)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Dietary methylation score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 (0.69)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0.068 (0.63)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 (0.98)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-0.043 (0.65)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 (0.56)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0.069 (0.56)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 (0.33)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Maternal plasma choline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0.086 (0.42)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 (0.66)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-0.041 (0.54)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 (0.40)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 (0.65)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 (0.32)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 (0.53)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Maternal plasma betaine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 (0.32)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 (0.51)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 (0.22)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 (0.15)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 (0.11)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 (0.028)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 (0.87)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Maternal serum </w:t>
            </w:r>
            <w:proofErr w:type="spellStart"/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holotranscobalamin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 (0.78)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 (0.19)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 (0.57)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-0.037 (0.88)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 (0.25)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-0.028 (0.93)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 (0.54)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Maternal serum folate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-0.026 (0.89)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 (0.21)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 (0.63)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 (0.21)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-0.37 (0.01)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-0.027 (0.91)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 (0.014)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Maternal plasma homocysteine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 (0.39)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 (0.18)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-0.087 (0.59)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 (0.90)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 (0.086)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 (0.61)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 (0.44)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Cord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Choline intake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0.077 (0.71)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 (0.007)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 (0.82)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 (0.41</w:t>
            </w:r>
            <w:r w:rsidRPr="00881093">
              <w:rPr>
                <w:rFonts w:ascii="SimSun" w:eastAsia="SimSun" w:hAnsi="SimSun" w:cs="SimSu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 (0.30)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-0.093 (0.56</w:t>
            </w:r>
            <w:r w:rsidRPr="00881093">
              <w:rPr>
                <w:rFonts w:ascii="SimSun" w:eastAsia="SimSun" w:hAnsi="SimSun" w:cs="SimSun"/>
                <w:color w:val="000000"/>
                <w:sz w:val="24"/>
                <w:szCs w:val="24"/>
              </w:rPr>
              <w:t>）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Betaine intake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 (0.37)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 (0.34)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 (0.99)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-0.30 (0.013)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 (0.25)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-0.26 (0.038)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Vitamin B</w:t>
            </w: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 (0.038)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 (0.51)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 (0.83)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-0.033 (0.56)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 (0.042)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 (0.56)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Folate intake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-0.044 (0.73)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-0.061 (0.91)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 (0.55)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 (0.84)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 (0.27)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 (0.39)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Diet</w:t>
            </w:r>
            <w:r w:rsidR="00095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ary</w:t>
            </w: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methylation score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 (0.80)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 (0.39)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 (0.69)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-0.015 (0.86)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 (0.78)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 (0.21)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Maternal plasma choline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 (0.63)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 (0.99)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 (0.44)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 (0.95)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 (0.001)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 (0.97)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Maternal plasma betaine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0.077 (0.56)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 (0.86)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 (0.14)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 (0.22)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 (0.42)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 (0.11)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095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Maternal serum </w:t>
            </w:r>
            <w:proofErr w:type="spellStart"/>
            <w:r w:rsidR="00095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olotranscobalamin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 (0.072)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 (0.11)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 (0.94)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-0.094 (0.55)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-0.029 (0.73)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 (0.11)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Maternal serum folate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-0.056 (0.88)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 (0.31)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 (0.50)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 (0.56)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 (0.34)</w:t>
            </w: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 (0.47)</w:t>
            </w:r>
          </w:p>
        </w:tc>
      </w:tr>
      <w:tr w:rsidR="00881093" w:rsidRPr="00881093" w:rsidTr="0009539A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Maternal plasma homocysteine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 (0.58)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 (0.14)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 (0.19)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-0.039 (0.72)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 (0.83)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1093" w:rsidRPr="00881093" w:rsidRDefault="00881093" w:rsidP="0088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 (0.27)</w:t>
            </w:r>
          </w:p>
        </w:tc>
      </w:tr>
    </w:tbl>
    <w:p w:rsidR="00881093" w:rsidRDefault="00EB1B1B" w:rsidP="00EB1B1B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= 21 for the GDM group and n = 26 for the non-GDM group. </w:t>
      </w:r>
      <w:r w:rsidRPr="000B4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Analyzed with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generalized linear model adjusted for </w:t>
      </w:r>
      <w:r>
        <w:rPr>
          <w:rFonts w:ascii="Times New Roman" w:hAnsi="Times New Roman" w:cs="Times New Roman"/>
          <w:sz w:val="24"/>
          <w:szCs w:val="24"/>
        </w:rPr>
        <w:t xml:space="preserve">GDM status, GDM × nutrient intake/blood status interaction, total energy intake, and fetal covariates including sex of neonate, gestational age at </w:t>
      </w:r>
      <w:r>
        <w:rPr>
          <w:rFonts w:ascii="Times New Roman" w:hAnsi="Times New Roman" w:cs="Times New Roman"/>
          <w:sz w:val="24"/>
          <w:szCs w:val="24"/>
        </w:rPr>
        <w:lastRenderedPageBreak/>
        <w:t>birth, and mode of delivery. The correlation coefficient (r) was calculated using partial correlation controlling for the variables mentioned above.</w:t>
      </w:r>
      <w:r>
        <w:rPr>
          <w:rFonts w:ascii="Times New Roman" w:hAnsi="Times New Roman" w:cs="Times New Roman"/>
          <w:sz w:val="24"/>
          <w:szCs w:val="24"/>
        </w:rPr>
        <w:t xml:space="preserve"> DMR0: differentially methylated region 0; IGF2: insulin-like growth factor 2.</w:t>
      </w:r>
      <w:bookmarkStart w:id="0" w:name="_GoBack"/>
      <w:bookmarkEnd w:id="0"/>
    </w:p>
    <w:sectPr w:rsidR="00881093" w:rsidSect="008810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93"/>
    <w:rsid w:val="0009539A"/>
    <w:rsid w:val="00301969"/>
    <w:rsid w:val="005477CF"/>
    <w:rsid w:val="00566503"/>
    <w:rsid w:val="00741C96"/>
    <w:rsid w:val="00881093"/>
    <w:rsid w:val="00BE1CE2"/>
    <w:rsid w:val="00EB1B1B"/>
    <w:rsid w:val="00FE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83C19"/>
  <w15:chartTrackingRefBased/>
  <w15:docId w15:val="{5DA833AE-C1C0-4792-871D-276758BF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</dc:creator>
  <cp:keywords/>
  <dc:description/>
  <cp:lastModifiedBy>XJ </cp:lastModifiedBy>
  <cp:revision>7</cp:revision>
  <dcterms:created xsi:type="dcterms:W3CDTF">2023-01-08T06:32:00Z</dcterms:created>
  <dcterms:modified xsi:type="dcterms:W3CDTF">2023-05-03T03:58:00Z</dcterms:modified>
</cp:coreProperties>
</file>