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1BCF8">
      <w:pPr>
        <w:adjustRightInd w:val="0"/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Supplementary Table. Clinical Characteristics of Different Participating Institutions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559"/>
        <w:gridCol w:w="1690"/>
        <w:gridCol w:w="1745"/>
        <w:gridCol w:w="1744"/>
        <w:gridCol w:w="1745"/>
        <w:gridCol w:w="1745"/>
        <w:gridCol w:w="1745"/>
      </w:tblGrid>
      <w:tr w14:paraId="77540E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0056AC8B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3" w:colLast="5"/>
          </w:p>
        </w:tc>
        <w:tc>
          <w:tcPr>
            <w:tcW w:w="1559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1704388B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  <w:p w14:paraId="755E4B82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(n=1851)</w:t>
            </w:r>
          </w:p>
        </w:tc>
        <w:tc>
          <w:tcPr>
            <w:tcW w:w="1690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05D78D37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Peking Union Medical College Hospita</w:t>
            </w:r>
            <w:r>
              <w:rPr>
                <w:rFonts w:hint="eastAsia"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  <w:p w14:paraId="1593D97A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(n=1344)</w:t>
            </w:r>
          </w:p>
        </w:tc>
        <w:tc>
          <w:tcPr>
            <w:tcW w:w="1745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01C794E9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Peking University International Hospital</w:t>
            </w:r>
          </w:p>
          <w:p w14:paraId="391997F0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(n=21)</w:t>
            </w:r>
          </w:p>
        </w:tc>
        <w:tc>
          <w:tcPr>
            <w:tcW w:w="1744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584527FF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Cangzhou Central Hospital</w:t>
            </w:r>
          </w:p>
          <w:p w14:paraId="17BEFC9E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(n=23)</w:t>
            </w:r>
          </w:p>
        </w:tc>
        <w:tc>
          <w:tcPr>
            <w:tcW w:w="1745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479B0599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Inner Mongolia Autonomous Region People’s Hospital</w:t>
            </w:r>
          </w:p>
          <w:p w14:paraId="44E29AB9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(n=25)</w:t>
            </w:r>
          </w:p>
        </w:tc>
        <w:tc>
          <w:tcPr>
            <w:tcW w:w="1745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58BB667A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Zhejiang Provincial People's Hospital</w:t>
            </w:r>
          </w:p>
          <w:p w14:paraId="2E00953B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(n=255)</w:t>
            </w:r>
          </w:p>
        </w:tc>
        <w:tc>
          <w:tcPr>
            <w:tcW w:w="1745" w:type="dxa"/>
            <w:tcBorders>
              <w:bottom w:val="single" w:color="auto" w:sz="4" w:space="0"/>
              <w:insideH w:val="single" w:sz="4" w:space="0"/>
            </w:tcBorders>
            <w:noWrap/>
          </w:tcPr>
          <w:p w14:paraId="5EF55F49">
            <w:pPr>
              <w:widowControl/>
              <w:adjustRightInd w:val="0"/>
              <w:jc w:val="both"/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The Second Affiliated Hospital of Zhejiang University School of Medicine</w:t>
            </w:r>
          </w:p>
          <w:p w14:paraId="0C1474ED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(n=183)</w:t>
            </w:r>
          </w:p>
        </w:tc>
      </w:tr>
      <w:bookmarkEnd w:id="0"/>
      <w:tr w14:paraId="53FAB2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72F00C8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AGE (median (IQR))</w:t>
            </w:r>
          </w:p>
        </w:tc>
        <w:tc>
          <w:tcPr>
            <w:tcW w:w="1559" w:type="dxa"/>
            <w:noWrap/>
          </w:tcPr>
          <w:p w14:paraId="406DD38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hint="eastAsia" w:cs="Arial"/>
                <w:color w:val="000000" w:themeColor="text1"/>
                <w:kern w:val="0"/>
                <w:sz w:val="12"/>
                <w:szCs w:val="1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(34, 53)</w:t>
            </w:r>
          </w:p>
        </w:tc>
        <w:tc>
          <w:tcPr>
            <w:tcW w:w="1690" w:type="dxa"/>
            <w:noWrap/>
          </w:tcPr>
          <w:p w14:paraId="560BFF3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43 (35, 54)</w:t>
            </w:r>
          </w:p>
        </w:tc>
        <w:tc>
          <w:tcPr>
            <w:tcW w:w="1745" w:type="dxa"/>
            <w:noWrap/>
          </w:tcPr>
          <w:p w14:paraId="26DEA04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37 (30, 52)</w:t>
            </w:r>
          </w:p>
        </w:tc>
        <w:tc>
          <w:tcPr>
            <w:tcW w:w="1744" w:type="dxa"/>
            <w:noWrap/>
          </w:tcPr>
          <w:p w14:paraId="5D4E438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42 (29, 53)</w:t>
            </w:r>
          </w:p>
        </w:tc>
        <w:tc>
          <w:tcPr>
            <w:tcW w:w="1745" w:type="dxa"/>
            <w:noWrap/>
          </w:tcPr>
          <w:p w14:paraId="2AA6067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eastAsia" w:cs="Arial"/>
                <w:color w:val="000000" w:themeColor="text1"/>
                <w:kern w:val="0"/>
                <w:sz w:val="12"/>
                <w:szCs w:val="1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(34, 49)</w:t>
            </w:r>
          </w:p>
        </w:tc>
        <w:tc>
          <w:tcPr>
            <w:tcW w:w="1745" w:type="dxa"/>
            <w:noWrap/>
          </w:tcPr>
          <w:p w14:paraId="48645FC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39 (31, 49)</w:t>
            </w:r>
          </w:p>
        </w:tc>
        <w:tc>
          <w:tcPr>
            <w:tcW w:w="1745" w:type="dxa"/>
            <w:noWrap/>
          </w:tcPr>
          <w:p w14:paraId="5C13577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37 (30, 51)</w:t>
            </w:r>
          </w:p>
        </w:tc>
      </w:tr>
      <w:tr w14:paraId="12A4B5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1F080BC3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ΔCt 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PAX1</w:t>
            </w: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(median (IQR))</w:t>
            </w:r>
          </w:p>
        </w:tc>
        <w:tc>
          <w:tcPr>
            <w:tcW w:w="1559" w:type="dxa"/>
            <w:noWrap/>
          </w:tcPr>
          <w:p w14:paraId="2A911FF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13.31 (8.76, 17.33)</w:t>
            </w:r>
          </w:p>
        </w:tc>
        <w:tc>
          <w:tcPr>
            <w:tcW w:w="1690" w:type="dxa"/>
            <w:noWrap/>
          </w:tcPr>
          <w:p w14:paraId="78FE7B3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11.34 (8.73, 17.48)</w:t>
            </w:r>
          </w:p>
        </w:tc>
        <w:tc>
          <w:tcPr>
            <w:tcW w:w="1745" w:type="dxa"/>
            <w:noWrap/>
          </w:tcPr>
          <w:p w14:paraId="5FE3059F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15.46 (9.62, 18.08)</w:t>
            </w:r>
          </w:p>
        </w:tc>
        <w:tc>
          <w:tcPr>
            <w:tcW w:w="1744" w:type="dxa"/>
            <w:noWrap/>
          </w:tcPr>
          <w:p w14:paraId="015CCB5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15.60 (12.69, 16.40)</w:t>
            </w:r>
          </w:p>
        </w:tc>
        <w:tc>
          <w:tcPr>
            <w:tcW w:w="1745" w:type="dxa"/>
            <w:noWrap/>
          </w:tcPr>
          <w:p w14:paraId="41E8132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8.95 (7.25, 15.64)</w:t>
            </w:r>
          </w:p>
        </w:tc>
        <w:tc>
          <w:tcPr>
            <w:tcW w:w="1745" w:type="dxa"/>
            <w:noWrap/>
          </w:tcPr>
          <w:p w14:paraId="66CBFBAF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16.00 (11.38, 17.19)</w:t>
            </w:r>
          </w:p>
        </w:tc>
        <w:tc>
          <w:tcPr>
            <w:tcW w:w="1745" w:type="dxa"/>
            <w:noWrap/>
          </w:tcPr>
          <w:p w14:paraId="0C58838F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15.44 (7.39, 16.71)</w:t>
            </w:r>
          </w:p>
        </w:tc>
      </w:tr>
      <w:tr w14:paraId="1459C6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0885C4FE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ΔCt 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JAM3 </w:t>
            </w: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(median (IQR))</w:t>
            </w:r>
          </w:p>
        </w:tc>
        <w:tc>
          <w:tcPr>
            <w:tcW w:w="1559" w:type="dxa"/>
            <w:noWrap/>
          </w:tcPr>
          <w:p w14:paraId="5E61B41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15.13 (12.74, 16.97)</w:t>
            </w:r>
          </w:p>
        </w:tc>
        <w:tc>
          <w:tcPr>
            <w:tcW w:w="1690" w:type="dxa"/>
            <w:noWrap/>
          </w:tcPr>
          <w:p w14:paraId="3B45751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14.63 (12.54, 16.95)</w:t>
            </w:r>
          </w:p>
        </w:tc>
        <w:tc>
          <w:tcPr>
            <w:tcW w:w="1745" w:type="dxa"/>
            <w:noWrap/>
          </w:tcPr>
          <w:p w14:paraId="7C1B5F2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14.31 (12.43, 16.41)</w:t>
            </w:r>
          </w:p>
        </w:tc>
        <w:tc>
          <w:tcPr>
            <w:tcW w:w="1744" w:type="dxa"/>
            <w:noWrap/>
          </w:tcPr>
          <w:p w14:paraId="01B8A4F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15.39 (14.35, 16.05)</w:t>
            </w:r>
          </w:p>
        </w:tc>
        <w:tc>
          <w:tcPr>
            <w:tcW w:w="1745" w:type="dxa"/>
            <w:noWrap/>
          </w:tcPr>
          <w:p w14:paraId="3E401AB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14.31 (12.31, 15.64)</w:t>
            </w:r>
          </w:p>
        </w:tc>
        <w:tc>
          <w:tcPr>
            <w:tcW w:w="1745" w:type="dxa"/>
            <w:noWrap/>
          </w:tcPr>
          <w:p w14:paraId="519BC2D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16.09 (14.27, 17.19)</w:t>
            </w:r>
          </w:p>
        </w:tc>
        <w:tc>
          <w:tcPr>
            <w:tcW w:w="1745" w:type="dxa"/>
            <w:noWrap/>
          </w:tcPr>
          <w:p w14:paraId="4824DA3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15.78 (13.16, 16.80)</w:t>
            </w:r>
          </w:p>
        </w:tc>
      </w:tr>
      <w:tr w14:paraId="68C508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01411FAA">
            <w:pPr>
              <w:widowControl/>
              <w:adjustRightInd w:val="0"/>
              <w:jc w:val="both"/>
              <w:rPr>
                <w:rFonts w:cs="Arial"/>
                <w:b w:val="0"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PAX1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1559" w:type="dxa"/>
            <w:noWrap/>
          </w:tcPr>
          <w:p w14:paraId="5FBC7142">
            <w:pPr>
              <w:widowControl/>
              <w:adjustRightInd w:val="0"/>
              <w:jc w:val="both"/>
              <w:rPr>
                <w:rFonts w:cs="Arial"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/>
          </w:tcPr>
          <w:p w14:paraId="07795DAD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59D54327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4" w:type="dxa"/>
            <w:noWrap/>
          </w:tcPr>
          <w:p w14:paraId="4B622992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053D8DE3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78C1B109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26734423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D134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3F8BAA4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(-)</w:t>
            </w:r>
          </w:p>
        </w:tc>
        <w:tc>
          <w:tcPr>
            <w:tcW w:w="1559" w:type="dxa"/>
            <w:noWrap/>
          </w:tcPr>
          <w:p w14:paraId="1E57AB9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1575 (85.1)</w:t>
            </w:r>
          </w:p>
        </w:tc>
        <w:tc>
          <w:tcPr>
            <w:tcW w:w="1690" w:type="dxa"/>
            <w:noWrap/>
          </w:tcPr>
          <w:p w14:paraId="61DCBAA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1157 (86.1)</w:t>
            </w:r>
          </w:p>
        </w:tc>
        <w:tc>
          <w:tcPr>
            <w:tcW w:w="1745" w:type="dxa"/>
            <w:noWrap/>
          </w:tcPr>
          <w:p w14:paraId="7833F73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19 (90.5)</w:t>
            </w:r>
          </w:p>
        </w:tc>
        <w:tc>
          <w:tcPr>
            <w:tcW w:w="1744" w:type="dxa"/>
            <w:noWrap/>
          </w:tcPr>
          <w:p w14:paraId="5C850FE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22 (95.7)</w:t>
            </w:r>
          </w:p>
        </w:tc>
        <w:tc>
          <w:tcPr>
            <w:tcW w:w="1745" w:type="dxa"/>
            <w:noWrap/>
          </w:tcPr>
          <w:p w14:paraId="3BEC4DD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20 (80.0)</w:t>
            </w:r>
          </w:p>
        </w:tc>
        <w:tc>
          <w:tcPr>
            <w:tcW w:w="1745" w:type="dxa"/>
            <w:noWrap/>
          </w:tcPr>
          <w:p w14:paraId="602411E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215 (84.3)</w:t>
            </w:r>
          </w:p>
        </w:tc>
        <w:tc>
          <w:tcPr>
            <w:tcW w:w="1745" w:type="dxa"/>
            <w:noWrap/>
          </w:tcPr>
          <w:p w14:paraId="189CBB4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142 (77.6)</w:t>
            </w:r>
          </w:p>
        </w:tc>
      </w:tr>
      <w:tr w14:paraId="4C7C4E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63E2FE96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(+)</w:t>
            </w:r>
          </w:p>
        </w:tc>
        <w:tc>
          <w:tcPr>
            <w:tcW w:w="1559" w:type="dxa"/>
            <w:noWrap/>
          </w:tcPr>
          <w:p w14:paraId="603D95C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276 (14.9)</w:t>
            </w:r>
          </w:p>
        </w:tc>
        <w:tc>
          <w:tcPr>
            <w:tcW w:w="1690" w:type="dxa"/>
            <w:noWrap/>
          </w:tcPr>
          <w:p w14:paraId="2B53FF1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187 (13.9)</w:t>
            </w:r>
          </w:p>
        </w:tc>
        <w:tc>
          <w:tcPr>
            <w:tcW w:w="1745" w:type="dxa"/>
            <w:noWrap/>
          </w:tcPr>
          <w:p w14:paraId="5355CE1F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 (9.5)</w:t>
            </w:r>
          </w:p>
        </w:tc>
        <w:tc>
          <w:tcPr>
            <w:tcW w:w="1744" w:type="dxa"/>
            <w:noWrap/>
          </w:tcPr>
          <w:p w14:paraId="2FE4B69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(4.3)</w:t>
            </w:r>
          </w:p>
        </w:tc>
        <w:tc>
          <w:tcPr>
            <w:tcW w:w="1745" w:type="dxa"/>
            <w:noWrap/>
          </w:tcPr>
          <w:p w14:paraId="70028D9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5 (20.0)</w:t>
            </w:r>
          </w:p>
        </w:tc>
        <w:tc>
          <w:tcPr>
            <w:tcW w:w="1745" w:type="dxa"/>
            <w:noWrap/>
          </w:tcPr>
          <w:p w14:paraId="30D68DF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40 (15.7)</w:t>
            </w:r>
          </w:p>
        </w:tc>
        <w:tc>
          <w:tcPr>
            <w:tcW w:w="1745" w:type="dxa"/>
            <w:noWrap/>
          </w:tcPr>
          <w:p w14:paraId="4F7B57C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41 (22.4)</w:t>
            </w:r>
          </w:p>
        </w:tc>
      </w:tr>
      <w:tr w14:paraId="54D74C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0A0AEAE1">
            <w:pPr>
              <w:widowControl/>
              <w:adjustRightInd w:val="0"/>
              <w:jc w:val="both"/>
              <w:rPr>
                <w:rFonts w:cs="Arial"/>
                <w:b w:val="0"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JAM3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1559" w:type="dxa"/>
            <w:noWrap/>
          </w:tcPr>
          <w:p w14:paraId="6C5A419C">
            <w:pPr>
              <w:widowControl/>
              <w:adjustRightInd w:val="0"/>
              <w:jc w:val="both"/>
              <w:rPr>
                <w:rFonts w:cs="Arial"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/>
          </w:tcPr>
          <w:p w14:paraId="45BE8AEB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207D56C4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4" w:type="dxa"/>
            <w:noWrap/>
          </w:tcPr>
          <w:p w14:paraId="1D6B58AF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7A170E49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2C2FE019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69CF3BAB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619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6E2CD55A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(-)</w:t>
            </w:r>
          </w:p>
        </w:tc>
        <w:tc>
          <w:tcPr>
            <w:tcW w:w="1559" w:type="dxa"/>
            <w:noWrap/>
          </w:tcPr>
          <w:p w14:paraId="2F321BD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1601 (86.5)</w:t>
            </w:r>
          </w:p>
        </w:tc>
        <w:tc>
          <w:tcPr>
            <w:tcW w:w="1690" w:type="dxa"/>
            <w:noWrap/>
          </w:tcPr>
          <w:p w14:paraId="28671EE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1168 (86.9)</w:t>
            </w:r>
          </w:p>
        </w:tc>
        <w:tc>
          <w:tcPr>
            <w:tcW w:w="1745" w:type="dxa"/>
            <w:noWrap/>
          </w:tcPr>
          <w:p w14:paraId="49B9049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20 (95.2)</w:t>
            </w:r>
          </w:p>
        </w:tc>
        <w:tc>
          <w:tcPr>
            <w:tcW w:w="1744" w:type="dxa"/>
            <w:noWrap/>
          </w:tcPr>
          <w:p w14:paraId="285F80A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23 (100.0)</w:t>
            </w:r>
          </w:p>
        </w:tc>
        <w:tc>
          <w:tcPr>
            <w:tcW w:w="1745" w:type="dxa"/>
            <w:noWrap/>
          </w:tcPr>
          <w:p w14:paraId="4835425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22 (88.0)</w:t>
            </w:r>
          </w:p>
        </w:tc>
        <w:tc>
          <w:tcPr>
            <w:tcW w:w="1745" w:type="dxa"/>
            <w:noWrap/>
          </w:tcPr>
          <w:p w14:paraId="0760B70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224 (87.8)</w:t>
            </w:r>
          </w:p>
        </w:tc>
        <w:tc>
          <w:tcPr>
            <w:tcW w:w="1745" w:type="dxa"/>
            <w:noWrap/>
          </w:tcPr>
          <w:p w14:paraId="7593E67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144 (78.7)</w:t>
            </w:r>
          </w:p>
        </w:tc>
      </w:tr>
      <w:tr w14:paraId="11E3BE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537B2EF8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(+)</w:t>
            </w:r>
          </w:p>
        </w:tc>
        <w:tc>
          <w:tcPr>
            <w:tcW w:w="1559" w:type="dxa"/>
            <w:noWrap/>
          </w:tcPr>
          <w:p w14:paraId="25B3057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250 (13.5)</w:t>
            </w:r>
          </w:p>
        </w:tc>
        <w:tc>
          <w:tcPr>
            <w:tcW w:w="1690" w:type="dxa"/>
            <w:noWrap/>
          </w:tcPr>
          <w:p w14:paraId="32DF2E0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176 (13.1)</w:t>
            </w:r>
          </w:p>
        </w:tc>
        <w:tc>
          <w:tcPr>
            <w:tcW w:w="1745" w:type="dxa"/>
            <w:noWrap/>
          </w:tcPr>
          <w:p w14:paraId="73A745A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(4.8)</w:t>
            </w:r>
          </w:p>
        </w:tc>
        <w:tc>
          <w:tcPr>
            <w:tcW w:w="1744" w:type="dxa"/>
            <w:noWrap/>
          </w:tcPr>
          <w:p w14:paraId="451D20E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0C9253C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 (12.0)</w:t>
            </w:r>
          </w:p>
        </w:tc>
        <w:tc>
          <w:tcPr>
            <w:tcW w:w="1745" w:type="dxa"/>
            <w:noWrap/>
          </w:tcPr>
          <w:p w14:paraId="26CA455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31 (12.2)</w:t>
            </w:r>
          </w:p>
        </w:tc>
        <w:tc>
          <w:tcPr>
            <w:tcW w:w="1745" w:type="dxa"/>
            <w:noWrap/>
          </w:tcPr>
          <w:p w14:paraId="7D72C16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39 (21.3)</w:t>
            </w:r>
          </w:p>
        </w:tc>
      </w:tr>
      <w:tr w14:paraId="0F8896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42D71386">
            <w:pPr>
              <w:widowControl/>
              <w:adjustRightInd w:val="0"/>
              <w:jc w:val="both"/>
              <w:rPr>
                <w:rFonts w:cs="Arial"/>
                <w:b w:val="0"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PAX1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/JAM3</w:t>
            </w:r>
            <w:r>
              <w:rPr>
                <w:rFonts w:cs="Arial"/>
                <w:b/>
                <w:i/>
                <w:iCs/>
                <w:color w:val="000000" w:themeColor="text1"/>
                <w:kern w:val="0"/>
                <w:sz w:val="12"/>
                <w:szCs w:val="1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1559" w:type="dxa"/>
            <w:noWrap/>
          </w:tcPr>
          <w:p w14:paraId="0F7A3365">
            <w:pPr>
              <w:widowControl/>
              <w:adjustRightInd w:val="0"/>
              <w:jc w:val="both"/>
              <w:rPr>
                <w:rFonts w:cs="Arial"/>
                <w:i/>
                <w:iCs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/>
          </w:tcPr>
          <w:p w14:paraId="43287632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6A2FE4C6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4" w:type="dxa"/>
            <w:noWrap/>
          </w:tcPr>
          <w:p w14:paraId="2B22A944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2566F04F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02ADE742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71990AE2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A11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1713272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(-)</w:t>
            </w:r>
          </w:p>
        </w:tc>
        <w:tc>
          <w:tcPr>
            <w:tcW w:w="1559" w:type="dxa"/>
            <w:noWrap/>
          </w:tcPr>
          <w:p w14:paraId="52357BC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1528 (82.5)</w:t>
            </w:r>
          </w:p>
        </w:tc>
        <w:tc>
          <w:tcPr>
            <w:tcW w:w="1690" w:type="dxa"/>
            <w:noWrap/>
          </w:tcPr>
          <w:p w14:paraId="270EBA2F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1121 (83.4)</w:t>
            </w:r>
          </w:p>
        </w:tc>
        <w:tc>
          <w:tcPr>
            <w:tcW w:w="1745" w:type="dxa"/>
            <w:noWrap/>
          </w:tcPr>
          <w:p w14:paraId="11CCC25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18 (85.7)</w:t>
            </w:r>
          </w:p>
        </w:tc>
        <w:tc>
          <w:tcPr>
            <w:tcW w:w="1744" w:type="dxa"/>
            <w:noWrap/>
          </w:tcPr>
          <w:p w14:paraId="535EFA4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22 (95.7)</w:t>
            </w:r>
          </w:p>
        </w:tc>
        <w:tc>
          <w:tcPr>
            <w:tcW w:w="1745" w:type="dxa"/>
            <w:noWrap/>
          </w:tcPr>
          <w:p w14:paraId="5ACECA1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19 (76.0)</w:t>
            </w:r>
          </w:p>
        </w:tc>
        <w:tc>
          <w:tcPr>
            <w:tcW w:w="1745" w:type="dxa"/>
            <w:noWrap/>
          </w:tcPr>
          <w:p w14:paraId="5B6971F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211 (82.7)</w:t>
            </w:r>
          </w:p>
        </w:tc>
        <w:tc>
          <w:tcPr>
            <w:tcW w:w="1745" w:type="dxa"/>
            <w:noWrap/>
          </w:tcPr>
          <w:p w14:paraId="32412C0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137 (74.9)</w:t>
            </w:r>
          </w:p>
        </w:tc>
      </w:tr>
      <w:tr w14:paraId="75C8F4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0887F14D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(+)</w:t>
            </w:r>
          </w:p>
        </w:tc>
        <w:tc>
          <w:tcPr>
            <w:tcW w:w="1559" w:type="dxa"/>
            <w:noWrap/>
          </w:tcPr>
          <w:p w14:paraId="76D5186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323 (17.5)</w:t>
            </w:r>
          </w:p>
        </w:tc>
        <w:tc>
          <w:tcPr>
            <w:tcW w:w="1690" w:type="dxa"/>
            <w:noWrap/>
          </w:tcPr>
          <w:p w14:paraId="05136BE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223 (16.6)</w:t>
            </w:r>
          </w:p>
        </w:tc>
        <w:tc>
          <w:tcPr>
            <w:tcW w:w="1745" w:type="dxa"/>
            <w:noWrap/>
          </w:tcPr>
          <w:p w14:paraId="06239A6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 (14.3)</w:t>
            </w:r>
          </w:p>
        </w:tc>
        <w:tc>
          <w:tcPr>
            <w:tcW w:w="1744" w:type="dxa"/>
            <w:noWrap/>
          </w:tcPr>
          <w:p w14:paraId="3D67DDE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(4.3)</w:t>
            </w:r>
          </w:p>
        </w:tc>
        <w:tc>
          <w:tcPr>
            <w:tcW w:w="1745" w:type="dxa"/>
            <w:noWrap/>
          </w:tcPr>
          <w:p w14:paraId="11165EE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 (24.0)</w:t>
            </w:r>
          </w:p>
        </w:tc>
        <w:tc>
          <w:tcPr>
            <w:tcW w:w="1745" w:type="dxa"/>
            <w:noWrap/>
          </w:tcPr>
          <w:p w14:paraId="30124AD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44 (17.3)</w:t>
            </w:r>
          </w:p>
        </w:tc>
        <w:tc>
          <w:tcPr>
            <w:tcW w:w="1745" w:type="dxa"/>
            <w:noWrap/>
          </w:tcPr>
          <w:p w14:paraId="40C0FBE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46 (25.1)</w:t>
            </w:r>
          </w:p>
        </w:tc>
      </w:tr>
      <w:tr w14:paraId="26270A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0928484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Pathology (%)</w:t>
            </w:r>
          </w:p>
        </w:tc>
        <w:tc>
          <w:tcPr>
            <w:tcW w:w="1559" w:type="dxa"/>
            <w:noWrap/>
          </w:tcPr>
          <w:p w14:paraId="27D2EC6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/>
          </w:tcPr>
          <w:p w14:paraId="0C389089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6183AD9F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4" w:type="dxa"/>
            <w:noWrap/>
          </w:tcPr>
          <w:p w14:paraId="2481D120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17197546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5039868C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5A642A01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6484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2F3C5F67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Normal</w:t>
            </w:r>
          </w:p>
        </w:tc>
        <w:tc>
          <w:tcPr>
            <w:tcW w:w="1559" w:type="dxa"/>
            <w:noWrap/>
          </w:tcPr>
          <w:p w14:paraId="40F992D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1121 (60.6)</w:t>
            </w:r>
          </w:p>
        </w:tc>
        <w:tc>
          <w:tcPr>
            <w:tcW w:w="1690" w:type="dxa"/>
            <w:noWrap/>
          </w:tcPr>
          <w:p w14:paraId="2AF064D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797 (59.3)</w:t>
            </w:r>
          </w:p>
        </w:tc>
        <w:tc>
          <w:tcPr>
            <w:tcW w:w="1745" w:type="dxa"/>
            <w:noWrap/>
          </w:tcPr>
          <w:p w14:paraId="18B3BD7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13 (61.9)</w:t>
            </w:r>
          </w:p>
        </w:tc>
        <w:tc>
          <w:tcPr>
            <w:tcW w:w="1744" w:type="dxa"/>
            <w:noWrap/>
          </w:tcPr>
          <w:p w14:paraId="3093880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16 (69.6)</w:t>
            </w:r>
          </w:p>
        </w:tc>
        <w:tc>
          <w:tcPr>
            <w:tcW w:w="1745" w:type="dxa"/>
            <w:noWrap/>
          </w:tcPr>
          <w:p w14:paraId="1F44279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9 (36.0)</w:t>
            </w:r>
          </w:p>
        </w:tc>
        <w:tc>
          <w:tcPr>
            <w:tcW w:w="1745" w:type="dxa"/>
            <w:noWrap/>
          </w:tcPr>
          <w:p w14:paraId="618EB3F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189 (74.1)</w:t>
            </w:r>
          </w:p>
        </w:tc>
        <w:tc>
          <w:tcPr>
            <w:tcW w:w="1745" w:type="dxa"/>
            <w:noWrap/>
          </w:tcPr>
          <w:p w14:paraId="7FED577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97 (53.0)</w:t>
            </w:r>
          </w:p>
        </w:tc>
      </w:tr>
      <w:tr w14:paraId="46F6FA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09ACED03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CIN1</w:t>
            </w:r>
          </w:p>
        </w:tc>
        <w:tc>
          <w:tcPr>
            <w:tcW w:w="1559" w:type="dxa"/>
            <w:noWrap/>
          </w:tcPr>
          <w:p w14:paraId="1EB6C23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401 (21.7)</w:t>
            </w:r>
          </w:p>
        </w:tc>
        <w:tc>
          <w:tcPr>
            <w:tcW w:w="1690" w:type="dxa"/>
            <w:noWrap/>
          </w:tcPr>
          <w:p w14:paraId="15B1741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312 (23.2)</w:t>
            </w:r>
          </w:p>
        </w:tc>
        <w:tc>
          <w:tcPr>
            <w:tcW w:w="1745" w:type="dxa"/>
            <w:noWrap/>
          </w:tcPr>
          <w:p w14:paraId="367AE68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7 (33.3)</w:t>
            </w:r>
          </w:p>
        </w:tc>
        <w:tc>
          <w:tcPr>
            <w:tcW w:w="1744" w:type="dxa"/>
            <w:noWrap/>
          </w:tcPr>
          <w:p w14:paraId="2A80410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5 (21.7)</w:t>
            </w:r>
          </w:p>
        </w:tc>
        <w:tc>
          <w:tcPr>
            <w:tcW w:w="1745" w:type="dxa"/>
            <w:noWrap/>
          </w:tcPr>
          <w:p w14:paraId="7896998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9 (36.0)</w:t>
            </w:r>
          </w:p>
        </w:tc>
        <w:tc>
          <w:tcPr>
            <w:tcW w:w="1745" w:type="dxa"/>
            <w:noWrap/>
          </w:tcPr>
          <w:p w14:paraId="4CBCE95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30 (11.8)</w:t>
            </w:r>
          </w:p>
        </w:tc>
        <w:tc>
          <w:tcPr>
            <w:tcW w:w="1745" w:type="dxa"/>
            <w:noWrap/>
          </w:tcPr>
          <w:p w14:paraId="7BE4B2D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38 (20.8)</w:t>
            </w:r>
          </w:p>
        </w:tc>
      </w:tr>
      <w:tr w14:paraId="718857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2B7F13E0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CIN2</w:t>
            </w:r>
          </w:p>
        </w:tc>
        <w:tc>
          <w:tcPr>
            <w:tcW w:w="1559" w:type="dxa"/>
            <w:noWrap/>
          </w:tcPr>
          <w:p w14:paraId="160DD33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178 (9.6)</w:t>
            </w:r>
          </w:p>
        </w:tc>
        <w:tc>
          <w:tcPr>
            <w:tcW w:w="1690" w:type="dxa"/>
            <w:noWrap/>
          </w:tcPr>
          <w:p w14:paraId="460C428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132 (9.8)</w:t>
            </w:r>
          </w:p>
        </w:tc>
        <w:tc>
          <w:tcPr>
            <w:tcW w:w="1745" w:type="dxa"/>
            <w:noWrap/>
          </w:tcPr>
          <w:p w14:paraId="047547E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4" w:type="dxa"/>
            <w:noWrap/>
          </w:tcPr>
          <w:p w14:paraId="053CA33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(4.3)</w:t>
            </w:r>
          </w:p>
        </w:tc>
        <w:tc>
          <w:tcPr>
            <w:tcW w:w="1745" w:type="dxa"/>
            <w:noWrap/>
          </w:tcPr>
          <w:p w14:paraId="290E15B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 (16.0)</w:t>
            </w:r>
          </w:p>
        </w:tc>
        <w:tc>
          <w:tcPr>
            <w:tcW w:w="1745" w:type="dxa"/>
            <w:noWrap/>
          </w:tcPr>
          <w:p w14:paraId="0112824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17 (6.7)</w:t>
            </w:r>
          </w:p>
        </w:tc>
        <w:tc>
          <w:tcPr>
            <w:tcW w:w="1745" w:type="dxa"/>
            <w:noWrap/>
          </w:tcPr>
          <w:p w14:paraId="11981AF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24 (13.1)</w:t>
            </w:r>
          </w:p>
        </w:tc>
      </w:tr>
      <w:tr w14:paraId="0BEC5B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4CB31A84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CIN3</w:t>
            </w:r>
          </w:p>
        </w:tc>
        <w:tc>
          <w:tcPr>
            <w:tcW w:w="1559" w:type="dxa"/>
            <w:noWrap/>
          </w:tcPr>
          <w:p w14:paraId="6AC4C9E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131 (7.1)</w:t>
            </w:r>
          </w:p>
        </w:tc>
        <w:tc>
          <w:tcPr>
            <w:tcW w:w="1690" w:type="dxa"/>
            <w:noWrap/>
          </w:tcPr>
          <w:p w14:paraId="70D7DE2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92 (6.8)</w:t>
            </w:r>
          </w:p>
        </w:tc>
        <w:tc>
          <w:tcPr>
            <w:tcW w:w="1745" w:type="dxa"/>
            <w:noWrap/>
          </w:tcPr>
          <w:p w14:paraId="6F180EE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(4.8)</w:t>
            </w:r>
          </w:p>
        </w:tc>
        <w:tc>
          <w:tcPr>
            <w:tcW w:w="1744" w:type="dxa"/>
            <w:noWrap/>
          </w:tcPr>
          <w:p w14:paraId="382C37E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(4.3)</w:t>
            </w:r>
          </w:p>
        </w:tc>
        <w:tc>
          <w:tcPr>
            <w:tcW w:w="1745" w:type="dxa"/>
            <w:noWrap/>
          </w:tcPr>
          <w:p w14:paraId="096F2C0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 (12.0)</w:t>
            </w:r>
          </w:p>
        </w:tc>
        <w:tc>
          <w:tcPr>
            <w:tcW w:w="1745" w:type="dxa"/>
            <w:noWrap/>
          </w:tcPr>
          <w:p w14:paraId="68E7A98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13 (5.1)</w:t>
            </w:r>
          </w:p>
        </w:tc>
        <w:tc>
          <w:tcPr>
            <w:tcW w:w="1745" w:type="dxa"/>
            <w:noWrap/>
          </w:tcPr>
          <w:p w14:paraId="7B8595E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21 (11.5)</w:t>
            </w:r>
          </w:p>
        </w:tc>
      </w:tr>
      <w:tr w14:paraId="7497F5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54DE4EBE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Cancer</w:t>
            </w:r>
          </w:p>
        </w:tc>
        <w:tc>
          <w:tcPr>
            <w:tcW w:w="1559" w:type="dxa"/>
            <w:noWrap/>
          </w:tcPr>
          <w:p w14:paraId="7251CEB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20 (1.1)</w:t>
            </w:r>
          </w:p>
        </w:tc>
        <w:tc>
          <w:tcPr>
            <w:tcW w:w="1690" w:type="dxa"/>
            <w:noWrap/>
          </w:tcPr>
          <w:p w14:paraId="49F6B5C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 (0.8)</w:t>
            </w:r>
          </w:p>
        </w:tc>
        <w:tc>
          <w:tcPr>
            <w:tcW w:w="1745" w:type="dxa"/>
            <w:noWrap/>
          </w:tcPr>
          <w:p w14:paraId="521B5FA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4" w:type="dxa"/>
            <w:noWrap/>
          </w:tcPr>
          <w:p w14:paraId="2FB69C9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6029997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33B798A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 (2.4)</w:t>
            </w:r>
          </w:p>
        </w:tc>
        <w:tc>
          <w:tcPr>
            <w:tcW w:w="1745" w:type="dxa"/>
            <w:noWrap/>
          </w:tcPr>
          <w:p w14:paraId="1892F12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 (1.6)</w:t>
            </w:r>
          </w:p>
        </w:tc>
      </w:tr>
      <w:tr w14:paraId="2AAC83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F4F0AF3">
            <w:pPr>
              <w:widowControl/>
              <w:adjustRightInd w:val="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LBC Results (%)</w:t>
            </w:r>
          </w:p>
        </w:tc>
        <w:tc>
          <w:tcPr>
            <w:tcW w:w="1559" w:type="dxa"/>
            <w:noWrap/>
          </w:tcPr>
          <w:p w14:paraId="76B194C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/>
          </w:tcPr>
          <w:p w14:paraId="1B28D966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196C03A7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4" w:type="dxa"/>
            <w:noWrap/>
          </w:tcPr>
          <w:p w14:paraId="6C37B06A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3B31194B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7420C11C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/>
          </w:tcPr>
          <w:p w14:paraId="68F22A8B">
            <w:pPr>
              <w:widowControl/>
              <w:adjustRightInd w:val="0"/>
              <w:jc w:val="both"/>
              <w:rPr>
                <w:rFonts w:eastAsia="Times New Roman"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6F28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22B5F9EE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NILM</w:t>
            </w:r>
          </w:p>
        </w:tc>
        <w:tc>
          <w:tcPr>
            <w:tcW w:w="1559" w:type="dxa"/>
            <w:noWrap/>
          </w:tcPr>
          <w:p w14:paraId="2697106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469 (25.3)</w:t>
            </w:r>
          </w:p>
        </w:tc>
        <w:tc>
          <w:tcPr>
            <w:tcW w:w="1690" w:type="dxa"/>
            <w:noWrap/>
          </w:tcPr>
          <w:p w14:paraId="361DDA9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223 (16.6)</w:t>
            </w:r>
          </w:p>
        </w:tc>
        <w:tc>
          <w:tcPr>
            <w:tcW w:w="1745" w:type="dxa"/>
            <w:noWrap/>
          </w:tcPr>
          <w:p w14:paraId="2A45CFF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14 (66.7)</w:t>
            </w:r>
          </w:p>
        </w:tc>
        <w:tc>
          <w:tcPr>
            <w:tcW w:w="1744" w:type="dxa"/>
            <w:noWrap/>
          </w:tcPr>
          <w:p w14:paraId="5245776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11 (47.8)</w:t>
            </w:r>
          </w:p>
        </w:tc>
        <w:tc>
          <w:tcPr>
            <w:tcW w:w="1745" w:type="dxa"/>
            <w:noWrap/>
          </w:tcPr>
          <w:p w14:paraId="7FD3FFB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12 (48.0)</w:t>
            </w:r>
          </w:p>
        </w:tc>
        <w:tc>
          <w:tcPr>
            <w:tcW w:w="1745" w:type="dxa"/>
            <w:noWrap/>
          </w:tcPr>
          <w:p w14:paraId="0B2E1E9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106 (41.6)</w:t>
            </w:r>
          </w:p>
        </w:tc>
        <w:tc>
          <w:tcPr>
            <w:tcW w:w="1745" w:type="dxa"/>
            <w:noWrap/>
          </w:tcPr>
          <w:p w14:paraId="28F27BCE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103 (56.3)</w:t>
            </w:r>
          </w:p>
        </w:tc>
      </w:tr>
      <w:tr w14:paraId="275DB7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AE8A2C3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ASCUS</w:t>
            </w:r>
          </w:p>
        </w:tc>
        <w:tc>
          <w:tcPr>
            <w:tcW w:w="1559" w:type="dxa"/>
            <w:noWrap/>
          </w:tcPr>
          <w:p w14:paraId="129E1C7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841 (45.4)</w:t>
            </w:r>
          </w:p>
        </w:tc>
        <w:tc>
          <w:tcPr>
            <w:tcW w:w="1690" w:type="dxa"/>
            <w:noWrap/>
          </w:tcPr>
          <w:p w14:paraId="5CCCD76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713 (53.1)</w:t>
            </w:r>
          </w:p>
        </w:tc>
        <w:tc>
          <w:tcPr>
            <w:tcW w:w="1745" w:type="dxa"/>
            <w:noWrap/>
          </w:tcPr>
          <w:p w14:paraId="58DE2546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 (28.6)</w:t>
            </w:r>
          </w:p>
        </w:tc>
        <w:tc>
          <w:tcPr>
            <w:tcW w:w="1744" w:type="dxa"/>
            <w:noWrap/>
          </w:tcPr>
          <w:p w14:paraId="2A29106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10 (43.5)</w:t>
            </w:r>
          </w:p>
        </w:tc>
        <w:tc>
          <w:tcPr>
            <w:tcW w:w="1745" w:type="dxa"/>
            <w:noWrap/>
          </w:tcPr>
          <w:p w14:paraId="60C1DAC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10 (40.0)</w:t>
            </w:r>
          </w:p>
        </w:tc>
        <w:tc>
          <w:tcPr>
            <w:tcW w:w="1745" w:type="dxa"/>
            <w:noWrap/>
          </w:tcPr>
          <w:p w14:paraId="02BFC3E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67 (26.3)</w:t>
            </w:r>
          </w:p>
        </w:tc>
        <w:tc>
          <w:tcPr>
            <w:tcW w:w="1745" w:type="dxa"/>
            <w:noWrap/>
          </w:tcPr>
          <w:p w14:paraId="2C1398B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35 (19.1)</w:t>
            </w:r>
          </w:p>
        </w:tc>
      </w:tr>
      <w:tr w14:paraId="19EB01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17D92602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ASC-H</w:t>
            </w:r>
          </w:p>
        </w:tc>
        <w:tc>
          <w:tcPr>
            <w:tcW w:w="1559" w:type="dxa"/>
            <w:noWrap/>
          </w:tcPr>
          <w:p w14:paraId="137FFD2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27 (1.5)</w:t>
            </w:r>
          </w:p>
        </w:tc>
        <w:tc>
          <w:tcPr>
            <w:tcW w:w="1690" w:type="dxa"/>
            <w:noWrap/>
          </w:tcPr>
          <w:p w14:paraId="3B071EC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 (0.1)</w:t>
            </w:r>
          </w:p>
        </w:tc>
        <w:tc>
          <w:tcPr>
            <w:tcW w:w="1745" w:type="dxa"/>
            <w:noWrap/>
          </w:tcPr>
          <w:p w14:paraId="64BEA42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4" w:type="dxa"/>
            <w:noWrap/>
          </w:tcPr>
          <w:p w14:paraId="30D360F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6B3671A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 (8.0)</w:t>
            </w:r>
          </w:p>
        </w:tc>
        <w:tc>
          <w:tcPr>
            <w:tcW w:w="1745" w:type="dxa"/>
            <w:noWrap/>
          </w:tcPr>
          <w:p w14:paraId="2392FEF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17 (6.7)</w:t>
            </w:r>
          </w:p>
        </w:tc>
        <w:tc>
          <w:tcPr>
            <w:tcW w:w="1745" w:type="dxa"/>
            <w:noWrap/>
          </w:tcPr>
          <w:p w14:paraId="5F979CE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 (3.3)</w:t>
            </w:r>
          </w:p>
        </w:tc>
      </w:tr>
      <w:tr w14:paraId="1405B1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0211D736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AGC</w:t>
            </w:r>
          </w:p>
        </w:tc>
        <w:tc>
          <w:tcPr>
            <w:tcW w:w="1559" w:type="dxa"/>
            <w:noWrap/>
          </w:tcPr>
          <w:p w14:paraId="3C66A6B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 (0.3)</w:t>
            </w:r>
          </w:p>
        </w:tc>
        <w:tc>
          <w:tcPr>
            <w:tcW w:w="1690" w:type="dxa"/>
            <w:noWrap/>
          </w:tcPr>
          <w:p w14:paraId="72A7836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 (0.4)</w:t>
            </w:r>
          </w:p>
        </w:tc>
        <w:tc>
          <w:tcPr>
            <w:tcW w:w="1745" w:type="dxa"/>
            <w:noWrap/>
          </w:tcPr>
          <w:p w14:paraId="22FBAF7C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4" w:type="dxa"/>
            <w:noWrap/>
          </w:tcPr>
          <w:p w14:paraId="6B04F30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4A09443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15B64FE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5563267D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</w:tr>
      <w:tr w14:paraId="702C87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5553F737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LSIL</w:t>
            </w:r>
          </w:p>
        </w:tc>
        <w:tc>
          <w:tcPr>
            <w:tcW w:w="1559" w:type="dxa"/>
            <w:noWrap/>
          </w:tcPr>
          <w:p w14:paraId="63389ED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446 (24.1)</w:t>
            </w:r>
          </w:p>
        </w:tc>
        <w:tc>
          <w:tcPr>
            <w:tcW w:w="1690" w:type="dxa"/>
            <w:noWrap/>
          </w:tcPr>
          <w:p w14:paraId="396CB77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358 (26.6)</w:t>
            </w:r>
          </w:p>
        </w:tc>
        <w:tc>
          <w:tcPr>
            <w:tcW w:w="1745" w:type="dxa"/>
            <w:noWrap/>
          </w:tcPr>
          <w:p w14:paraId="3C61C61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(4.8)</w:t>
            </w:r>
          </w:p>
        </w:tc>
        <w:tc>
          <w:tcPr>
            <w:tcW w:w="1744" w:type="dxa"/>
            <w:noWrap/>
          </w:tcPr>
          <w:p w14:paraId="2223D4F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 (8.7)</w:t>
            </w:r>
          </w:p>
        </w:tc>
        <w:tc>
          <w:tcPr>
            <w:tcW w:w="1745" w:type="dxa"/>
            <w:noWrap/>
          </w:tcPr>
          <w:p w14:paraId="4C8E7E89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(4.0)</w:t>
            </w:r>
          </w:p>
        </w:tc>
        <w:tc>
          <w:tcPr>
            <w:tcW w:w="1745" w:type="dxa"/>
            <w:noWrap/>
          </w:tcPr>
          <w:p w14:paraId="1741577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54 (21.2)</w:t>
            </w:r>
          </w:p>
        </w:tc>
        <w:tc>
          <w:tcPr>
            <w:tcW w:w="1745" w:type="dxa"/>
            <w:noWrap/>
          </w:tcPr>
          <w:p w14:paraId="5161D1C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30 (16.4)</w:t>
            </w:r>
          </w:p>
        </w:tc>
      </w:tr>
      <w:tr w14:paraId="4BA764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653AB73F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HSIL</w:t>
            </w:r>
          </w:p>
        </w:tc>
        <w:tc>
          <w:tcPr>
            <w:tcW w:w="1559" w:type="dxa"/>
            <w:noWrap/>
          </w:tcPr>
          <w:p w14:paraId="69632298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60 (3.2)</w:t>
            </w:r>
          </w:p>
        </w:tc>
        <w:tc>
          <w:tcPr>
            <w:tcW w:w="1690" w:type="dxa"/>
            <w:noWrap/>
          </w:tcPr>
          <w:p w14:paraId="29D5E4D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41 (3.1)</w:t>
            </w:r>
          </w:p>
        </w:tc>
        <w:tc>
          <w:tcPr>
            <w:tcW w:w="1745" w:type="dxa"/>
            <w:noWrap/>
          </w:tcPr>
          <w:p w14:paraId="052631A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4" w:type="dxa"/>
            <w:noWrap/>
          </w:tcPr>
          <w:p w14:paraId="08488DBB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20360485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659DD5B3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10 (3.9)</w:t>
            </w:r>
          </w:p>
        </w:tc>
        <w:tc>
          <w:tcPr>
            <w:tcW w:w="1745" w:type="dxa"/>
            <w:noWrap/>
          </w:tcPr>
          <w:p w14:paraId="6E471322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9 (4.9)</w:t>
            </w:r>
          </w:p>
        </w:tc>
      </w:tr>
      <w:tr w14:paraId="1055B2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5" w:type="dxa"/>
            <w:noWrap/>
          </w:tcPr>
          <w:p w14:paraId="384DF091">
            <w:pPr>
              <w:widowControl/>
              <w:adjustRightInd w:val="0"/>
              <w:ind w:firstLine="181" w:firstLineChars="150"/>
              <w:jc w:val="both"/>
              <w:rPr>
                <w:rFonts w:cs="Arial"/>
                <w:b w:val="0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SCC</w:t>
            </w:r>
          </w:p>
        </w:tc>
        <w:tc>
          <w:tcPr>
            <w:tcW w:w="1559" w:type="dxa"/>
            <w:noWrap/>
          </w:tcPr>
          <w:p w14:paraId="458A70DA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2 (0.1)</w:t>
            </w:r>
          </w:p>
        </w:tc>
        <w:tc>
          <w:tcPr>
            <w:tcW w:w="1690" w:type="dxa"/>
            <w:noWrap/>
          </w:tcPr>
          <w:p w14:paraId="4A5C28F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(0.1)</w:t>
            </w:r>
          </w:p>
        </w:tc>
        <w:tc>
          <w:tcPr>
            <w:tcW w:w="1745" w:type="dxa"/>
            <w:noWrap/>
          </w:tcPr>
          <w:p w14:paraId="09290234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4" w:type="dxa"/>
            <w:noWrap/>
          </w:tcPr>
          <w:p w14:paraId="696D5417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6B4A1A51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745" w:type="dxa"/>
            <w:noWrap/>
          </w:tcPr>
          <w:p w14:paraId="299D3A50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1 (0.4)</w:t>
            </w:r>
          </w:p>
        </w:tc>
        <w:tc>
          <w:tcPr>
            <w:tcW w:w="1745" w:type="dxa"/>
            <w:noWrap/>
          </w:tcPr>
          <w:p w14:paraId="2E33014F">
            <w:pPr>
              <w:widowControl/>
              <w:adjustRightInd w:val="0"/>
              <w:jc w:val="both"/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kern w:val="0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</w:tr>
    </w:tbl>
    <w:p w14:paraId="2A884C50">
      <w:pPr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AGC: atypical glandular cells; </w:t>
      </w:r>
      <w:r>
        <w:rPr>
          <w:rFonts w:hint="eastAsia" w:cs="Arial"/>
          <w:sz w:val="20"/>
          <w:szCs w:val="20"/>
        </w:rPr>
        <w:t>A</w:t>
      </w:r>
      <w:r>
        <w:rPr>
          <w:rFonts w:cs="Arial"/>
          <w:sz w:val="20"/>
          <w:szCs w:val="20"/>
        </w:rPr>
        <w:t>SC-H</w:t>
      </w:r>
      <w:r>
        <w:rPr>
          <w:rFonts w:hint="eastAsia" w:cs="Arial"/>
          <w:sz w:val="20"/>
          <w:szCs w:val="20"/>
        </w:rPr>
        <w:t>:</w:t>
      </w:r>
      <w:r>
        <w:rPr>
          <w:rFonts w:cs="Arial"/>
          <w:sz w:val="20"/>
          <w:szCs w:val="20"/>
        </w:rPr>
        <w:t xml:space="preserve"> </w:t>
      </w:r>
      <w:r>
        <w:rPr>
          <w:rFonts w:hint="eastAsia" w:cs="Arial"/>
          <w:sz w:val="20"/>
          <w:szCs w:val="20"/>
        </w:rPr>
        <w:t>a</w:t>
      </w:r>
      <w:r>
        <w:rPr>
          <w:rFonts w:cs="Arial"/>
          <w:sz w:val="20"/>
          <w:szCs w:val="20"/>
        </w:rPr>
        <w:t xml:space="preserve">typical squamous cells, cannot exclude HSIL; </w:t>
      </w:r>
      <w:r>
        <w:rPr>
          <w:rFonts w:hint="eastAsia" w:cs="Arial"/>
          <w:sz w:val="20"/>
          <w:szCs w:val="20"/>
        </w:rPr>
        <w:t>A</w:t>
      </w:r>
      <w:r>
        <w:rPr>
          <w:rFonts w:cs="Arial"/>
          <w:sz w:val="20"/>
          <w:szCs w:val="20"/>
        </w:rPr>
        <w:t>SCUS: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atypical squamous cells of undetermined significance; CIN</w:t>
      </w:r>
      <w:r>
        <w:rPr>
          <w:rFonts w:hint="eastAsia"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: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Arial"/>
          <w:sz w:val="20"/>
          <w:szCs w:val="20"/>
        </w:rPr>
        <w:t xml:space="preserve">cervical intraepithelial neoplasia; </w:t>
      </w:r>
      <w:r>
        <w:rPr>
          <w:rFonts w:hint="eastAsia" w:cs="Arial"/>
          <w:sz w:val="20"/>
          <w:szCs w:val="20"/>
        </w:rPr>
        <w:t>H</w:t>
      </w:r>
      <w:r>
        <w:rPr>
          <w:rFonts w:cs="Arial"/>
          <w:sz w:val="20"/>
          <w:szCs w:val="20"/>
        </w:rPr>
        <w:t xml:space="preserve">ISL: High-grade squamous intraepithelial lesion; 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IQR: Interquartile range;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JAM3</w:t>
      </w:r>
      <w:r>
        <w:rPr>
          <w:rFonts w:cs="Arial"/>
          <w:i/>
          <w:iCs/>
          <w:color w:val="000000" w:themeColor="text1"/>
          <w:sz w:val="20"/>
          <w:szCs w:val="20"/>
          <w:vertAlign w:val="superscript"/>
          <w14:textFill>
            <w14:solidFill>
              <w14:schemeClr w14:val="tx1"/>
            </w14:solidFill>
          </w14:textFill>
        </w:rPr>
        <w:t>m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(+): ΔCt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JAM3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≤10.0;</w:t>
      </w:r>
      <w:r>
        <w:rPr>
          <w:rFonts w:hint="eastAsia" w:cs="Arial"/>
          <w:sz w:val="20"/>
          <w:szCs w:val="20"/>
        </w:rPr>
        <w:t xml:space="preserve"> LB</w:t>
      </w:r>
      <w:r>
        <w:rPr>
          <w:rFonts w:cs="Arial"/>
          <w:sz w:val="20"/>
          <w:szCs w:val="20"/>
        </w:rPr>
        <w:t>C:</w:t>
      </w:r>
      <w:r>
        <w:rPr>
          <w:rFonts w:cs="Arial"/>
          <w:bCs/>
          <w:sz w:val="20"/>
          <w:szCs w:val="20"/>
        </w:rPr>
        <w:t xml:space="preserve"> liquid-based cytology test</w:t>
      </w:r>
      <w:r>
        <w:rPr>
          <w:rFonts w:hint="eastAsia" w:cs="Arial"/>
          <w:sz w:val="20"/>
          <w:szCs w:val="20"/>
        </w:rPr>
        <w:t>;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Arial"/>
          <w:sz w:val="20"/>
          <w:szCs w:val="20"/>
        </w:rPr>
        <w:t>L</w:t>
      </w:r>
      <w:r>
        <w:rPr>
          <w:rFonts w:cs="Arial"/>
          <w:sz w:val="20"/>
          <w:szCs w:val="20"/>
        </w:rPr>
        <w:t xml:space="preserve">SIL: Low-grade squamous intraepithelial lesion; </w:t>
      </w:r>
      <w:r>
        <w:rPr>
          <w:rFonts w:hint="eastAsia" w:cs="Arial"/>
          <w:sz w:val="20"/>
          <w:szCs w:val="20"/>
        </w:rPr>
        <w:t>N</w:t>
      </w:r>
      <w:r>
        <w:rPr>
          <w:rFonts w:cs="Arial"/>
          <w:sz w:val="20"/>
          <w:szCs w:val="20"/>
        </w:rPr>
        <w:t xml:space="preserve">ILM: 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no intraepithelial lesions or malignancy;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PAX1</w:t>
      </w:r>
      <w:r>
        <w:rPr>
          <w:rFonts w:cs="Arial"/>
          <w:color w:val="000000" w:themeColor="text1"/>
          <w:sz w:val="20"/>
          <w:szCs w:val="20"/>
          <w:vertAlign w:val="superscript"/>
          <w14:textFill>
            <w14:solidFill>
              <w14:schemeClr w14:val="tx1"/>
            </w14:solidFill>
          </w14:textFill>
        </w:rPr>
        <w:t>m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(+): ΔCt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PAX1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≤ 6.6;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PAX1</w:t>
      </w:r>
      <w:r>
        <w:rPr>
          <w:rFonts w:cs="Arial"/>
          <w:i/>
          <w:iCs/>
          <w:color w:val="000000" w:themeColor="text1"/>
          <w:sz w:val="20"/>
          <w:szCs w:val="20"/>
          <w:vertAlign w:val="superscript"/>
          <w14:textFill>
            <w14:solidFill>
              <w14:schemeClr w14:val="tx1"/>
            </w14:solidFill>
          </w14:textFill>
        </w:rPr>
        <w:t>m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/JAM3</w:t>
      </w:r>
      <w:r>
        <w:rPr>
          <w:rFonts w:cs="Arial"/>
          <w:i/>
          <w:iCs/>
          <w:color w:val="000000" w:themeColor="text1"/>
          <w:sz w:val="20"/>
          <w:szCs w:val="20"/>
          <w:vertAlign w:val="superscript"/>
          <w14:textFill>
            <w14:solidFill>
              <w14:schemeClr w14:val="tx1"/>
            </w14:solidFill>
          </w14:textFill>
        </w:rPr>
        <w:t>m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: ΔCt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PAX1 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≤ 6.6 or ΔCt </w:t>
      </w:r>
      <w:r>
        <w:rPr>
          <w:rFonts w:cs="Arial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JAM3</w:t>
      </w:r>
      <w:r>
        <w:rPr>
          <w:rFonts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≤10.0;</w:t>
      </w:r>
      <w:r>
        <w:rPr>
          <w:rFonts w:hint="eastAsia" w:cs="Arial"/>
          <w:sz w:val="20"/>
          <w:szCs w:val="20"/>
        </w:rPr>
        <w:t xml:space="preserve"> S</w:t>
      </w:r>
      <w:r>
        <w:rPr>
          <w:rFonts w:cs="Arial"/>
          <w:sz w:val="20"/>
          <w:szCs w:val="20"/>
        </w:rPr>
        <w:t>CC: Squamous cell carcinomas.</w:t>
      </w:r>
    </w:p>
    <w:p w14:paraId="192B2A1C">
      <w:pPr>
        <w:rPr>
          <w:rFonts w:cs="Arial"/>
          <w:sz w:val="20"/>
          <w:szCs w:val="20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0NDQ4ZDA1MzZiZDEwNTM4ODhkMDc2NWY2M2Q1YWYifQ=="/>
  </w:docVars>
  <w:rsids>
    <w:rsidRoot w:val="0082305A"/>
    <w:rsid w:val="000175BE"/>
    <w:rsid w:val="00362780"/>
    <w:rsid w:val="005103BD"/>
    <w:rsid w:val="00761CFF"/>
    <w:rsid w:val="0082305A"/>
    <w:rsid w:val="0091700D"/>
    <w:rsid w:val="00A90960"/>
    <w:rsid w:val="00E13CB4"/>
    <w:rsid w:val="00F533D1"/>
    <w:rsid w:val="00FF08CE"/>
    <w:rsid w:val="23E76266"/>
    <w:rsid w:val="7D44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styleId="6">
    <w:name w:val="annotation reference"/>
    <w:basedOn w:val="5"/>
    <w:unhideWhenUsed/>
    <w:qFormat/>
    <w:uiPriority w:val="99"/>
    <w:rPr>
      <w:rFonts w:ascii="Times New Roman" w:hAnsi="Times New Roman" w:eastAsia="宋体"/>
      <w:sz w:val="21"/>
      <w:szCs w:val="16"/>
    </w:rPr>
  </w:style>
  <w:style w:type="character" w:customStyle="1" w:styleId="7">
    <w:name w:val="页眉 字符"/>
    <w:basedOn w:val="5"/>
    <w:link w:val="3"/>
    <w:qFormat/>
    <w:uiPriority w:val="99"/>
    <w:rPr>
      <w:rFonts w:ascii="Arial" w:hAnsi="Arial" w:eastAsia="宋体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Arial" w:hAnsi="Arial" w:eastAsia="宋体"/>
      <w:sz w:val="18"/>
      <w:szCs w:val="18"/>
    </w:rPr>
  </w:style>
  <w:style w:type="table" w:customStyle="1" w:styleId="9">
    <w:name w:val="三线表"/>
    <w:basedOn w:val="4"/>
    <w:qFormat/>
    <w:uiPriority w:val="99"/>
    <w:rPr>
      <w:rFonts w:ascii="Times New Roman" w:hAnsi="Times New Roman" w:eastAsia="SimSun-ExtB" w:cs="Times New Roman"/>
      <w:kern w:val="0"/>
      <w:sz w:val="20"/>
      <w:szCs w:val="20"/>
    </w:rPr>
    <w:tblPr>
      <w:tblBorders>
        <w:top w:val="single" w:color="auto" w:sz="4" w:space="0"/>
        <w:bottom w:val="single" w:color="auto" w:sz="4" w:space="0"/>
      </w:tblBorders>
    </w:tblPr>
    <w:tblStylePr w:type="firstRow">
      <w:rPr>
        <w:b/>
      </w:rPr>
      <w:tcPr>
        <w:tcBorders>
          <w:bottom w:val="single" w:color="auto" w:sz="4" w:space="0"/>
        </w:tcBorders>
      </w:tcPr>
    </w:tblStylePr>
    <w:tblStylePr w:type="firstCol">
      <w:rPr>
        <w:b/>
      </w:r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E4527-C7CB-41D7-9A9C-E28137C757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468</Words>
  <Characters>2322</Characters>
  <Lines>20</Lines>
  <Paragraphs>5</Paragraphs>
  <TotalTime>11</TotalTime>
  <ScaleCrop>false</ScaleCrop>
  <LinksUpToDate>false</LinksUpToDate>
  <CharactersWithSpaces>2601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2024-02-19T05:04:00Z</dcterms:created>
  <dc:creator>Li Lei</dc:creator>
  <cp:lastModifiedBy>User</cp:lastModifiedBy>
  <dcterms:modified xsi:type="dcterms:W3CDTF">2024-08-02T10:05:14Z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A274B3504A7E4FC4B3C7984D747D1ECA_12</vt:lpwstr>
  </property>
</Properties>
</file>