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992D9" w14:textId="77777777" w:rsidR="00307A1D" w:rsidRPr="008851BC" w:rsidRDefault="00307A1D" w:rsidP="008851BC">
      <w:pPr>
        <w:pStyle w:val="Heading1"/>
        <w:spacing w:line="480" w:lineRule="auto"/>
        <w:rPr>
          <w:rFonts w:ascii="Times New Roman" w:hAnsi="Times New Roman" w:cs="Times New Roman"/>
          <w:b/>
          <w:bCs/>
          <w:color w:val="auto"/>
          <w:sz w:val="28"/>
          <w:szCs w:val="28"/>
        </w:rPr>
      </w:pPr>
      <w:bookmarkStart w:id="0" w:name="_Toc154148160"/>
      <w:r w:rsidRPr="00E033A6">
        <w:rPr>
          <w:rFonts w:ascii="Times New Roman" w:hAnsi="Times New Roman" w:cs="Times New Roman"/>
          <w:b/>
          <w:bCs/>
          <w:color w:val="auto"/>
          <w:sz w:val="28"/>
          <w:szCs w:val="28"/>
        </w:rPr>
        <w:t>Supplementary Texts</w:t>
      </w:r>
      <w:bookmarkEnd w:id="0"/>
    </w:p>
    <w:p w14:paraId="765368AB" w14:textId="77777777" w:rsidR="00307A1D" w:rsidRPr="00E033A6" w:rsidRDefault="00307A1D" w:rsidP="00E814B9">
      <w:pPr>
        <w:pStyle w:val="Heading2"/>
        <w:spacing w:line="480" w:lineRule="auto"/>
        <w:rPr>
          <w:rFonts w:ascii="Times New Roman" w:hAnsi="Times New Roman" w:cs="Times New Roman"/>
          <w:b/>
          <w:bCs/>
          <w:color w:val="auto"/>
          <w:sz w:val="24"/>
          <w:szCs w:val="24"/>
        </w:rPr>
      </w:pPr>
      <w:bookmarkStart w:id="1" w:name="_Toc154148161"/>
      <w:r w:rsidRPr="00E033A6">
        <w:rPr>
          <w:rFonts w:ascii="Times New Roman" w:hAnsi="Times New Roman" w:cs="Times New Roman"/>
          <w:b/>
          <w:bCs/>
          <w:color w:val="auto"/>
          <w:sz w:val="24"/>
          <w:szCs w:val="24"/>
        </w:rPr>
        <w:t>The in-depth biological functions of the 11 genes within the optimal set of 17 methylation biomarkers</w:t>
      </w:r>
      <w:bookmarkEnd w:id="1"/>
    </w:p>
    <w:p w14:paraId="78E36027" w14:textId="70FEF522" w:rsidR="00307A1D" w:rsidRPr="00E033A6" w:rsidRDefault="00307A1D" w:rsidP="00E814B9">
      <w:pPr>
        <w:spacing w:line="480" w:lineRule="auto"/>
        <w:jc w:val="both"/>
        <w:rPr>
          <w:sz w:val="24"/>
          <w:szCs w:val="24"/>
        </w:rPr>
      </w:pPr>
      <w:r w:rsidRPr="00E033A6">
        <w:rPr>
          <w:sz w:val="24"/>
          <w:szCs w:val="24"/>
        </w:rPr>
        <w:t>In our identified biomarker set, five genes were associated with mitochondrial function. The ATP synthase (</w:t>
      </w:r>
      <w:r w:rsidRPr="00E033A6">
        <w:rPr>
          <w:i/>
          <w:iCs w:val="0"/>
          <w:sz w:val="24"/>
          <w:szCs w:val="24"/>
        </w:rPr>
        <w:t>ATP5F1A</w:t>
      </w:r>
      <w:r w:rsidRPr="00E033A6">
        <w:rPr>
          <w:sz w:val="24"/>
          <w:szCs w:val="24"/>
        </w:rPr>
        <w:t>), involved in energy production in mitochondria, was linked to the DMS biomarker.</w:t>
      </w:r>
      <w:r w:rsidR="00566A91">
        <w:rPr>
          <w:noProof/>
          <w:sz w:val="24"/>
          <w:szCs w:val="24"/>
        </w:rPr>
        <w:t>[</w:t>
      </w:r>
      <w:r>
        <w:rPr>
          <w:noProof/>
          <w:sz w:val="24"/>
          <w:szCs w:val="24"/>
        </w:rPr>
        <w:t>1]</w:t>
      </w:r>
      <w:r w:rsidRPr="00E033A6">
        <w:rPr>
          <w:sz w:val="24"/>
          <w:szCs w:val="24"/>
        </w:rPr>
        <w:t xml:space="preserve">  Additionally, the </w:t>
      </w:r>
      <w:r w:rsidRPr="00E033A6">
        <w:rPr>
          <w:i/>
          <w:iCs w:val="0"/>
          <w:sz w:val="24"/>
          <w:szCs w:val="24"/>
        </w:rPr>
        <w:t>INPP5A</w:t>
      </w:r>
      <w:r w:rsidRPr="00E033A6">
        <w:rPr>
          <w:sz w:val="24"/>
          <w:szCs w:val="24"/>
        </w:rPr>
        <w:t xml:space="preserve"> gene, which regulates calcium ion homeostasis through IP3 accumulation, was identified.</w:t>
      </w:r>
      <w:r w:rsidR="00566A91">
        <w:rPr>
          <w:noProof/>
          <w:sz w:val="24"/>
          <w:szCs w:val="24"/>
        </w:rPr>
        <w:t>[</w:t>
      </w:r>
      <w:r>
        <w:rPr>
          <w:noProof/>
          <w:sz w:val="24"/>
          <w:szCs w:val="24"/>
        </w:rPr>
        <w:t>2-4]</w:t>
      </w:r>
      <w:r w:rsidRPr="00E033A6">
        <w:rPr>
          <w:sz w:val="24"/>
          <w:szCs w:val="24"/>
        </w:rPr>
        <w:t xml:space="preserve"> Moreover, ATP generation is closely linked to Reactive Oxygen Species (ROS) in mitochondria.</w:t>
      </w:r>
      <w:r w:rsidR="00566A91">
        <w:rPr>
          <w:noProof/>
          <w:sz w:val="24"/>
          <w:szCs w:val="24"/>
        </w:rPr>
        <w:t>[</w:t>
      </w:r>
      <w:r>
        <w:rPr>
          <w:noProof/>
          <w:sz w:val="24"/>
          <w:szCs w:val="24"/>
        </w:rPr>
        <w:t>5]</w:t>
      </w:r>
      <w:r w:rsidRPr="00E033A6">
        <w:rPr>
          <w:sz w:val="24"/>
          <w:szCs w:val="24"/>
        </w:rPr>
        <w:t xml:space="preserve"> In our data, those genes related to ROS stress were associated with DMS biomarkers. </w:t>
      </w:r>
      <w:r w:rsidRPr="00E033A6">
        <w:rPr>
          <w:i/>
          <w:iCs w:val="0"/>
          <w:sz w:val="24"/>
          <w:szCs w:val="24"/>
        </w:rPr>
        <w:t>ESRRA</w:t>
      </w:r>
      <w:r w:rsidRPr="00E033A6">
        <w:rPr>
          <w:sz w:val="24"/>
          <w:szCs w:val="24"/>
        </w:rPr>
        <w:t xml:space="preserve"> promotes mitochondrial biogenesis to reduce ROS stress</w:t>
      </w:r>
      <w:r w:rsidR="00566A91">
        <w:rPr>
          <w:iCs w:val="0"/>
          <w:noProof/>
          <w:sz w:val="24"/>
          <w:szCs w:val="24"/>
        </w:rPr>
        <w:t>[</w:t>
      </w:r>
      <w:r>
        <w:rPr>
          <w:iCs w:val="0"/>
          <w:noProof/>
          <w:sz w:val="24"/>
          <w:szCs w:val="24"/>
        </w:rPr>
        <w:t>6]</w:t>
      </w:r>
      <w:r w:rsidRPr="00E033A6">
        <w:rPr>
          <w:sz w:val="24"/>
          <w:szCs w:val="24"/>
        </w:rPr>
        <w:t xml:space="preserve">, involving the MRP group (e.g., </w:t>
      </w:r>
      <w:r w:rsidRPr="00E033A6">
        <w:rPr>
          <w:i/>
          <w:iCs w:val="0"/>
          <w:sz w:val="24"/>
          <w:szCs w:val="24"/>
        </w:rPr>
        <w:t>MRPL45</w:t>
      </w:r>
      <w:r w:rsidRPr="00E033A6">
        <w:rPr>
          <w:sz w:val="24"/>
          <w:szCs w:val="24"/>
        </w:rPr>
        <w:t>) in Oxidative Phosphorylation (OXPHOS).</w:t>
      </w:r>
      <w:r w:rsidR="00566A91">
        <w:rPr>
          <w:noProof/>
          <w:sz w:val="24"/>
          <w:szCs w:val="24"/>
        </w:rPr>
        <w:t>[</w:t>
      </w:r>
      <w:r>
        <w:rPr>
          <w:noProof/>
          <w:sz w:val="24"/>
          <w:szCs w:val="24"/>
        </w:rPr>
        <w:t>7]</w:t>
      </w:r>
      <w:r w:rsidRPr="00E033A6">
        <w:rPr>
          <w:sz w:val="24"/>
          <w:szCs w:val="24"/>
        </w:rPr>
        <w:t xml:space="preserve"> The </w:t>
      </w:r>
      <w:r w:rsidRPr="00E033A6">
        <w:rPr>
          <w:i/>
          <w:iCs w:val="0"/>
          <w:sz w:val="24"/>
          <w:szCs w:val="24"/>
        </w:rPr>
        <w:t>MUTYH</w:t>
      </w:r>
      <w:r w:rsidRPr="00E033A6">
        <w:rPr>
          <w:sz w:val="24"/>
          <w:szCs w:val="24"/>
        </w:rPr>
        <w:t xml:space="preserve"> gene, known for repairing DNA damage induced by ROS stress, was related to the biomarker.</w:t>
      </w:r>
      <w:r w:rsidR="00566A91">
        <w:rPr>
          <w:iCs w:val="0"/>
          <w:noProof/>
          <w:sz w:val="24"/>
          <w:szCs w:val="24"/>
        </w:rPr>
        <w:t>[</w:t>
      </w:r>
      <w:r>
        <w:rPr>
          <w:iCs w:val="0"/>
          <w:noProof/>
          <w:sz w:val="24"/>
          <w:szCs w:val="24"/>
        </w:rPr>
        <w:t>8, 9]</w:t>
      </w:r>
      <w:r w:rsidRPr="00E033A6">
        <w:rPr>
          <w:sz w:val="24"/>
          <w:szCs w:val="24"/>
        </w:rPr>
        <w:t xml:space="preserve"> Genes regulating cell apoptosis induced by ROS stress were also included.</w:t>
      </w:r>
      <w:r w:rsidR="00566A91">
        <w:rPr>
          <w:noProof/>
          <w:sz w:val="24"/>
          <w:szCs w:val="24"/>
        </w:rPr>
        <w:t>[</w:t>
      </w:r>
      <w:r>
        <w:rPr>
          <w:noProof/>
          <w:sz w:val="24"/>
          <w:szCs w:val="24"/>
        </w:rPr>
        <w:t>10]</w:t>
      </w:r>
      <w:r w:rsidRPr="00E033A6">
        <w:rPr>
          <w:sz w:val="24"/>
          <w:szCs w:val="24"/>
        </w:rPr>
        <w:t xml:space="preserve"> </w:t>
      </w:r>
      <w:r w:rsidRPr="00E033A6">
        <w:rPr>
          <w:i/>
          <w:iCs w:val="0"/>
          <w:sz w:val="24"/>
          <w:szCs w:val="24"/>
        </w:rPr>
        <w:t>ZNF689</w:t>
      </w:r>
      <w:r w:rsidRPr="00E033A6">
        <w:rPr>
          <w:sz w:val="24"/>
          <w:szCs w:val="24"/>
        </w:rPr>
        <w:t xml:space="preserve">, well-studied in cancer research, regulates </w:t>
      </w:r>
      <w:r w:rsidRPr="00E033A6">
        <w:rPr>
          <w:i/>
          <w:iCs w:val="0"/>
          <w:sz w:val="24"/>
          <w:szCs w:val="24"/>
        </w:rPr>
        <w:t>Bcl-2</w:t>
      </w:r>
      <w:r w:rsidRPr="00E033A6">
        <w:rPr>
          <w:sz w:val="24"/>
          <w:szCs w:val="24"/>
        </w:rPr>
        <w:t xml:space="preserve"> family genes, controlling apoptosis during mitochondrial stress.</w:t>
      </w:r>
      <w:r w:rsidR="00566A91">
        <w:rPr>
          <w:noProof/>
          <w:sz w:val="24"/>
          <w:szCs w:val="24"/>
        </w:rPr>
        <w:t>[</w:t>
      </w:r>
      <w:r>
        <w:rPr>
          <w:noProof/>
          <w:sz w:val="24"/>
          <w:szCs w:val="24"/>
        </w:rPr>
        <w:t>11, 12]</w:t>
      </w:r>
      <w:r w:rsidRPr="00E033A6">
        <w:rPr>
          <w:sz w:val="24"/>
          <w:szCs w:val="24"/>
        </w:rPr>
        <w:t xml:space="preserve"> </w:t>
      </w:r>
      <w:r w:rsidRPr="00E033A6">
        <w:rPr>
          <w:i/>
          <w:iCs w:val="0"/>
          <w:sz w:val="24"/>
          <w:szCs w:val="24"/>
        </w:rPr>
        <w:t>MIR3146</w:t>
      </w:r>
      <w:r w:rsidRPr="00E033A6">
        <w:rPr>
          <w:sz w:val="24"/>
          <w:szCs w:val="24"/>
        </w:rPr>
        <w:t>, a microRNA, interacts with well-known apoptosis-regulating genes</w:t>
      </w:r>
      <w:r w:rsidR="00566A91">
        <w:rPr>
          <w:noProof/>
          <w:sz w:val="24"/>
          <w:szCs w:val="24"/>
        </w:rPr>
        <w:t>[</w:t>
      </w:r>
      <w:r>
        <w:rPr>
          <w:noProof/>
          <w:sz w:val="24"/>
          <w:szCs w:val="24"/>
        </w:rPr>
        <w:t>13]</w:t>
      </w:r>
      <w:r w:rsidRPr="00E033A6">
        <w:rPr>
          <w:sz w:val="24"/>
          <w:szCs w:val="24"/>
        </w:rPr>
        <w:t xml:space="preserve">, </w:t>
      </w:r>
      <w:r w:rsidRPr="00E033A6">
        <w:rPr>
          <w:i/>
          <w:iCs w:val="0"/>
          <w:sz w:val="24"/>
          <w:szCs w:val="24"/>
        </w:rPr>
        <w:t>SIRT1</w:t>
      </w:r>
      <w:r w:rsidR="00566A91">
        <w:rPr>
          <w:iCs w:val="0"/>
          <w:noProof/>
          <w:sz w:val="24"/>
          <w:szCs w:val="24"/>
        </w:rPr>
        <w:t>[</w:t>
      </w:r>
      <w:r>
        <w:rPr>
          <w:iCs w:val="0"/>
          <w:noProof/>
          <w:sz w:val="24"/>
          <w:szCs w:val="24"/>
        </w:rPr>
        <w:t>14]</w:t>
      </w:r>
      <w:r w:rsidRPr="00E033A6">
        <w:rPr>
          <w:sz w:val="24"/>
          <w:szCs w:val="24"/>
        </w:rPr>
        <w:t xml:space="preserve"> and </w:t>
      </w:r>
      <w:r w:rsidRPr="00E033A6">
        <w:rPr>
          <w:i/>
          <w:iCs w:val="0"/>
          <w:sz w:val="24"/>
          <w:szCs w:val="24"/>
        </w:rPr>
        <w:t>PTEN</w:t>
      </w:r>
      <w:r w:rsidR="00566A91">
        <w:rPr>
          <w:iCs w:val="0"/>
          <w:noProof/>
          <w:sz w:val="24"/>
          <w:szCs w:val="24"/>
        </w:rPr>
        <w:t>[</w:t>
      </w:r>
      <w:r>
        <w:rPr>
          <w:iCs w:val="0"/>
          <w:noProof/>
          <w:sz w:val="24"/>
          <w:szCs w:val="24"/>
        </w:rPr>
        <w:t>15]</w:t>
      </w:r>
      <w:r w:rsidRPr="00E033A6">
        <w:rPr>
          <w:sz w:val="24"/>
          <w:szCs w:val="24"/>
        </w:rPr>
        <w:t xml:space="preserve">. Additionally, the </w:t>
      </w:r>
      <w:r w:rsidRPr="00E033A6">
        <w:rPr>
          <w:i/>
          <w:iCs w:val="0"/>
          <w:sz w:val="24"/>
          <w:szCs w:val="24"/>
        </w:rPr>
        <w:t>TOE1</w:t>
      </w:r>
      <w:r w:rsidRPr="00E033A6">
        <w:rPr>
          <w:sz w:val="24"/>
          <w:szCs w:val="24"/>
        </w:rPr>
        <w:t xml:space="preserve"> gene</w:t>
      </w:r>
      <w:r w:rsidR="00566A91">
        <w:rPr>
          <w:noProof/>
          <w:sz w:val="24"/>
          <w:szCs w:val="24"/>
        </w:rPr>
        <w:t>[</w:t>
      </w:r>
      <w:r>
        <w:rPr>
          <w:noProof/>
          <w:sz w:val="24"/>
          <w:szCs w:val="24"/>
        </w:rPr>
        <w:t>16]</w:t>
      </w:r>
      <w:r w:rsidRPr="00E033A6">
        <w:rPr>
          <w:sz w:val="24"/>
          <w:szCs w:val="24"/>
        </w:rPr>
        <w:t xml:space="preserve"> stabilizes </w:t>
      </w:r>
      <w:r w:rsidRPr="00E033A6">
        <w:rPr>
          <w:i/>
          <w:iCs w:val="0"/>
          <w:sz w:val="24"/>
          <w:szCs w:val="24"/>
        </w:rPr>
        <w:t>p53</w:t>
      </w:r>
      <w:r w:rsidRPr="00E033A6">
        <w:rPr>
          <w:sz w:val="24"/>
          <w:szCs w:val="24"/>
        </w:rPr>
        <w:t xml:space="preserve"> in the apoptotic signaling regulated by </w:t>
      </w:r>
      <w:r w:rsidRPr="00E033A6">
        <w:rPr>
          <w:i/>
          <w:iCs w:val="0"/>
          <w:sz w:val="24"/>
          <w:szCs w:val="24"/>
        </w:rPr>
        <w:t>SIRT1</w:t>
      </w:r>
      <w:r w:rsidRPr="00E033A6">
        <w:rPr>
          <w:sz w:val="24"/>
          <w:szCs w:val="24"/>
        </w:rPr>
        <w:t xml:space="preserve">. </w:t>
      </w:r>
    </w:p>
    <w:p w14:paraId="45ECB812" w14:textId="0B0F4F54" w:rsidR="00307A1D" w:rsidRPr="00E033A6" w:rsidRDefault="00307A1D" w:rsidP="00E814B9">
      <w:pPr>
        <w:spacing w:line="480" w:lineRule="auto"/>
        <w:jc w:val="both"/>
        <w:rPr>
          <w:sz w:val="24"/>
          <w:szCs w:val="24"/>
        </w:rPr>
      </w:pPr>
      <w:r w:rsidRPr="00E033A6">
        <w:rPr>
          <w:sz w:val="24"/>
          <w:szCs w:val="24"/>
        </w:rPr>
        <w:t>Furthermore, five genes were directly associated with serotonin and GABA neurotransmitters, which are known to be relevant to mood disorders like depression and anxiety.</w:t>
      </w:r>
      <w:r w:rsidR="00566A91">
        <w:rPr>
          <w:noProof/>
          <w:sz w:val="24"/>
          <w:szCs w:val="24"/>
        </w:rPr>
        <w:t>[</w:t>
      </w:r>
      <w:r>
        <w:rPr>
          <w:noProof/>
          <w:sz w:val="24"/>
          <w:szCs w:val="24"/>
        </w:rPr>
        <w:t>17-19]</w:t>
      </w:r>
      <w:r w:rsidRPr="00E033A6">
        <w:rPr>
          <w:sz w:val="24"/>
          <w:szCs w:val="24"/>
        </w:rPr>
        <w:t xml:space="preserve"> </w:t>
      </w:r>
      <w:r w:rsidRPr="00E033A6">
        <w:rPr>
          <w:i/>
          <w:sz w:val="24"/>
          <w:szCs w:val="24"/>
        </w:rPr>
        <w:t>MIR3146</w:t>
      </w:r>
      <w:r w:rsidRPr="00E033A6">
        <w:rPr>
          <w:sz w:val="24"/>
          <w:szCs w:val="24"/>
        </w:rPr>
        <w:t xml:space="preserve">, in conjunction with </w:t>
      </w:r>
      <w:r w:rsidRPr="00E033A6">
        <w:rPr>
          <w:i/>
          <w:sz w:val="24"/>
          <w:szCs w:val="24"/>
        </w:rPr>
        <w:t>SIRT1</w:t>
      </w:r>
      <w:r w:rsidR="00566A91">
        <w:rPr>
          <w:iCs w:val="0"/>
          <w:noProof/>
          <w:sz w:val="24"/>
          <w:szCs w:val="24"/>
        </w:rPr>
        <w:t>[</w:t>
      </w:r>
      <w:r>
        <w:rPr>
          <w:iCs w:val="0"/>
          <w:noProof/>
          <w:sz w:val="24"/>
          <w:szCs w:val="24"/>
        </w:rPr>
        <w:t>14]</w:t>
      </w:r>
      <w:r w:rsidRPr="00E033A6">
        <w:rPr>
          <w:iCs w:val="0"/>
          <w:sz w:val="24"/>
          <w:szCs w:val="24"/>
        </w:rPr>
        <w:t xml:space="preserve"> and </w:t>
      </w:r>
      <w:r w:rsidRPr="00E033A6">
        <w:rPr>
          <w:i/>
          <w:sz w:val="24"/>
          <w:szCs w:val="24"/>
        </w:rPr>
        <w:t>PTEN</w:t>
      </w:r>
      <w:r w:rsidR="00566A91">
        <w:rPr>
          <w:iCs w:val="0"/>
          <w:noProof/>
          <w:sz w:val="24"/>
          <w:szCs w:val="24"/>
        </w:rPr>
        <w:t>[</w:t>
      </w:r>
      <w:r>
        <w:rPr>
          <w:iCs w:val="0"/>
          <w:noProof/>
          <w:sz w:val="24"/>
          <w:szCs w:val="24"/>
        </w:rPr>
        <w:t>15]</w:t>
      </w:r>
      <w:r w:rsidRPr="00E033A6">
        <w:rPr>
          <w:sz w:val="24"/>
          <w:szCs w:val="24"/>
        </w:rPr>
        <w:t xml:space="preserve">, influences not only cell apoptosis but also regulation of the </w:t>
      </w:r>
      <w:r w:rsidRPr="00E033A6">
        <w:rPr>
          <w:i/>
          <w:sz w:val="24"/>
          <w:szCs w:val="24"/>
        </w:rPr>
        <w:t>MAO-A</w:t>
      </w:r>
      <w:r w:rsidRPr="00E033A6">
        <w:rPr>
          <w:sz w:val="24"/>
          <w:szCs w:val="24"/>
        </w:rPr>
        <w:t xml:space="preserve"> gene.</w:t>
      </w:r>
      <w:r w:rsidR="00566A91">
        <w:rPr>
          <w:noProof/>
          <w:sz w:val="24"/>
          <w:szCs w:val="24"/>
        </w:rPr>
        <w:t>[</w:t>
      </w:r>
      <w:r>
        <w:rPr>
          <w:noProof/>
          <w:sz w:val="24"/>
          <w:szCs w:val="24"/>
        </w:rPr>
        <w:t>20, 21]</w:t>
      </w:r>
      <w:r w:rsidRPr="00E033A6">
        <w:rPr>
          <w:sz w:val="24"/>
          <w:szCs w:val="24"/>
        </w:rPr>
        <w:t xml:space="preserve"> </w:t>
      </w:r>
      <w:r w:rsidRPr="00E033A6">
        <w:rPr>
          <w:i/>
          <w:sz w:val="24"/>
          <w:szCs w:val="24"/>
        </w:rPr>
        <w:t xml:space="preserve">ESRRA </w:t>
      </w:r>
      <w:r w:rsidRPr="00E033A6">
        <w:rPr>
          <w:sz w:val="24"/>
          <w:szCs w:val="24"/>
        </w:rPr>
        <w:t xml:space="preserve">was found to impact the expression of </w:t>
      </w:r>
      <w:r w:rsidRPr="00E033A6">
        <w:rPr>
          <w:i/>
          <w:sz w:val="24"/>
          <w:szCs w:val="24"/>
        </w:rPr>
        <w:t>MAO-A</w:t>
      </w:r>
      <w:r w:rsidRPr="00E033A6">
        <w:rPr>
          <w:sz w:val="24"/>
          <w:szCs w:val="24"/>
        </w:rPr>
        <w:t xml:space="preserve"> and </w:t>
      </w:r>
      <w:r w:rsidRPr="00E033A6">
        <w:rPr>
          <w:i/>
          <w:sz w:val="24"/>
          <w:szCs w:val="24"/>
        </w:rPr>
        <w:t>MAO-B</w:t>
      </w:r>
      <w:r w:rsidRPr="00E033A6">
        <w:rPr>
          <w:sz w:val="24"/>
          <w:szCs w:val="24"/>
        </w:rPr>
        <w:t xml:space="preserve"> genes</w:t>
      </w:r>
      <w:r w:rsidR="00566A91">
        <w:rPr>
          <w:noProof/>
          <w:sz w:val="24"/>
          <w:szCs w:val="24"/>
        </w:rPr>
        <w:t>[</w:t>
      </w:r>
      <w:r>
        <w:rPr>
          <w:noProof/>
          <w:sz w:val="24"/>
          <w:szCs w:val="24"/>
        </w:rPr>
        <w:t>22, 23]</w:t>
      </w:r>
      <w:r w:rsidRPr="00E033A6">
        <w:rPr>
          <w:sz w:val="24"/>
          <w:szCs w:val="24"/>
        </w:rPr>
        <w:t xml:space="preserve">, which are known to be involved in neurotransmitter signaling and </w:t>
      </w:r>
      <w:r w:rsidRPr="00E033A6">
        <w:rPr>
          <w:sz w:val="24"/>
          <w:szCs w:val="24"/>
        </w:rPr>
        <w:lastRenderedPageBreak/>
        <w:t>emotional regulation.</w:t>
      </w:r>
      <w:r w:rsidR="00566A91">
        <w:rPr>
          <w:noProof/>
          <w:sz w:val="24"/>
          <w:szCs w:val="24"/>
        </w:rPr>
        <w:t>[</w:t>
      </w:r>
      <w:r>
        <w:rPr>
          <w:noProof/>
          <w:sz w:val="24"/>
          <w:szCs w:val="24"/>
        </w:rPr>
        <w:t>24-28]</w:t>
      </w:r>
      <w:r w:rsidRPr="00E033A6">
        <w:rPr>
          <w:sz w:val="24"/>
          <w:szCs w:val="24"/>
        </w:rPr>
        <w:t xml:space="preserve"> </w:t>
      </w:r>
      <w:r w:rsidRPr="00E033A6">
        <w:rPr>
          <w:i/>
          <w:sz w:val="24"/>
          <w:szCs w:val="24"/>
        </w:rPr>
        <w:t xml:space="preserve">SEC23IP </w:t>
      </w:r>
      <w:r w:rsidRPr="00E033A6">
        <w:rPr>
          <w:sz w:val="24"/>
          <w:szCs w:val="24"/>
        </w:rPr>
        <w:t>is linked to the transport of neurotransmitter receptors</w:t>
      </w:r>
      <w:r w:rsidR="00566A91">
        <w:rPr>
          <w:noProof/>
          <w:sz w:val="24"/>
          <w:szCs w:val="24"/>
        </w:rPr>
        <w:t>[</w:t>
      </w:r>
      <w:r>
        <w:rPr>
          <w:noProof/>
          <w:sz w:val="24"/>
          <w:szCs w:val="24"/>
        </w:rPr>
        <w:t>29]</w:t>
      </w:r>
      <w:r w:rsidRPr="00E033A6">
        <w:rPr>
          <w:sz w:val="24"/>
          <w:szCs w:val="24"/>
        </w:rPr>
        <w:t xml:space="preserve">, while </w:t>
      </w:r>
      <w:r w:rsidRPr="00E033A6">
        <w:rPr>
          <w:i/>
          <w:sz w:val="24"/>
          <w:szCs w:val="24"/>
        </w:rPr>
        <w:t xml:space="preserve">DIP2C </w:t>
      </w:r>
      <w:r w:rsidRPr="00E033A6">
        <w:rPr>
          <w:sz w:val="24"/>
          <w:szCs w:val="24"/>
        </w:rPr>
        <w:t>is involved in the regulation of these receptors.</w:t>
      </w:r>
      <w:r w:rsidR="00566A91">
        <w:rPr>
          <w:noProof/>
          <w:sz w:val="24"/>
          <w:szCs w:val="24"/>
        </w:rPr>
        <w:t>[</w:t>
      </w:r>
      <w:r>
        <w:rPr>
          <w:noProof/>
          <w:sz w:val="24"/>
          <w:szCs w:val="24"/>
        </w:rPr>
        <w:t>30]</w:t>
      </w:r>
      <w:r w:rsidRPr="00E033A6">
        <w:rPr>
          <w:sz w:val="24"/>
          <w:szCs w:val="24"/>
        </w:rPr>
        <w:t xml:space="preserve"> Notably, the DMS sites related to the </w:t>
      </w:r>
      <w:r w:rsidRPr="00E033A6">
        <w:rPr>
          <w:i/>
          <w:sz w:val="24"/>
          <w:szCs w:val="24"/>
        </w:rPr>
        <w:t xml:space="preserve">CPD </w:t>
      </w:r>
      <w:r w:rsidRPr="00E033A6">
        <w:rPr>
          <w:sz w:val="24"/>
          <w:szCs w:val="24"/>
        </w:rPr>
        <w:t xml:space="preserve">gene, positioned near </w:t>
      </w:r>
      <w:r w:rsidRPr="00E033A6">
        <w:rPr>
          <w:i/>
          <w:sz w:val="24"/>
          <w:szCs w:val="24"/>
        </w:rPr>
        <w:t>CPD</w:t>
      </w:r>
      <w:r w:rsidRPr="00E033A6">
        <w:rPr>
          <w:sz w:val="24"/>
          <w:szCs w:val="24"/>
        </w:rPr>
        <w:t xml:space="preserve">, </w:t>
      </w:r>
      <w:r w:rsidRPr="00E033A6">
        <w:rPr>
          <w:i/>
          <w:sz w:val="24"/>
          <w:szCs w:val="24"/>
        </w:rPr>
        <w:t>NF1</w:t>
      </w:r>
      <w:r w:rsidRPr="00E033A6">
        <w:rPr>
          <w:sz w:val="24"/>
          <w:szCs w:val="24"/>
        </w:rPr>
        <w:t xml:space="preserve">, and </w:t>
      </w:r>
      <w:r w:rsidRPr="00E033A6">
        <w:rPr>
          <w:i/>
          <w:sz w:val="24"/>
          <w:szCs w:val="24"/>
        </w:rPr>
        <w:t>SLC6A4</w:t>
      </w:r>
      <w:r w:rsidRPr="00E033A6">
        <w:rPr>
          <w:sz w:val="24"/>
          <w:szCs w:val="24"/>
        </w:rPr>
        <w:t>, have known associations in previous studies with these genes.</w:t>
      </w:r>
      <w:r w:rsidR="00566A91">
        <w:rPr>
          <w:noProof/>
          <w:sz w:val="24"/>
          <w:szCs w:val="24"/>
        </w:rPr>
        <w:t>[</w:t>
      </w:r>
      <w:r>
        <w:rPr>
          <w:noProof/>
          <w:sz w:val="24"/>
          <w:szCs w:val="24"/>
        </w:rPr>
        <w:t>31]</w:t>
      </w:r>
      <w:r w:rsidRPr="00E033A6">
        <w:rPr>
          <w:sz w:val="24"/>
          <w:szCs w:val="24"/>
        </w:rPr>
        <w:t xml:space="preserve"> Among these, </w:t>
      </w:r>
      <w:r w:rsidRPr="00E033A6">
        <w:rPr>
          <w:i/>
          <w:sz w:val="24"/>
          <w:szCs w:val="24"/>
        </w:rPr>
        <w:t xml:space="preserve">SLC6A4 </w:t>
      </w:r>
      <w:r w:rsidRPr="00E033A6">
        <w:rPr>
          <w:sz w:val="24"/>
          <w:szCs w:val="24"/>
        </w:rPr>
        <w:t>functions as a serotonin transporter, directly related to neurotransmitter signaling.</w:t>
      </w:r>
      <w:r w:rsidR="00566A91">
        <w:rPr>
          <w:noProof/>
          <w:sz w:val="24"/>
          <w:szCs w:val="24"/>
        </w:rPr>
        <w:t>[</w:t>
      </w:r>
      <w:r>
        <w:rPr>
          <w:noProof/>
          <w:sz w:val="24"/>
          <w:szCs w:val="24"/>
        </w:rPr>
        <w:t>32]</w:t>
      </w:r>
    </w:p>
    <w:p w14:paraId="255E66C7" w14:textId="77777777" w:rsidR="00307A1D" w:rsidRDefault="00307A1D" w:rsidP="00E814B9">
      <w:pPr>
        <w:spacing w:line="480" w:lineRule="auto"/>
      </w:pPr>
    </w:p>
    <w:p w14:paraId="3199AAC6" w14:textId="77777777" w:rsidR="00307A1D" w:rsidRPr="00617109" w:rsidRDefault="00307A1D" w:rsidP="00617109">
      <w:pPr>
        <w:pStyle w:val="Heading1"/>
        <w:spacing w:line="480" w:lineRule="auto"/>
        <w:rPr>
          <w:rFonts w:ascii="Times New Roman" w:hAnsi="Times New Roman" w:cs="Times New Roman"/>
          <w:b/>
          <w:bCs/>
          <w:color w:val="auto"/>
          <w:sz w:val="18"/>
          <w:szCs w:val="18"/>
        </w:rPr>
      </w:pPr>
      <w:bookmarkStart w:id="2" w:name="_Toc154148162"/>
      <w:r w:rsidRPr="00906363">
        <w:rPr>
          <w:rFonts w:ascii="Times New Roman" w:hAnsi="Times New Roman" w:cs="Times New Roman"/>
          <w:b/>
          <w:bCs/>
          <w:color w:val="auto"/>
          <w:sz w:val="24"/>
          <w:szCs w:val="24"/>
        </w:rPr>
        <w:t>Supplementary Reference</w:t>
      </w:r>
      <w:r>
        <w:rPr>
          <w:rFonts w:ascii="Times New Roman" w:hAnsi="Times New Roman" w:cs="Times New Roman"/>
          <w:b/>
          <w:bCs/>
          <w:color w:val="auto"/>
          <w:sz w:val="24"/>
          <w:szCs w:val="24"/>
        </w:rPr>
        <w:t>s</w:t>
      </w:r>
      <w:bookmarkEnd w:id="2"/>
    </w:p>
    <w:p w14:paraId="6F393688" w14:textId="77777777" w:rsidR="00307A1D" w:rsidRPr="00AA7B94" w:rsidRDefault="00307A1D" w:rsidP="00E814B9">
      <w:pPr>
        <w:pStyle w:val="EndNoteBibliography"/>
        <w:spacing w:after="0" w:line="480" w:lineRule="auto"/>
      </w:pPr>
      <w:r w:rsidRPr="00AA7B94">
        <w:t>1.</w:t>
      </w:r>
      <w:r w:rsidRPr="00AA7B94">
        <w:tab/>
        <w:t>Song Ba Y, Wang Ma F, Wei Ma Y, Chen Ba D, Deng Ba G. ATP5A1 Participates in Transcriptional and Posttranscriptional Regulation of Cancer-Associated Genes by Modulating Their Expression and Alternative Splicing Profiles in HeLa Cells. Technol Cancer Res Treat. 2021;20:15330338211039126.</w:t>
      </w:r>
    </w:p>
    <w:p w14:paraId="00EDFFFD" w14:textId="77777777" w:rsidR="00307A1D" w:rsidRPr="00AA7B94" w:rsidRDefault="00307A1D" w:rsidP="00E814B9">
      <w:pPr>
        <w:pStyle w:val="EndNoteBibliography"/>
        <w:spacing w:after="0" w:line="480" w:lineRule="auto"/>
      </w:pPr>
      <w:r w:rsidRPr="00AA7B94">
        <w:t>2.</w:t>
      </w:r>
      <w:r w:rsidRPr="00AA7B94">
        <w:tab/>
        <w:t>Malek M, Wawrzyniak AM, Koch P, Lüchtenborg C, Hessenberger M, Sachsenheimer T, et al. Inositol triphosphate-triggered calcium release blocks lipid exchange at endoplasmic reticulum-Golgi contact sites. Nature Communications. 2021;12(1):2673.</w:t>
      </w:r>
    </w:p>
    <w:p w14:paraId="458234B2" w14:textId="77777777" w:rsidR="00307A1D" w:rsidRPr="00AA7B94" w:rsidRDefault="00307A1D" w:rsidP="00E814B9">
      <w:pPr>
        <w:pStyle w:val="EndNoteBibliography"/>
        <w:spacing w:after="0" w:line="480" w:lineRule="auto"/>
      </w:pPr>
      <w:r w:rsidRPr="00AA7B94">
        <w:t>3.</w:t>
      </w:r>
      <w:r w:rsidRPr="00AA7B94">
        <w:tab/>
        <w:t>Kania E, Roest G, Vervliet T, Parys JB, Bultynck G. IP(3) Receptor-Mediated Calcium Signaling and Its Role in Autophagy in Cancer. Front Oncol. 2017;7:140.</w:t>
      </w:r>
    </w:p>
    <w:p w14:paraId="2F2C7BD0" w14:textId="77777777" w:rsidR="00307A1D" w:rsidRPr="00AA7B94" w:rsidRDefault="00307A1D" w:rsidP="00E814B9">
      <w:pPr>
        <w:pStyle w:val="EndNoteBibliography"/>
        <w:spacing w:after="0" w:line="480" w:lineRule="auto"/>
      </w:pPr>
      <w:r w:rsidRPr="00AA7B94">
        <w:t>4.</w:t>
      </w:r>
      <w:r w:rsidRPr="00AA7B94">
        <w:tab/>
        <w:t>Prole DL, Taylor CW. Structure and Function of IP(3) Receptors. Cold Spring Harb Perspect Biol. 2019;11(4).</w:t>
      </w:r>
    </w:p>
    <w:p w14:paraId="5896B620" w14:textId="77777777" w:rsidR="00307A1D" w:rsidRPr="00AA7B94" w:rsidRDefault="00307A1D" w:rsidP="00E814B9">
      <w:pPr>
        <w:pStyle w:val="EndNoteBibliography"/>
        <w:spacing w:after="0" w:line="480" w:lineRule="auto"/>
      </w:pPr>
      <w:r w:rsidRPr="00AA7B94">
        <w:t>5.</w:t>
      </w:r>
      <w:r w:rsidRPr="00AA7B94">
        <w:tab/>
        <w:t>Zorov DB, Juhaszova M, Sollott SJ. Mitochondrial reactive oxygen species (ROS) and ROS-induced ROS release. Physiological reviews. 2014;94(3):909-50.</w:t>
      </w:r>
    </w:p>
    <w:p w14:paraId="28D5C21E" w14:textId="77777777" w:rsidR="00307A1D" w:rsidRPr="00AA7B94" w:rsidRDefault="00307A1D" w:rsidP="00E814B9">
      <w:pPr>
        <w:pStyle w:val="EndNoteBibliography"/>
        <w:spacing w:after="0" w:line="480" w:lineRule="auto"/>
      </w:pPr>
      <w:r w:rsidRPr="00AA7B94">
        <w:t>6.</w:t>
      </w:r>
      <w:r w:rsidRPr="00AA7B94">
        <w:tab/>
        <w:t>Dings MPG, van der Zalm AP, Bootsma S, van Maanen TFJ, Waasdorp C, van den Ende T, et al. Estrogen-related receptor alpha drives mitochondrial biogenesis and resistance to neoadjuvant chemoradiation in esophageal cancer. Cell Reports Medicine. 2022;3(11):100802.</w:t>
      </w:r>
    </w:p>
    <w:p w14:paraId="2B84C03B" w14:textId="77777777" w:rsidR="00307A1D" w:rsidRPr="00AA7B94" w:rsidRDefault="00307A1D" w:rsidP="00E814B9">
      <w:pPr>
        <w:pStyle w:val="EndNoteBibliography"/>
        <w:spacing w:after="0" w:line="480" w:lineRule="auto"/>
      </w:pPr>
      <w:r w:rsidRPr="00AA7B94">
        <w:lastRenderedPageBreak/>
        <w:t>7.</w:t>
      </w:r>
      <w:r w:rsidRPr="00AA7B94">
        <w:tab/>
        <w:t>Huang G, Li H, Zhang H. Abnormal Expression of Mitochondrial Ribosomal Proteins and Their Encoding Genes with Cell Apoptosis and Diseases. Int J Mol Sci. 2020;21(22).</w:t>
      </w:r>
    </w:p>
    <w:p w14:paraId="1ECF6E47" w14:textId="77777777" w:rsidR="00307A1D" w:rsidRPr="00AA7B94" w:rsidRDefault="00307A1D" w:rsidP="00E814B9">
      <w:pPr>
        <w:pStyle w:val="EndNoteBibliography"/>
        <w:spacing w:after="0" w:line="480" w:lineRule="auto"/>
      </w:pPr>
      <w:r w:rsidRPr="00AA7B94">
        <w:t>8.</w:t>
      </w:r>
      <w:r w:rsidRPr="00AA7B94">
        <w:tab/>
        <w:t>Venesio T, Balsamo A, Errichiello E, Ranzani GN, Risio M. Oxidative DNA damage drives carcinogenesis in MUTYH-associated-polyposis by specific mutations of mitochondrial and MAPK genes. Mod Pathol. 2013;26(10):1371-81.</w:t>
      </w:r>
    </w:p>
    <w:p w14:paraId="16C66147" w14:textId="77777777" w:rsidR="00307A1D" w:rsidRPr="00AA7B94" w:rsidRDefault="00307A1D" w:rsidP="00E814B9">
      <w:pPr>
        <w:pStyle w:val="EndNoteBibliography"/>
        <w:spacing w:after="0" w:line="480" w:lineRule="auto"/>
      </w:pPr>
      <w:r w:rsidRPr="00AA7B94">
        <w:t>9.</w:t>
      </w:r>
      <w:r w:rsidRPr="00AA7B94">
        <w:tab/>
        <w:t>Hwang BJ, Shi G, Lu AL. Mammalian MutY homolog (MYH or MUTYH) protects cells from oxidative DNA damage. DNA Repair (Amst). 2014;13:10-21.</w:t>
      </w:r>
    </w:p>
    <w:p w14:paraId="538E9F35" w14:textId="77777777" w:rsidR="00307A1D" w:rsidRPr="00AA7B94" w:rsidRDefault="00307A1D" w:rsidP="00E814B9">
      <w:pPr>
        <w:pStyle w:val="EndNoteBibliography"/>
        <w:spacing w:after="0" w:line="480" w:lineRule="auto"/>
      </w:pPr>
      <w:r w:rsidRPr="00AA7B94">
        <w:t>10.</w:t>
      </w:r>
      <w:r w:rsidRPr="00AA7B94">
        <w:tab/>
        <w:t>Redza-Dutordoir M, Averill-Bates DA. Activation of apoptosis signalling pathways by reactive oxygen species. Biochim Biophys Acta. 2016;1863(12):2977-92.</w:t>
      </w:r>
    </w:p>
    <w:p w14:paraId="217E99DC" w14:textId="77777777" w:rsidR="00307A1D" w:rsidRPr="00AA7B94" w:rsidRDefault="00307A1D" w:rsidP="00E814B9">
      <w:pPr>
        <w:pStyle w:val="EndNoteBibliography"/>
        <w:spacing w:after="0" w:line="480" w:lineRule="auto"/>
      </w:pPr>
      <w:r w:rsidRPr="00AA7B94">
        <w:t>11.</w:t>
      </w:r>
      <w:r w:rsidRPr="00AA7B94">
        <w:tab/>
        <w:t>Shigematsu S, Fukuda S, Nakayama H, Inoue H, Hiasa Y, Onji M, et al. ZNF689 suppresses apoptosis of hepatocellular carcinoma cells through the down-regulation of Bcl-2 family members. Experimental Cell Research. 2011;317(13):1851-9.</w:t>
      </w:r>
    </w:p>
    <w:p w14:paraId="10E14C17" w14:textId="77777777" w:rsidR="00307A1D" w:rsidRPr="00AA7B94" w:rsidRDefault="00307A1D" w:rsidP="00E814B9">
      <w:pPr>
        <w:pStyle w:val="EndNoteBibliography"/>
        <w:spacing w:after="0" w:line="480" w:lineRule="auto"/>
      </w:pPr>
      <w:r w:rsidRPr="00AA7B94">
        <w:t>12.</w:t>
      </w:r>
      <w:r w:rsidRPr="00AA7B94">
        <w:tab/>
        <w:t>Yi PS, Wu B, Deng DW, Zhang GN, Li JS. Positive expression of ZNF689 indicates poor prognosis of hepatocellular carcinoma. Oncol Lett. 2018;16(4):5122-30.</w:t>
      </w:r>
    </w:p>
    <w:p w14:paraId="2E30C68E" w14:textId="77777777" w:rsidR="00307A1D" w:rsidRPr="00AA7B94" w:rsidRDefault="00307A1D" w:rsidP="00E814B9">
      <w:pPr>
        <w:pStyle w:val="EndNoteBibliography"/>
        <w:spacing w:after="0" w:line="480" w:lineRule="auto"/>
      </w:pPr>
      <w:r w:rsidRPr="00AA7B94">
        <w:t>13.</w:t>
      </w:r>
      <w:r w:rsidRPr="00AA7B94">
        <w:tab/>
        <w:t>Chae HD, Broxmeyer HE. SIRT1 deficiency downregulates PTEN/JNK/FOXO1 pathway to block reactive oxygen species-induced apoptosis in mouse embryonic stem cells. Stem Cells Dev. 2011;20(7):1277-85.</w:t>
      </w:r>
    </w:p>
    <w:p w14:paraId="203DF1E8" w14:textId="77777777" w:rsidR="00307A1D" w:rsidRPr="00AA7B94" w:rsidRDefault="00307A1D" w:rsidP="00E814B9">
      <w:pPr>
        <w:pStyle w:val="EndNoteBibliography"/>
        <w:spacing w:after="0" w:line="480" w:lineRule="auto"/>
      </w:pPr>
      <w:r w:rsidRPr="00AA7B94">
        <w:t>14.</w:t>
      </w:r>
      <w:r w:rsidRPr="00AA7B94">
        <w:tab/>
        <w:t>Shan L, Yang D, Feng F, Zhu D, Li X. miR-3146 induces neutrophil extracellular traps to aggravate gout flare. Journal of Clinical Laboratory Analysis. 2021;35(11):e24032.</w:t>
      </w:r>
    </w:p>
    <w:p w14:paraId="03760D3A" w14:textId="77777777" w:rsidR="00307A1D" w:rsidRPr="00AA7B94" w:rsidRDefault="00307A1D" w:rsidP="00E814B9">
      <w:pPr>
        <w:pStyle w:val="EndNoteBibliography"/>
        <w:spacing w:after="0" w:line="480" w:lineRule="auto"/>
      </w:pPr>
      <w:r w:rsidRPr="00AA7B94">
        <w:t>15.</w:t>
      </w:r>
      <w:r w:rsidRPr="00AA7B94">
        <w:tab/>
        <w:t>Du J, Chen M, Liu J, Hu P, Guan H, Jiao X. LncRNA F11-AS1 suppresses liver hepatocellular carcinoma progression by competitively binding with miR-3146 to regulate PTEN expression. Journal of Cellular Biochemistry. 2019;120(10):18457-64.</w:t>
      </w:r>
    </w:p>
    <w:p w14:paraId="62E62988" w14:textId="77777777" w:rsidR="00307A1D" w:rsidRPr="00AA7B94" w:rsidRDefault="00307A1D" w:rsidP="00E814B9">
      <w:pPr>
        <w:pStyle w:val="EndNoteBibliography"/>
        <w:spacing w:after="0" w:line="480" w:lineRule="auto"/>
      </w:pPr>
      <w:r w:rsidRPr="00AA7B94">
        <w:t>16.</w:t>
      </w:r>
      <w:r w:rsidRPr="00AA7B94">
        <w:tab/>
        <w:t>Sperandio S, Tardito S, Surzycki A, Latterich M, de Belle I. TOE1 interacts with p53 to modulate its transactivation potential. FEBS Letters. 2009;583(13):2165-70.</w:t>
      </w:r>
    </w:p>
    <w:p w14:paraId="32D440D7" w14:textId="77777777" w:rsidR="00307A1D" w:rsidRPr="00AA7B94" w:rsidRDefault="00307A1D" w:rsidP="00E814B9">
      <w:pPr>
        <w:pStyle w:val="EndNoteBibliography"/>
        <w:spacing w:after="0" w:line="480" w:lineRule="auto"/>
      </w:pPr>
      <w:r w:rsidRPr="00AA7B94">
        <w:lastRenderedPageBreak/>
        <w:t>17.</w:t>
      </w:r>
      <w:r w:rsidRPr="00AA7B94">
        <w:tab/>
        <w:t>Nuss P. Anxiety disorders and GABA neurotransmission: a disturbance of modulation. Neuropsychiatr Dis Treat. 2015;11:165-75.</w:t>
      </w:r>
    </w:p>
    <w:p w14:paraId="13C84A4E" w14:textId="77777777" w:rsidR="00307A1D" w:rsidRPr="00AA7B94" w:rsidRDefault="00307A1D" w:rsidP="00E814B9">
      <w:pPr>
        <w:pStyle w:val="EndNoteBibliography"/>
        <w:spacing w:after="0" w:line="480" w:lineRule="auto"/>
      </w:pPr>
      <w:r w:rsidRPr="00AA7B94">
        <w:t>18.</w:t>
      </w:r>
      <w:r w:rsidRPr="00AA7B94">
        <w:tab/>
        <w:t>Olivier JD, Vinkers CH, Olivier B. The role of the serotonergic and GABA system in translational approaches in drug discovery for anxiety disorders. Front Pharmacol. 2013;4:74.</w:t>
      </w:r>
    </w:p>
    <w:p w14:paraId="05D74FC8" w14:textId="77777777" w:rsidR="00307A1D" w:rsidRPr="00AA7B94" w:rsidRDefault="00307A1D" w:rsidP="00E814B9">
      <w:pPr>
        <w:pStyle w:val="EndNoteBibliography"/>
        <w:spacing w:after="0" w:line="480" w:lineRule="auto"/>
      </w:pPr>
      <w:r w:rsidRPr="00AA7B94">
        <w:t>19.</w:t>
      </w:r>
      <w:r w:rsidRPr="00AA7B94">
        <w:tab/>
        <w:t>Möhler H. The GABA system in anxiety and depression and its therapeutic potential. Neuropharmacology. 2012;62(1):42-53.</w:t>
      </w:r>
    </w:p>
    <w:p w14:paraId="301C5D09" w14:textId="77777777" w:rsidR="00307A1D" w:rsidRPr="00AA7B94" w:rsidRDefault="00307A1D" w:rsidP="00E814B9">
      <w:pPr>
        <w:pStyle w:val="EndNoteBibliography"/>
        <w:spacing w:after="0" w:line="480" w:lineRule="auto"/>
      </w:pPr>
      <w:r w:rsidRPr="00AA7B94">
        <w:t>20.</w:t>
      </w:r>
      <w:r w:rsidRPr="00AA7B94">
        <w:tab/>
        <w:t>Libert S, Pointer K, Bell EL, Das A, Cohen DE, Asara JM, et al. SIRT1 activates MAO-A in the brain to mediate anxiety and exploratory drive. Cell. 2011;147(7):1459-72.</w:t>
      </w:r>
    </w:p>
    <w:p w14:paraId="4B29F0A5" w14:textId="77777777" w:rsidR="00307A1D" w:rsidRPr="00AA7B94" w:rsidRDefault="00307A1D" w:rsidP="00E814B9">
      <w:pPr>
        <w:pStyle w:val="EndNoteBibliography"/>
        <w:spacing w:after="0" w:line="480" w:lineRule="auto"/>
      </w:pPr>
      <w:r w:rsidRPr="00AA7B94">
        <w:t>21.</w:t>
      </w:r>
      <w:r w:rsidRPr="00AA7B94">
        <w:tab/>
        <w:t>Wang X-Q, Zhang L, Xia Z-Y, Chen J-Y, Fang Y, Ding Y-Q. PTEN in prefrontal cortex is essential in regulating depression-like behaviors in mice. Translational Psychiatry. 2021;11(1):185.</w:t>
      </w:r>
    </w:p>
    <w:p w14:paraId="2301C3A2" w14:textId="77777777" w:rsidR="00307A1D" w:rsidRPr="00AA7B94" w:rsidRDefault="00307A1D" w:rsidP="00E814B9">
      <w:pPr>
        <w:pStyle w:val="EndNoteBibliography"/>
        <w:spacing w:after="0" w:line="480" w:lineRule="auto"/>
      </w:pPr>
      <w:r w:rsidRPr="00AA7B94">
        <w:t>22.</w:t>
      </w:r>
      <w:r w:rsidRPr="00AA7B94">
        <w:tab/>
        <w:t>Willy PJ, Murray IR, Qian J, Busch BB, Stevens WC, Martin R, et al. Regulation of PPARγ coactivator 1α (PGC-1α) signaling by an estrogen-related receptor α (ERRα) ligand. Proceedings of the National Academy of Sciences. 2004;101(24):8912-7.</w:t>
      </w:r>
    </w:p>
    <w:p w14:paraId="15BAE197" w14:textId="77777777" w:rsidR="00307A1D" w:rsidRPr="00AA7B94" w:rsidRDefault="00307A1D" w:rsidP="00E814B9">
      <w:pPr>
        <w:pStyle w:val="EndNoteBibliography"/>
        <w:spacing w:after="0" w:line="480" w:lineRule="auto"/>
      </w:pPr>
      <w:r w:rsidRPr="00AA7B94">
        <w:t>23.</w:t>
      </w:r>
      <w:r w:rsidRPr="00AA7B94">
        <w:tab/>
        <w:t>Vanaveski T, Molchanova S, Pham DD, Schäfer A, Pajanoja C, Narvik J, et al. PGC-1α Signaling Increases GABA(A) Receptor Subunit α2 Expression, GABAergic Neurotransmission and Anxiety-Like Behavior in Mice. Frontiers in Molecular Neuroscience. 2021;14.</w:t>
      </w:r>
    </w:p>
    <w:p w14:paraId="3D6D1920" w14:textId="77777777" w:rsidR="00307A1D" w:rsidRPr="00AA7B94" w:rsidRDefault="00307A1D" w:rsidP="00E814B9">
      <w:pPr>
        <w:pStyle w:val="EndNoteBibliography"/>
        <w:spacing w:after="0" w:line="480" w:lineRule="auto"/>
      </w:pPr>
      <w:r w:rsidRPr="00AA7B94">
        <w:t>24.</w:t>
      </w:r>
      <w:r w:rsidRPr="00AA7B94">
        <w:tab/>
        <w:t>Jaka O, Iturria I, van der Toorn M, Hurtado de Mendoza J, Latino D, Alzualde A, et al. Effects of Natural Monoamine Oxidase Inhibitors on Anxiety-Like Behavior in Zebrafish. Front Pharmacol. 2021;12:669370.</w:t>
      </w:r>
    </w:p>
    <w:p w14:paraId="1D69AE1A" w14:textId="77777777" w:rsidR="00307A1D" w:rsidRPr="00AA7B94" w:rsidRDefault="00307A1D" w:rsidP="00E814B9">
      <w:pPr>
        <w:pStyle w:val="EndNoteBibliography"/>
        <w:spacing w:after="0" w:line="480" w:lineRule="auto"/>
      </w:pPr>
      <w:r w:rsidRPr="00AA7B94">
        <w:t>25.</w:t>
      </w:r>
      <w:r w:rsidRPr="00AA7B94">
        <w:tab/>
        <w:t>Bortolato M, Godar SC, Davarian S, Chen K, Shih JC. Behavioral Disinhibition and Reduced Anxiety-like Behaviors in Monoamine Oxidase B-Deficient Mice. Neuropsychopharmacology. 2009;34(13):2746-57.</w:t>
      </w:r>
    </w:p>
    <w:p w14:paraId="7A48EE3D" w14:textId="77777777" w:rsidR="00307A1D" w:rsidRPr="00AA7B94" w:rsidRDefault="00307A1D" w:rsidP="00E814B9">
      <w:pPr>
        <w:pStyle w:val="EndNoteBibliography"/>
        <w:spacing w:after="0" w:line="480" w:lineRule="auto"/>
      </w:pPr>
      <w:r w:rsidRPr="00AA7B94">
        <w:t>26.</w:t>
      </w:r>
      <w:r w:rsidRPr="00AA7B94">
        <w:tab/>
        <w:t>Cho H-U, Kim S, Sim J, Yang S, An H, Nam M-H, et al. Redefining differential roles of MAO-A in dopamine degradation and MAO-B in tonic GABA synthesis. Experimental &amp; Molecular Medicine. 2021;53(7):1148-58.</w:t>
      </w:r>
    </w:p>
    <w:p w14:paraId="5AE88F59" w14:textId="77777777" w:rsidR="00307A1D" w:rsidRPr="00AA7B94" w:rsidRDefault="00307A1D" w:rsidP="00E814B9">
      <w:pPr>
        <w:pStyle w:val="EndNoteBibliography"/>
        <w:spacing w:after="0" w:line="480" w:lineRule="auto"/>
      </w:pPr>
      <w:r w:rsidRPr="00AA7B94">
        <w:lastRenderedPageBreak/>
        <w:t>27.</w:t>
      </w:r>
      <w:r w:rsidRPr="00AA7B94">
        <w:tab/>
        <w:t>Prah A, Purg M, Stare J, Vianello R, Mavri J. How Monoamine Oxidase A Decomposes Serotonin: An Empirical Valence Bond Simulation of the Reactive Step. The Journal of Physical Chemistry B. 2020;124(38):8259-65.</w:t>
      </w:r>
    </w:p>
    <w:p w14:paraId="26D02678" w14:textId="77777777" w:rsidR="00307A1D" w:rsidRPr="00AA7B94" w:rsidRDefault="00307A1D" w:rsidP="00E814B9">
      <w:pPr>
        <w:pStyle w:val="EndNoteBibliography"/>
        <w:spacing w:after="0" w:line="480" w:lineRule="auto"/>
      </w:pPr>
      <w:r w:rsidRPr="00AA7B94">
        <w:t>28.</w:t>
      </w:r>
      <w:r w:rsidRPr="00AA7B94">
        <w:tab/>
        <w:t>Bortolato M, Chen K, Shih JC. CHAPTER 2.4 - The Degradation of Serotonin: Role of MAO. In: Müller CP, Jacobs BL, editors. Handbook of Behavioral Neuroscience. 21: Elsevier; 2010. p. 203-18.</w:t>
      </w:r>
    </w:p>
    <w:p w14:paraId="1A609AF8" w14:textId="77777777" w:rsidR="00307A1D" w:rsidRPr="00AA7B94" w:rsidRDefault="00307A1D" w:rsidP="00E814B9">
      <w:pPr>
        <w:pStyle w:val="EndNoteBibliography"/>
        <w:spacing w:after="0" w:line="480" w:lineRule="auto"/>
      </w:pPr>
      <w:r w:rsidRPr="00AA7B94">
        <w:t>29.</w:t>
      </w:r>
      <w:r w:rsidRPr="00AA7B94">
        <w:tab/>
        <w:t>Zanetti G, Pahuja KB, Studer S, Shim S, Schekman R. COPII and the regulation of protein sorting in mammals. Nature Cell Biology. 2012;14(1):20-8.</w:t>
      </w:r>
    </w:p>
    <w:p w14:paraId="0725D99D" w14:textId="77777777" w:rsidR="00307A1D" w:rsidRPr="00AA7B94" w:rsidRDefault="00307A1D" w:rsidP="00E814B9">
      <w:pPr>
        <w:pStyle w:val="EndNoteBibliography"/>
        <w:spacing w:after="0" w:line="480" w:lineRule="auto"/>
      </w:pPr>
      <w:r w:rsidRPr="00AA7B94">
        <w:t>30.</w:t>
      </w:r>
      <w:r w:rsidRPr="00AA7B94">
        <w:tab/>
        <w:t>Oo ZM, Adlat S, Sah RK, Myint MZZ, Hayel F, Chen Y, et al. Brain transcriptome study through CRISPR/Cas9 mediated mouse Dip2c gene knock-out. Gene. 2020;758:144975.</w:t>
      </w:r>
    </w:p>
    <w:p w14:paraId="521A1461" w14:textId="77777777" w:rsidR="00307A1D" w:rsidRPr="00AA7B94" w:rsidRDefault="00307A1D" w:rsidP="00E814B9">
      <w:pPr>
        <w:pStyle w:val="EndNoteBibliography"/>
        <w:spacing w:after="0" w:line="480" w:lineRule="auto"/>
      </w:pPr>
      <w:r w:rsidRPr="00AA7B94">
        <w:t>31.</w:t>
      </w:r>
      <w:r w:rsidRPr="00AA7B94">
        <w:tab/>
        <w:t>Shen S, Battersby S, Weaver M, Clark E, Stephens K, Harmar AJ. Refined mapping of the human serotonin transporter (SLC6A4) gene within 17q11 adjacent to the CPD and NF1 genes. Eur J Hum Genet. 2000;8(1):75-8.</w:t>
      </w:r>
    </w:p>
    <w:p w14:paraId="4D8CBDDB" w14:textId="77777777" w:rsidR="00307A1D" w:rsidRPr="00AA7B94" w:rsidRDefault="00307A1D" w:rsidP="00E814B9">
      <w:pPr>
        <w:pStyle w:val="EndNoteBibliography"/>
        <w:spacing w:line="480" w:lineRule="auto"/>
      </w:pPr>
      <w:r w:rsidRPr="00AA7B94">
        <w:t>32.</w:t>
      </w:r>
      <w:r w:rsidRPr="00AA7B94">
        <w:tab/>
        <w:t>Mazzanti CM, Lappalainen J, Long JC, Bengel D, Naukkarinen H, Eggert M, et al. Role of the Serotonin Transporter Promoter Polymorphism in Anxiety-Related Traits. Archives of General Psychiatry. 1998;55(10):936-40.</w:t>
      </w:r>
    </w:p>
    <w:p w14:paraId="2B5C54A0" w14:textId="77777777" w:rsidR="00307A1D" w:rsidRDefault="00307A1D" w:rsidP="00E814B9">
      <w:pPr>
        <w:spacing w:line="480" w:lineRule="auto"/>
      </w:pPr>
    </w:p>
    <w:p w14:paraId="10273E57" w14:textId="77777777" w:rsidR="00E85054" w:rsidRDefault="00E85054"/>
    <w:sectPr w:rsidR="00E85054" w:rsidSect="008D0E74">
      <w:pgSz w:w="12240" w:h="15840"/>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7D0C" w14:textId="77777777" w:rsidR="008D0E74" w:rsidRDefault="008D0E74" w:rsidP="00566A91">
      <w:pPr>
        <w:spacing w:after="0" w:line="240" w:lineRule="auto"/>
      </w:pPr>
      <w:r>
        <w:separator/>
      </w:r>
    </w:p>
  </w:endnote>
  <w:endnote w:type="continuationSeparator" w:id="0">
    <w:p w14:paraId="2FE3D8A6" w14:textId="77777777" w:rsidR="008D0E74" w:rsidRDefault="008D0E74" w:rsidP="00566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68F2C" w14:textId="77777777" w:rsidR="008D0E74" w:rsidRDefault="008D0E74" w:rsidP="00566A91">
      <w:pPr>
        <w:spacing w:after="0" w:line="240" w:lineRule="auto"/>
      </w:pPr>
      <w:r>
        <w:separator/>
      </w:r>
    </w:p>
  </w:footnote>
  <w:footnote w:type="continuationSeparator" w:id="0">
    <w:p w14:paraId="13107681" w14:textId="77777777" w:rsidR="008D0E74" w:rsidRDefault="008D0E74" w:rsidP="00566A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307A1D"/>
    <w:rsid w:val="00307A1D"/>
    <w:rsid w:val="00566A91"/>
    <w:rsid w:val="00584D34"/>
    <w:rsid w:val="008D0E74"/>
    <w:rsid w:val="00E41D02"/>
    <w:rsid w:val="00E8505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4723B1"/>
  <w14:defaultImageDpi w14:val="32767"/>
  <w15:chartTrackingRefBased/>
  <w15:docId w15:val="{7F6E68CA-CAD2-4172-A256-2B3D7E4D0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iCs/>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A1D"/>
  </w:style>
  <w:style w:type="paragraph" w:styleId="Heading1">
    <w:name w:val="heading 1"/>
    <w:basedOn w:val="Normal"/>
    <w:next w:val="Normal"/>
    <w:link w:val="Heading1Char"/>
    <w:uiPriority w:val="9"/>
    <w:qFormat/>
    <w:rsid w:val="00307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7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A1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A1D"/>
    <w:pPr>
      <w:keepNext/>
      <w:keepLines/>
      <w:spacing w:before="80" w:after="40"/>
      <w:outlineLvl w:val="3"/>
    </w:pPr>
    <w:rPr>
      <w:rFonts w:asciiTheme="minorHAnsi" w:eastAsiaTheme="majorEastAsia" w:hAnsiTheme="minorHAnsi" w:cstheme="majorBidi"/>
      <w:i/>
      <w:iCs w:val="0"/>
      <w:color w:val="0F4761" w:themeColor="accent1" w:themeShade="BF"/>
    </w:rPr>
  </w:style>
  <w:style w:type="paragraph" w:styleId="Heading5">
    <w:name w:val="heading 5"/>
    <w:basedOn w:val="Normal"/>
    <w:next w:val="Normal"/>
    <w:link w:val="Heading5Char"/>
    <w:uiPriority w:val="9"/>
    <w:semiHidden/>
    <w:unhideWhenUsed/>
    <w:qFormat/>
    <w:rsid w:val="00307A1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07A1D"/>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307A1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7A1D"/>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307A1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7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A1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A1D"/>
    <w:rPr>
      <w:rFonts w:asciiTheme="minorHAnsi" w:eastAsiaTheme="majorEastAsia" w:hAnsiTheme="minorHAnsi" w:cstheme="majorBidi"/>
      <w:i/>
      <w:iCs w:val="0"/>
      <w:color w:val="0F4761" w:themeColor="accent1" w:themeShade="BF"/>
    </w:rPr>
  </w:style>
  <w:style w:type="character" w:customStyle="1" w:styleId="Heading5Char">
    <w:name w:val="Heading 5 Char"/>
    <w:basedOn w:val="DefaultParagraphFont"/>
    <w:link w:val="Heading5"/>
    <w:uiPriority w:val="9"/>
    <w:semiHidden/>
    <w:rsid w:val="00307A1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07A1D"/>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307A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7A1D"/>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307A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7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A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A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07A1D"/>
    <w:pPr>
      <w:spacing w:before="160"/>
      <w:jc w:val="center"/>
    </w:pPr>
    <w:rPr>
      <w:i/>
      <w:iCs w:val="0"/>
      <w:color w:val="404040" w:themeColor="text1" w:themeTint="BF"/>
    </w:rPr>
  </w:style>
  <w:style w:type="character" w:customStyle="1" w:styleId="QuoteChar">
    <w:name w:val="Quote Char"/>
    <w:basedOn w:val="DefaultParagraphFont"/>
    <w:link w:val="Quote"/>
    <w:uiPriority w:val="29"/>
    <w:rsid w:val="00307A1D"/>
    <w:rPr>
      <w:i/>
      <w:iCs w:val="0"/>
      <w:color w:val="404040" w:themeColor="text1" w:themeTint="BF"/>
    </w:rPr>
  </w:style>
  <w:style w:type="paragraph" w:styleId="ListParagraph">
    <w:name w:val="List Paragraph"/>
    <w:basedOn w:val="Normal"/>
    <w:uiPriority w:val="34"/>
    <w:qFormat/>
    <w:rsid w:val="00307A1D"/>
    <w:pPr>
      <w:ind w:left="720"/>
      <w:contextualSpacing/>
    </w:pPr>
  </w:style>
  <w:style w:type="character" w:styleId="IntenseEmphasis">
    <w:name w:val="Intense Emphasis"/>
    <w:basedOn w:val="DefaultParagraphFont"/>
    <w:uiPriority w:val="21"/>
    <w:qFormat/>
    <w:rsid w:val="00307A1D"/>
    <w:rPr>
      <w:i/>
      <w:iCs w:val="0"/>
      <w:color w:val="0F4761" w:themeColor="accent1" w:themeShade="BF"/>
    </w:rPr>
  </w:style>
  <w:style w:type="paragraph" w:styleId="IntenseQuote">
    <w:name w:val="Intense Quote"/>
    <w:basedOn w:val="Normal"/>
    <w:next w:val="Normal"/>
    <w:link w:val="IntenseQuoteChar"/>
    <w:uiPriority w:val="30"/>
    <w:qFormat/>
    <w:rsid w:val="00307A1D"/>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eQuoteChar">
    <w:name w:val="Intense Quote Char"/>
    <w:basedOn w:val="DefaultParagraphFont"/>
    <w:link w:val="IntenseQuote"/>
    <w:uiPriority w:val="30"/>
    <w:rsid w:val="00307A1D"/>
    <w:rPr>
      <w:i/>
      <w:iCs w:val="0"/>
      <w:color w:val="0F4761" w:themeColor="accent1" w:themeShade="BF"/>
    </w:rPr>
  </w:style>
  <w:style w:type="character" w:styleId="IntenseReference">
    <w:name w:val="Intense Reference"/>
    <w:basedOn w:val="DefaultParagraphFont"/>
    <w:uiPriority w:val="32"/>
    <w:qFormat/>
    <w:rsid w:val="00307A1D"/>
    <w:rPr>
      <w:b/>
      <w:bCs/>
      <w:smallCaps/>
      <w:color w:val="0F4761" w:themeColor="accent1" w:themeShade="BF"/>
      <w:spacing w:val="5"/>
    </w:rPr>
  </w:style>
  <w:style w:type="paragraph" w:styleId="Header">
    <w:name w:val="header"/>
    <w:basedOn w:val="Normal"/>
    <w:link w:val="HeaderChar"/>
    <w:uiPriority w:val="99"/>
    <w:unhideWhenUsed/>
    <w:rsid w:val="00307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A1D"/>
  </w:style>
  <w:style w:type="paragraph" w:styleId="Footer">
    <w:name w:val="footer"/>
    <w:basedOn w:val="Normal"/>
    <w:link w:val="FooterChar"/>
    <w:uiPriority w:val="99"/>
    <w:unhideWhenUsed/>
    <w:rsid w:val="00307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A1D"/>
  </w:style>
  <w:style w:type="paragraph" w:customStyle="1" w:styleId="EndNoteBibliography">
    <w:name w:val="EndNote Bibliography"/>
    <w:basedOn w:val="Normal"/>
    <w:link w:val="EndNoteBibliographyChar"/>
    <w:rsid w:val="00307A1D"/>
    <w:pPr>
      <w:spacing w:line="240" w:lineRule="auto"/>
    </w:pPr>
    <w:rPr>
      <w:noProof/>
    </w:rPr>
  </w:style>
  <w:style w:type="character" w:customStyle="1" w:styleId="EndNoteBibliographyChar">
    <w:name w:val="EndNote Bibliography Char"/>
    <w:basedOn w:val="DefaultParagraphFont"/>
    <w:link w:val="EndNoteBibliography"/>
    <w:rsid w:val="00307A1D"/>
    <w:rPr>
      <w:noProof/>
    </w:rPr>
  </w:style>
  <w:style w:type="paragraph" w:customStyle="1" w:styleId="EndNoteBibliographyTitle">
    <w:name w:val="EndNote Bibliography Title"/>
    <w:basedOn w:val="Normal"/>
    <w:link w:val="EndNoteBibliographyTitleChar"/>
    <w:rsid w:val="00307A1D"/>
    <w:pPr>
      <w:spacing w:after="0"/>
      <w:jc w:val="center"/>
    </w:pPr>
    <w:rPr>
      <w:noProof/>
    </w:rPr>
  </w:style>
  <w:style w:type="character" w:customStyle="1" w:styleId="EndNoteBibliographyTitleChar">
    <w:name w:val="EndNote Bibliography Title Char"/>
    <w:basedOn w:val="DefaultParagraphFont"/>
    <w:link w:val="EndNoteBibliographyTitle"/>
    <w:rsid w:val="00307A1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7112</Characters>
  <Application>Microsoft Office Word</Application>
  <DocSecurity>0</DocSecurity>
  <Lines>59</Lines>
  <Paragraphs>16</Paragraphs>
  <ScaleCrop>false</ScaleCrop>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(대학원생) 권윤성 (바이오메디컬공학과)</dc:creator>
  <cp:keywords/>
  <dc:description/>
  <cp:lastModifiedBy>(대학원생) 권윤성 (바이오메디컬공학과)</cp:lastModifiedBy>
  <cp:revision>2</cp:revision>
  <dcterms:created xsi:type="dcterms:W3CDTF">2024-01-18T07:27:00Z</dcterms:created>
  <dcterms:modified xsi:type="dcterms:W3CDTF">2024-01-23T06:15:00Z</dcterms:modified>
</cp:coreProperties>
</file>