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10EDB" w14:textId="51B8EFC1" w:rsidR="0098465B" w:rsidRPr="00A631DE" w:rsidRDefault="0098465B" w:rsidP="00A631DE">
      <w:pPr>
        <w:pStyle w:val="Heading1"/>
        <w:spacing w:line="480" w:lineRule="auto"/>
        <w:rPr>
          <w:rFonts w:ascii="Times New Roman" w:hAnsi="Times New Roman" w:cs="Times New Roman"/>
          <w:b/>
          <w:bCs/>
          <w:color w:val="auto"/>
          <w:sz w:val="24"/>
          <w:szCs w:val="24"/>
        </w:rPr>
      </w:pPr>
      <w:bookmarkStart w:id="0" w:name="_Toc154077855"/>
      <w:bookmarkStart w:id="1" w:name="_Toc154148163"/>
      <w:r w:rsidRPr="00C47C0D">
        <w:rPr>
          <w:rFonts w:ascii="Times New Roman" w:hAnsi="Times New Roman" w:cs="Times New Roman"/>
          <w:b/>
          <w:bCs/>
          <w:color w:val="auto"/>
          <w:sz w:val="24"/>
          <w:szCs w:val="24"/>
        </w:rPr>
        <w:t>Supplementary Figures</w:t>
      </w:r>
      <w:bookmarkEnd w:id="0"/>
      <w:bookmarkEnd w:id="1"/>
    </w:p>
    <w:p w14:paraId="5C95107F" w14:textId="4C32CF40" w:rsidR="0098465B" w:rsidRPr="00AF4CD2" w:rsidRDefault="00ED27CB" w:rsidP="00A631DE">
      <w:pPr>
        <w:spacing w:line="480" w:lineRule="auto"/>
        <w:jc w:val="center"/>
      </w:pPr>
      <w:r>
        <w:rPr>
          <w:noProof/>
        </w:rPr>
        <w:drawing>
          <wp:inline distT="0" distB="0" distL="0" distR="0" wp14:anchorId="68CE6F3F" wp14:editId="5CBE36C9">
            <wp:extent cx="5670645" cy="7404774"/>
            <wp:effectExtent l="0" t="0" r="6350" b="5715"/>
            <wp:docPr id="17576796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72363" cy="7407017"/>
                    </a:xfrm>
                    <a:prstGeom prst="rect">
                      <a:avLst/>
                    </a:prstGeom>
                    <a:noFill/>
                    <a:ln>
                      <a:noFill/>
                    </a:ln>
                  </pic:spPr>
                </pic:pic>
              </a:graphicData>
            </a:graphic>
          </wp:inline>
        </w:drawing>
      </w:r>
    </w:p>
    <w:p w14:paraId="5DA6C9BA" w14:textId="77777777" w:rsidR="0098465B" w:rsidRPr="0055570F" w:rsidRDefault="0098465B" w:rsidP="0055570F">
      <w:pPr>
        <w:pStyle w:val="Heading2"/>
      </w:pPr>
      <w:bookmarkStart w:id="2" w:name="_Toc154148164"/>
      <w:r w:rsidRPr="0055570F">
        <w:lastRenderedPageBreak/>
        <w:t>Fig. S1 Discovery and Validation of Methylation Biomarkers through Bootstrapping.</w:t>
      </w:r>
      <w:bookmarkEnd w:id="2"/>
      <w:r w:rsidRPr="0055570F">
        <w:t xml:space="preserve"> </w:t>
      </w:r>
    </w:p>
    <w:p w14:paraId="05D9631A" w14:textId="7FBB9B9B" w:rsidR="00BD308D" w:rsidRPr="00BD308D" w:rsidRDefault="00696151" w:rsidP="00BD308D">
      <w:pPr>
        <w:spacing w:line="480" w:lineRule="auto"/>
        <w:jc w:val="both"/>
        <w:rPr>
          <w:sz w:val="20"/>
          <w:szCs w:val="20"/>
        </w:rPr>
      </w:pPr>
      <w:r>
        <w:rPr>
          <w:sz w:val="20"/>
          <w:szCs w:val="20"/>
        </w:rPr>
        <w:t>A</w:t>
      </w:r>
      <w:r w:rsidR="0098465B" w:rsidRPr="00610BCC">
        <w:rPr>
          <w:sz w:val="20"/>
          <w:szCs w:val="20"/>
        </w:rPr>
        <w:t>) Line plot depicting the number of biomarkers based on the reproducibility threshold during 1000 rounds of bootstrapping.</w:t>
      </w:r>
      <w:r w:rsidR="0098465B">
        <w:rPr>
          <w:sz w:val="20"/>
          <w:szCs w:val="20"/>
        </w:rPr>
        <w:t xml:space="preserve"> DMS = </w:t>
      </w:r>
      <w:r w:rsidR="001F76D8">
        <w:rPr>
          <w:sz w:val="20"/>
          <w:szCs w:val="20"/>
        </w:rPr>
        <w:t>Differentially</w:t>
      </w:r>
      <w:r w:rsidR="0098465B">
        <w:rPr>
          <w:sz w:val="20"/>
          <w:szCs w:val="20"/>
        </w:rPr>
        <w:t xml:space="preserve"> Methylated Sites;</w:t>
      </w:r>
      <w:r w:rsidR="0098465B" w:rsidRPr="00610BCC">
        <w:rPr>
          <w:sz w:val="20"/>
          <w:szCs w:val="20"/>
        </w:rPr>
        <w:t xml:space="preserve"> </w:t>
      </w:r>
      <w:r>
        <w:rPr>
          <w:sz w:val="20"/>
          <w:szCs w:val="20"/>
        </w:rPr>
        <w:t>B</w:t>
      </w:r>
      <w:r w:rsidR="0098465B" w:rsidRPr="00610BCC">
        <w:rPr>
          <w:sz w:val="20"/>
          <w:szCs w:val="20"/>
        </w:rPr>
        <w:t>) Cumulative plot illustrating the count of biomarkers showing 95% or higher reproducibility.</w:t>
      </w:r>
      <w:r w:rsidR="0098465B">
        <w:rPr>
          <w:sz w:val="20"/>
          <w:szCs w:val="20"/>
        </w:rPr>
        <w:t xml:space="preserve"> </w:t>
      </w:r>
      <w:r w:rsidR="001F76D8">
        <w:rPr>
          <w:sz w:val="20"/>
          <w:szCs w:val="20"/>
        </w:rPr>
        <w:t>The</w:t>
      </w:r>
      <w:r w:rsidR="0098465B" w:rsidRPr="00AC542F">
        <w:rPr>
          <w:sz w:val="20"/>
          <w:szCs w:val="20"/>
        </w:rPr>
        <w:t xml:space="preserve"> bar </w:t>
      </w:r>
      <w:r w:rsidR="001F76D8">
        <w:rPr>
          <w:sz w:val="20"/>
          <w:szCs w:val="20"/>
        </w:rPr>
        <w:t>and line plots</w:t>
      </w:r>
      <w:r w:rsidR="0098465B" w:rsidRPr="00AC542F">
        <w:rPr>
          <w:sz w:val="20"/>
          <w:szCs w:val="20"/>
        </w:rPr>
        <w:t xml:space="preserve"> represent the number of biomarkers satisfying each threshold.</w:t>
      </w:r>
      <w:r w:rsidR="0098465B">
        <w:rPr>
          <w:sz w:val="20"/>
          <w:szCs w:val="20"/>
        </w:rPr>
        <w:t xml:space="preserve"> DMS = </w:t>
      </w:r>
      <w:r w:rsidR="001F76D8">
        <w:rPr>
          <w:sz w:val="20"/>
          <w:szCs w:val="20"/>
        </w:rPr>
        <w:t>Differentially</w:t>
      </w:r>
      <w:r w:rsidR="0098465B">
        <w:rPr>
          <w:sz w:val="20"/>
          <w:szCs w:val="20"/>
        </w:rPr>
        <w:t xml:space="preserve"> Methylated Sites;</w:t>
      </w:r>
      <w:r w:rsidR="0098465B" w:rsidRPr="00610BCC">
        <w:rPr>
          <w:sz w:val="20"/>
          <w:szCs w:val="20"/>
        </w:rPr>
        <w:t xml:space="preserve"> </w:t>
      </w:r>
      <w:r>
        <w:rPr>
          <w:sz w:val="20"/>
          <w:szCs w:val="20"/>
        </w:rPr>
        <w:t>C</w:t>
      </w:r>
      <w:r w:rsidR="0098465B" w:rsidRPr="00610BCC">
        <w:rPr>
          <w:sz w:val="20"/>
          <w:szCs w:val="20"/>
        </w:rPr>
        <w:t xml:space="preserve">) Plot representing the reproducibility information for biomarkers in the </w:t>
      </w:r>
      <w:r w:rsidR="00D761DB">
        <w:rPr>
          <w:rFonts w:hint="eastAsia"/>
          <w:sz w:val="20"/>
          <w:szCs w:val="20"/>
        </w:rPr>
        <w:t>discovery</w:t>
      </w:r>
      <w:r w:rsidR="0098465B" w:rsidRPr="00610BCC">
        <w:rPr>
          <w:sz w:val="20"/>
          <w:szCs w:val="20"/>
        </w:rPr>
        <w:t xml:space="preserve"> set during bootstrapping on the volcano plot displaying the overall Differentially Methylated Sites (DMS) calculated from the entire dataset. </w:t>
      </w:r>
      <w:r w:rsidR="0098465B" w:rsidRPr="00DE1C02">
        <w:rPr>
          <w:sz w:val="20"/>
          <w:szCs w:val="20"/>
        </w:rPr>
        <w:t>The darker the color and the larger the size of the dots, the higher the reproducibility</w:t>
      </w:r>
      <w:r w:rsidR="0098465B" w:rsidRPr="00610BCC">
        <w:rPr>
          <w:sz w:val="20"/>
          <w:szCs w:val="20"/>
        </w:rPr>
        <w:t xml:space="preserve">. </w:t>
      </w:r>
      <w:r>
        <w:rPr>
          <w:sz w:val="20"/>
          <w:szCs w:val="20"/>
        </w:rPr>
        <w:t>D</w:t>
      </w:r>
      <w:r w:rsidR="0098465B" w:rsidRPr="00610BCC">
        <w:rPr>
          <w:sz w:val="20"/>
          <w:szCs w:val="20"/>
        </w:rPr>
        <w:t xml:space="preserve">) Boxplot showing the methylation values of 17 biomarkers demonstrating 97% or higher reproducibility in both healthy controls and anxiety disorder patients for both the </w:t>
      </w:r>
      <w:r w:rsidR="00D761DB">
        <w:rPr>
          <w:rFonts w:hint="eastAsia"/>
          <w:sz w:val="20"/>
          <w:szCs w:val="20"/>
        </w:rPr>
        <w:t>discovery set</w:t>
      </w:r>
      <w:r w:rsidR="0098465B">
        <w:rPr>
          <w:sz w:val="20"/>
          <w:szCs w:val="20"/>
        </w:rPr>
        <w:t xml:space="preserve"> (left panel)</w:t>
      </w:r>
      <w:r w:rsidR="0098465B" w:rsidRPr="00610BCC">
        <w:rPr>
          <w:sz w:val="20"/>
          <w:szCs w:val="20"/>
        </w:rPr>
        <w:t xml:space="preserve"> and validation</w:t>
      </w:r>
      <w:r w:rsidR="0098465B">
        <w:rPr>
          <w:sz w:val="20"/>
          <w:szCs w:val="20"/>
        </w:rPr>
        <w:t xml:space="preserve"> </w:t>
      </w:r>
      <w:r w:rsidR="00D761DB">
        <w:rPr>
          <w:rFonts w:hint="eastAsia"/>
          <w:sz w:val="20"/>
          <w:szCs w:val="20"/>
        </w:rPr>
        <w:t xml:space="preserve">set </w:t>
      </w:r>
      <w:r w:rsidR="0098465B">
        <w:rPr>
          <w:sz w:val="20"/>
          <w:szCs w:val="20"/>
        </w:rPr>
        <w:t>(right panel)</w:t>
      </w:r>
      <w:r w:rsidR="0098465B" w:rsidRPr="00610BCC">
        <w:rPr>
          <w:sz w:val="20"/>
          <w:szCs w:val="20"/>
        </w:rPr>
        <w:t xml:space="preserve">. </w:t>
      </w:r>
      <w:r>
        <w:rPr>
          <w:sz w:val="20"/>
          <w:szCs w:val="20"/>
        </w:rPr>
        <w:t>E</w:t>
      </w:r>
      <w:r w:rsidR="0098465B" w:rsidRPr="00610BCC">
        <w:rPr>
          <w:sz w:val="20"/>
          <w:szCs w:val="20"/>
        </w:rPr>
        <w:t xml:space="preserve">) Plot highlighting only the 17 biomarkers with 97% or higher reproducibility in the volcano plot of the </w:t>
      </w:r>
      <w:r w:rsidR="00D761DB">
        <w:rPr>
          <w:rFonts w:hint="eastAsia"/>
          <w:sz w:val="20"/>
          <w:szCs w:val="20"/>
        </w:rPr>
        <w:t>discovery</w:t>
      </w:r>
      <w:r w:rsidR="0098465B" w:rsidRPr="00610BCC">
        <w:rPr>
          <w:sz w:val="20"/>
          <w:szCs w:val="20"/>
        </w:rPr>
        <w:t xml:space="preserve"> set. </w:t>
      </w:r>
      <w:r>
        <w:rPr>
          <w:sz w:val="20"/>
          <w:szCs w:val="20"/>
        </w:rPr>
        <w:t>F</w:t>
      </w:r>
      <w:r w:rsidR="0098465B" w:rsidRPr="00610BCC">
        <w:rPr>
          <w:sz w:val="20"/>
          <w:szCs w:val="20"/>
        </w:rPr>
        <w:t>) Plot displaying only the 17 biomarkers with 97% or higher reproducibility in the volcano plot of the validation set.</w:t>
      </w:r>
      <w:r w:rsidR="00BD308D">
        <w:rPr>
          <w:sz w:val="24"/>
          <w:szCs w:val="24"/>
        </w:rPr>
        <w:br w:type="page"/>
      </w:r>
    </w:p>
    <w:p w14:paraId="27D2FB81" w14:textId="37A9BD8C" w:rsidR="0098465B" w:rsidRPr="00610BCC" w:rsidRDefault="0055570F" w:rsidP="0055570F">
      <w:pPr>
        <w:spacing w:line="480" w:lineRule="auto"/>
        <w:jc w:val="center"/>
        <w:rPr>
          <w:sz w:val="24"/>
          <w:szCs w:val="24"/>
        </w:rPr>
      </w:pPr>
      <w:r w:rsidRPr="0055570F">
        <w:rPr>
          <w:sz w:val="24"/>
          <w:szCs w:val="24"/>
        </w:rPr>
        <w:lastRenderedPageBreak/>
        <w:drawing>
          <wp:inline distT="0" distB="0" distL="0" distR="0" wp14:anchorId="6EA7B798" wp14:editId="20581DF8">
            <wp:extent cx="5810358" cy="2804615"/>
            <wp:effectExtent l="0" t="0" r="0" b="0"/>
            <wp:docPr id="1144214964" name="Picture 1" descr="A graph of a mode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214964" name="Picture 1" descr="A graph of a model&#10;&#10;Description automatically generated with medium confidence"/>
                    <pic:cNvPicPr/>
                  </pic:nvPicPr>
                  <pic:blipFill>
                    <a:blip r:embed="rId7"/>
                    <a:stretch>
                      <a:fillRect/>
                    </a:stretch>
                  </pic:blipFill>
                  <pic:spPr>
                    <a:xfrm>
                      <a:off x="0" y="0"/>
                      <a:ext cx="5818261" cy="2808430"/>
                    </a:xfrm>
                    <a:prstGeom prst="rect">
                      <a:avLst/>
                    </a:prstGeom>
                  </pic:spPr>
                </pic:pic>
              </a:graphicData>
            </a:graphic>
          </wp:inline>
        </w:drawing>
      </w:r>
    </w:p>
    <w:p w14:paraId="41E46A6F" w14:textId="0F8BFBCB" w:rsidR="0055570F" w:rsidRDefault="0055570F" w:rsidP="00CF54BD">
      <w:pPr>
        <w:pStyle w:val="Heading2"/>
        <w:jc w:val="both"/>
      </w:pPr>
      <w:r w:rsidRPr="005504AB">
        <w:t>Fig</w:t>
      </w:r>
      <w:r>
        <w:t>.</w:t>
      </w:r>
      <w:r w:rsidRPr="005504AB">
        <w:t xml:space="preserve"> </w:t>
      </w:r>
      <w:r>
        <w:t>S</w:t>
      </w:r>
      <w:r>
        <w:rPr>
          <w:rFonts w:hint="eastAsia"/>
        </w:rPr>
        <w:t>2</w:t>
      </w:r>
      <w:r w:rsidRPr="005504AB">
        <w:t xml:space="preserve"> </w:t>
      </w:r>
      <w:r w:rsidR="001F76D8" w:rsidRPr="001F76D8">
        <w:t xml:space="preserve">The </w:t>
      </w:r>
      <w:r w:rsidR="001F76D8">
        <w:rPr>
          <w:rFonts w:hint="eastAsia"/>
        </w:rPr>
        <w:t>statistics</w:t>
      </w:r>
      <w:r w:rsidR="001F76D8" w:rsidRPr="001F76D8">
        <w:t xml:space="preserve"> of the 17 biomarkers </w:t>
      </w:r>
      <w:r w:rsidR="001F76D8">
        <w:t>to</w:t>
      </w:r>
      <w:r w:rsidR="001F76D8" w:rsidRPr="001F76D8">
        <w:t xml:space="preserve"> other confounder</w:t>
      </w:r>
      <w:r w:rsidR="001F76D8">
        <w:rPr>
          <w:rFonts w:hint="eastAsia"/>
        </w:rPr>
        <w:t>s</w:t>
      </w:r>
      <w:r w:rsidRPr="005504AB">
        <w:t xml:space="preserve">. </w:t>
      </w:r>
    </w:p>
    <w:p w14:paraId="640755C2" w14:textId="7DDC41E5" w:rsidR="0098465B" w:rsidRPr="00BD308D" w:rsidRDefault="00BD308D" w:rsidP="00CF54BD">
      <w:pPr>
        <w:spacing w:after="0" w:line="480" w:lineRule="auto"/>
        <w:jc w:val="both"/>
        <w:rPr>
          <w:sz w:val="20"/>
          <w:szCs w:val="20"/>
        </w:rPr>
      </w:pPr>
      <w:r w:rsidRPr="00BD308D">
        <w:rPr>
          <w:sz w:val="20"/>
          <w:szCs w:val="20"/>
        </w:rPr>
        <w:t>A) A scatter plot representing the false discovery rate (FDR) within the training set for each covariate adjustment</w:t>
      </w:r>
      <w:r>
        <w:rPr>
          <w:rFonts w:hint="eastAsia"/>
          <w:sz w:val="20"/>
          <w:szCs w:val="20"/>
        </w:rPr>
        <w:t xml:space="preserve"> </w:t>
      </w:r>
      <w:r>
        <w:rPr>
          <w:sz w:val="20"/>
          <w:szCs w:val="20"/>
        </w:rPr>
        <w:t>model</w:t>
      </w:r>
      <w:r w:rsidRPr="00BD308D">
        <w:rPr>
          <w:sz w:val="20"/>
          <w:szCs w:val="20"/>
        </w:rPr>
        <w:t xml:space="preserve">. Model 1 adjusts for Sex and Age, while Model 2 adjusts for Sex, Age, Current Smoking, and Current Alcohol </w:t>
      </w:r>
      <w:r w:rsidR="007F01B9">
        <w:rPr>
          <w:rFonts w:hint="eastAsia"/>
          <w:sz w:val="20"/>
          <w:szCs w:val="20"/>
        </w:rPr>
        <w:t>Consumption</w:t>
      </w:r>
      <w:r w:rsidRPr="00BD308D">
        <w:rPr>
          <w:sz w:val="20"/>
          <w:szCs w:val="20"/>
        </w:rPr>
        <w:t>. Among these, 17 markers with a reproducibility of 97% or higher are highlighted in red. The dashed line indicates the FDR &lt; 0.05 threshold.</w:t>
      </w:r>
      <w:r>
        <w:rPr>
          <w:rFonts w:hint="eastAsia"/>
          <w:sz w:val="20"/>
          <w:szCs w:val="20"/>
        </w:rPr>
        <w:t xml:space="preserve"> Reprod = Reproducibility; </w:t>
      </w:r>
      <w:r w:rsidRPr="00BD308D">
        <w:rPr>
          <w:sz w:val="20"/>
          <w:szCs w:val="20"/>
        </w:rPr>
        <w:t>B) A scatter plot showing the statistical relationship between the 17 CpG biomarkers and antidepressant usage within the anxiety disorder patient group. The x-axis represents methylation differences based on antidepressant use, and the y-axis represents FDR values adjusted using the Benjamini-Hochberg method for the p-values from Wilcoxon's rank-sum test. The dashed lines indicate the significance thresholds in this study.</w:t>
      </w:r>
      <w:r w:rsidR="0098465B" w:rsidRPr="00BD308D">
        <w:rPr>
          <w:sz w:val="20"/>
          <w:szCs w:val="20"/>
        </w:rPr>
        <w:br w:type="page"/>
      </w:r>
    </w:p>
    <w:p w14:paraId="0871E1C6" w14:textId="4071BFAE" w:rsidR="0098465B" w:rsidRPr="00610BCC" w:rsidRDefault="0022259F" w:rsidP="00A631DE">
      <w:pPr>
        <w:spacing w:line="480" w:lineRule="auto"/>
        <w:jc w:val="center"/>
        <w:rPr>
          <w:sz w:val="24"/>
          <w:szCs w:val="24"/>
        </w:rPr>
      </w:pPr>
      <w:r w:rsidRPr="0022259F">
        <w:rPr>
          <w:noProof/>
          <w:sz w:val="24"/>
          <w:szCs w:val="24"/>
        </w:rPr>
        <w:lastRenderedPageBreak/>
        <w:drawing>
          <wp:inline distT="0" distB="0" distL="0" distR="0" wp14:anchorId="66D34D93" wp14:editId="21FE93AB">
            <wp:extent cx="5020140" cy="5445457"/>
            <wp:effectExtent l="0" t="0" r="9525" b="3175"/>
            <wp:docPr id="782513053"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513053" name="Picture 1" descr="A screenshot of a graph&#10;&#10;Description automatically generated"/>
                    <pic:cNvPicPr/>
                  </pic:nvPicPr>
                  <pic:blipFill>
                    <a:blip r:embed="rId8"/>
                    <a:stretch>
                      <a:fillRect/>
                    </a:stretch>
                  </pic:blipFill>
                  <pic:spPr>
                    <a:xfrm>
                      <a:off x="0" y="0"/>
                      <a:ext cx="5028021" cy="5454005"/>
                    </a:xfrm>
                    <a:prstGeom prst="rect">
                      <a:avLst/>
                    </a:prstGeom>
                  </pic:spPr>
                </pic:pic>
              </a:graphicData>
            </a:graphic>
          </wp:inline>
        </w:drawing>
      </w:r>
    </w:p>
    <w:p w14:paraId="13EF2ACB" w14:textId="5C5CF8C0" w:rsidR="0098465B" w:rsidRPr="005504AB" w:rsidRDefault="0098465B" w:rsidP="0055570F">
      <w:pPr>
        <w:pStyle w:val="Heading2"/>
      </w:pPr>
      <w:bookmarkStart w:id="3" w:name="_Toc154148165"/>
      <w:r w:rsidRPr="005504AB">
        <w:t>Fig</w:t>
      </w:r>
      <w:r>
        <w:t>.</w:t>
      </w:r>
      <w:r w:rsidRPr="005504AB">
        <w:t xml:space="preserve"> </w:t>
      </w:r>
      <w:r>
        <w:t>S</w:t>
      </w:r>
      <w:r w:rsidR="00B028BA">
        <w:rPr>
          <w:rFonts w:hint="eastAsia"/>
        </w:rPr>
        <w:t>3</w:t>
      </w:r>
      <w:r w:rsidRPr="005504AB">
        <w:t xml:space="preserve"> Performance metrics for each anxiety disorder prediction model (XGBoost, MRS, Random Forest).</w:t>
      </w:r>
      <w:bookmarkEnd w:id="3"/>
      <w:r w:rsidRPr="005504AB">
        <w:t xml:space="preserve"> </w:t>
      </w:r>
    </w:p>
    <w:p w14:paraId="59497A9F" w14:textId="784732B2" w:rsidR="0098465B" w:rsidRPr="00610BCC" w:rsidRDefault="00D60051" w:rsidP="00A631DE">
      <w:pPr>
        <w:spacing w:line="480" w:lineRule="auto"/>
        <w:jc w:val="both"/>
        <w:rPr>
          <w:sz w:val="20"/>
          <w:szCs w:val="20"/>
        </w:rPr>
      </w:pPr>
      <w:r>
        <w:rPr>
          <w:sz w:val="20"/>
          <w:szCs w:val="20"/>
        </w:rPr>
        <w:t>A</w:t>
      </w:r>
      <w:r w:rsidR="0098465B" w:rsidRPr="00610BCC">
        <w:rPr>
          <w:sz w:val="20"/>
          <w:szCs w:val="20"/>
        </w:rPr>
        <w:t xml:space="preserve">) </w:t>
      </w:r>
      <w:r w:rsidR="0098465B">
        <w:rPr>
          <w:sz w:val="20"/>
          <w:szCs w:val="20"/>
        </w:rPr>
        <w:t>Precision-Recall (</w:t>
      </w:r>
      <w:r w:rsidR="0098465B" w:rsidRPr="00610BCC">
        <w:rPr>
          <w:sz w:val="20"/>
          <w:szCs w:val="20"/>
        </w:rPr>
        <w:t>PR</w:t>
      </w:r>
      <w:r w:rsidR="0098465B">
        <w:rPr>
          <w:sz w:val="20"/>
          <w:szCs w:val="20"/>
        </w:rPr>
        <w:t>)</w:t>
      </w:r>
      <w:r w:rsidR="0098465B" w:rsidRPr="00610BCC">
        <w:rPr>
          <w:sz w:val="20"/>
          <w:szCs w:val="20"/>
        </w:rPr>
        <w:t xml:space="preserve"> curves for the biomarker sets with the highest </w:t>
      </w:r>
      <w:r w:rsidR="00AB4A96">
        <w:rPr>
          <w:sz w:val="20"/>
          <w:szCs w:val="20"/>
        </w:rPr>
        <w:t>Area Under the Receiver Operating Characteristic curve (</w:t>
      </w:r>
      <w:r w:rsidR="0098465B" w:rsidRPr="00610BCC">
        <w:rPr>
          <w:sz w:val="20"/>
          <w:szCs w:val="20"/>
        </w:rPr>
        <w:t>AUROC</w:t>
      </w:r>
      <w:r w:rsidR="00AB4A96">
        <w:rPr>
          <w:sz w:val="20"/>
          <w:szCs w:val="20"/>
        </w:rPr>
        <w:t>)</w:t>
      </w:r>
      <w:r w:rsidR="0098465B" w:rsidRPr="00610BCC">
        <w:rPr>
          <w:sz w:val="20"/>
          <w:szCs w:val="20"/>
        </w:rPr>
        <w:t xml:space="preserve"> for each model type</w:t>
      </w:r>
      <w:r w:rsidR="0098465B">
        <w:rPr>
          <w:sz w:val="20"/>
          <w:szCs w:val="20"/>
        </w:rPr>
        <w:t xml:space="preserve"> </w:t>
      </w:r>
      <w:r w:rsidR="0098465B" w:rsidRPr="00016660">
        <w:rPr>
          <w:sz w:val="20"/>
          <w:szCs w:val="20"/>
        </w:rPr>
        <w:t>(XGBoost, Random Forest, MRS)</w:t>
      </w:r>
      <w:r w:rsidR="0098465B" w:rsidRPr="00610BCC">
        <w:rPr>
          <w:sz w:val="20"/>
          <w:szCs w:val="20"/>
        </w:rPr>
        <w:t>.</w:t>
      </w:r>
      <w:r w:rsidR="00B548E6">
        <w:rPr>
          <w:rFonts w:hint="eastAsia"/>
          <w:sz w:val="20"/>
          <w:szCs w:val="20"/>
        </w:rPr>
        <w:t xml:space="preserve"> </w:t>
      </w:r>
      <w:r w:rsidR="00B548E6" w:rsidRPr="00B548E6">
        <w:rPr>
          <w:sz w:val="20"/>
          <w:szCs w:val="20"/>
        </w:rPr>
        <w:t xml:space="preserve">The shaded regions indicate the 95% confidence intervals, while the legend displays the area under the ROC curve (AUC) </w:t>
      </w:r>
      <w:r w:rsidR="001F76D8">
        <w:rPr>
          <w:sz w:val="20"/>
          <w:szCs w:val="20"/>
        </w:rPr>
        <w:t>and</w:t>
      </w:r>
      <w:r w:rsidR="00B548E6" w:rsidRPr="00B548E6">
        <w:rPr>
          <w:sz w:val="20"/>
          <w:szCs w:val="20"/>
        </w:rPr>
        <w:t xml:space="preserve"> its corresponding 95% confidence intervals.</w:t>
      </w:r>
      <w:r w:rsidR="0098465B">
        <w:rPr>
          <w:sz w:val="20"/>
          <w:szCs w:val="20"/>
        </w:rPr>
        <w:t xml:space="preserve"> Reprod = Reproducibility;</w:t>
      </w:r>
      <w:r w:rsidR="0098465B" w:rsidRPr="00610BCC">
        <w:rPr>
          <w:sz w:val="20"/>
          <w:szCs w:val="20"/>
        </w:rPr>
        <w:t xml:space="preserve"> </w:t>
      </w:r>
      <w:r>
        <w:rPr>
          <w:sz w:val="20"/>
          <w:szCs w:val="20"/>
        </w:rPr>
        <w:t>B</w:t>
      </w:r>
      <w:r w:rsidR="0098465B" w:rsidRPr="00610BCC">
        <w:rPr>
          <w:sz w:val="20"/>
          <w:szCs w:val="20"/>
        </w:rPr>
        <w:t xml:space="preserve">) Boxplot depicting </w:t>
      </w:r>
      <w:r w:rsidR="001F76D8">
        <w:rPr>
          <w:sz w:val="20"/>
          <w:szCs w:val="20"/>
        </w:rPr>
        <w:t>each model type's Area Under the PR Curve (AUPRC) values</w:t>
      </w:r>
      <w:r w:rsidR="0098465B" w:rsidRPr="00610BCC">
        <w:rPr>
          <w:sz w:val="20"/>
          <w:szCs w:val="20"/>
        </w:rPr>
        <w:t>.</w:t>
      </w:r>
      <w:r w:rsidR="0098465B">
        <w:rPr>
          <w:sz w:val="20"/>
          <w:szCs w:val="20"/>
        </w:rPr>
        <w:t xml:space="preserve"> </w:t>
      </w:r>
      <w:r w:rsidR="0098465B" w:rsidRPr="00016401">
        <w:rPr>
          <w:sz w:val="20"/>
          <w:szCs w:val="20"/>
        </w:rPr>
        <w:t xml:space="preserve">Each dot represents the </w:t>
      </w:r>
      <w:r w:rsidR="001F76D8">
        <w:rPr>
          <w:sz w:val="20"/>
          <w:szCs w:val="20"/>
        </w:rPr>
        <w:t>model's performance</w:t>
      </w:r>
      <w:r w:rsidR="0098465B" w:rsidRPr="00016401">
        <w:rPr>
          <w:sz w:val="20"/>
          <w:szCs w:val="20"/>
        </w:rPr>
        <w:t xml:space="preserve"> for each of the five reproducibility thresholds</w:t>
      </w:r>
      <w:r w:rsidR="0098465B">
        <w:rPr>
          <w:sz w:val="20"/>
          <w:szCs w:val="20"/>
        </w:rPr>
        <w:t>.</w:t>
      </w:r>
      <w:r w:rsidR="0098465B" w:rsidRPr="00610BCC">
        <w:rPr>
          <w:sz w:val="20"/>
          <w:szCs w:val="20"/>
        </w:rPr>
        <w:t xml:space="preserve"> </w:t>
      </w:r>
      <w:r>
        <w:rPr>
          <w:sz w:val="20"/>
          <w:szCs w:val="20"/>
        </w:rPr>
        <w:t>C</w:t>
      </w:r>
      <w:r w:rsidR="0098465B" w:rsidRPr="00610BCC">
        <w:rPr>
          <w:sz w:val="20"/>
          <w:szCs w:val="20"/>
        </w:rPr>
        <w:t>) Barplot illustrating the standard deviation in performance (AUROC, AUPRC) across different biomarker sets for each model type</w:t>
      </w:r>
      <w:r w:rsidR="0098465B">
        <w:rPr>
          <w:sz w:val="20"/>
          <w:szCs w:val="20"/>
        </w:rPr>
        <w:t xml:space="preserve"> </w:t>
      </w:r>
      <w:r w:rsidR="0098465B" w:rsidRPr="00016660">
        <w:rPr>
          <w:sz w:val="20"/>
          <w:szCs w:val="20"/>
        </w:rPr>
        <w:t>(XGBoost, Random Forest, MRS)</w:t>
      </w:r>
      <w:r w:rsidR="0098465B" w:rsidRPr="00610BCC">
        <w:rPr>
          <w:sz w:val="20"/>
          <w:szCs w:val="20"/>
        </w:rPr>
        <w:t>.</w:t>
      </w:r>
    </w:p>
    <w:p w14:paraId="72F20D89" w14:textId="7414DE3C" w:rsidR="0098465B" w:rsidRPr="00610BCC" w:rsidRDefault="00DB47F5" w:rsidP="00A631DE">
      <w:pPr>
        <w:spacing w:line="480" w:lineRule="auto"/>
        <w:rPr>
          <w:sz w:val="24"/>
          <w:szCs w:val="24"/>
        </w:rPr>
      </w:pPr>
      <w:r>
        <w:rPr>
          <w:noProof/>
          <w:sz w:val="24"/>
          <w:szCs w:val="24"/>
        </w:rPr>
        <w:lastRenderedPageBreak/>
        <w:drawing>
          <wp:inline distT="0" distB="0" distL="0" distR="0" wp14:anchorId="60510B32" wp14:editId="38B432FD">
            <wp:extent cx="5943600" cy="4981575"/>
            <wp:effectExtent l="0" t="0" r="0" b="9525"/>
            <wp:docPr id="956193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981575"/>
                    </a:xfrm>
                    <a:prstGeom prst="rect">
                      <a:avLst/>
                    </a:prstGeom>
                    <a:noFill/>
                    <a:ln>
                      <a:noFill/>
                    </a:ln>
                  </pic:spPr>
                </pic:pic>
              </a:graphicData>
            </a:graphic>
          </wp:inline>
        </w:drawing>
      </w:r>
    </w:p>
    <w:p w14:paraId="4AFE3090" w14:textId="39C1BE16" w:rsidR="0098465B" w:rsidRPr="005504AB" w:rsidRDefault="0098465B" w:rsidP="0055570F">
      <w:pPr>
        <w:pStyle w:val="Heading2"/>
      </w:pPr>
      <w:bookmarkStart w:id="4" w:name="_Toc154148166"/>
      <w:r w:rsidRPr="005504AB">
        <w:t>Fig</w:t>
      </w:r>
      <w:r>
        <w:t>.</w:t>
      </w:r>
      <w:r w:rsidRPr="005504AB">
        <w:t xml:space="preserve"> </w:t>
      </w:r>
      <w:r>
        <w:t>S</w:t>
      </w:r>
      <w:r w:rsidR="00B028BA">
        <w:rPr>
          <w:rFonts w:hint="eastAsia"/>
        </w:rPr>
        <w:t>4</w:t>
      </w:r>
      <w:r w:rsidRPr="005504AB">
        <w:t xml:space="preserve"> DNA methylation value patterns for regions with two or more biomarkers within 100bp for each sample.</w:t>
      </w:r>
      <w:bookmarkEnd w:id="4"/>
    </w:p>
    <w:p w14:paraId="56D96C0E" w14:textId="305C7926" w:rsidR="0098465B" w:rsidRPr="00A631DE" w:rsidRDefault="0098465B" w:rsidP="00A631DE">
      <w:pPr>
        <w:widowControl w:val="0"/>
        <w:spacing w:line="480" w:lineRule="auto"/>
        <w:jc w:val="both"/>
        <w:rPr>
          <w:sz w:val="20"/>
          <w:szCs w:val="20"/>
        </w:rPr>
      </w:pPr>
      <w:r w:rsidRPr="00610BCC">
        <w:rPr>
          <w:sz w:val="20"/>
          <w:szCs w:val="20"/>
        </w:rPr>
        <w:t xml:space="preserve">The </w:t>
      </w:r>
      <w:r>
        <w:rPr>
          <w:sz w:val="20"/>
          <w:szCs w:val="20"/>
        </w:rPr>
        <w:t>green</w:t>
      </w:r>
      <w:r w:rsidRPr="00610BCC">
        <w:rPr>
          <w:sz w:val="20"/>
          <w:szCs w:val="20"/>
        </w:rPr>
        <w:t xml:space="preserve"> line represents healthy controls, the orange line represents anxiety disorder patients, with the bold line indicating the group's mean value and the faint line indicating values for each sample. The positions of designated CpG sites as biomarkers within the region are marked with star symbols. </w:t>
      </w:r>
      <w:r w:rsidR="009F72D0">
        <w:rPr>
          <w:sz w:val="20"/>
          <w:szCs w:val="20"/>
        </w:rPr>
        <w:t>A</w:t>
      </w:r>
      <w:r w:rsidRPr="00610BCC">
        <w:rPr>
          <w:sz w:val="20"/>
          <w:szCs w:val="20"/>
        </w:rPr>
        <w:t xml:space="preserve">) </w:t>
      </w:r>
      <w:r>
        <w:rPr>
          <w:sz w:val="20"/>
          <w:szCs w:val="20"/>
        </w:rPr>
        <w:t>C</w:t>
      </w:r>
      <w:r w:rsidRPr="00610BCC">
        <w:rPr>
          <w:sz w:val="20"/>
          <w:szCs w:val="20"/>
        </w:rPr>
        <w:t>hromosome 7: 197088</w:t>
      </w:r>
      <w:r>
        <w:rPr>
          <w:sz w:val="20"/>
          <w:szCs w:val="20"/>
        </w:rPr>
        <w:t>8</w:t>
      </w:r>
      <w:r w:rsidRPr="00610BCC">
        <w:rPr>
          <w:sz w:val="20"/>
          <w:szCs w:val="20"/>
        </w:rPr>
        <w:t xml:space="preserve">1 ~ 19709090. </w:t>
      </w:r>
      <w:r w:rsidR="009F72D0">
        <w:rPr>
          <w:sz w:val="20"/>
          <w:szCs w:val="20"/>
        </w:rPr>
        <w:t>B</w:t>
      </w:r>
      <w:r w:rsidRPr="00610BCC">
        <w:rPr>
          <w:sz w:val="20"/>
          <w:szCs w:val="20"/>
        </w:rPr>
        <w:t xml:space="preserve">) </w:t>
      </w:r>
      <w:r>
        <w:rPr>
          <w:sz w:val="20"/>
          <w:szCs w:val="20"/>
        </w:rPr>
        <w:t>C</w:t>
      </w:r>
      <w:r w:rsidRPr="00610BCC">
        <w:rPr>
          <w:sz w:val="20"/>
          <w:szCs w:val="20"/>
        </w:rPr>
        <w:t xml:space="preserve">hromosome 16: 30610179 ~ 30610388. </w:t>
      </w:r>
      <w:r w:rsidR="009F72D0">
        <w:rPr>
          <w:sz w:val="20"/>
          <w:szCs w:val="20"/>
        </w:rPr>
        <w:t>C</w:t>
      </w:r>
      <w:r w:rsidRPr="00610BCC">
        <w:rPr>
          <w:sz w:val="20"/>
          <w:szCs w:val="20"/>
        </w:rPr>
        <w:t xml:space="preserve">) </w:t>
      </w:r>
      <w:r>
        <w:rPr>
          <w:sz w:val="20"/>
          <w:szCs w:val="20"/>
        </w:rPr>
        <w:t>C</w:t>
      </w:r>
      <w:r w:rsidRPr="00610BCC">
        <w:rPr>
          <w:sz w:val="20"/>
          <w:szCs w:val="20"/>
        </w:rPr>
        <w:t xml:space="preserve">hromosome 17: 30379502 ~ 30379714. </w:t>
      </w:r>
      <w:r w:rsidR="009F72D0">
        <w:rPr>
          <w:sz w:val="20"/>
          <w:szCs w:val="20"/>
        </w:rPr>
        <w:t>D</w:t>
      </w:r>
      <w:r w:rsidRPr="00610BCC">
        <w:rPr>
          <w:sz w:val="20"/>
          <w:szCs w:val="20"/>
        </w:rPr>
        <w:t xml:space="preserve">) </w:t>
      </w:r>
      <w:r>
        <w:rPr>
          <w:sz w:val="20"/>
          <w:szCs w:val="20"/>
        </w:rPr>
        <w:t>C</w:t>
      </w:r>
      <w:r w:rsidRPr="00610BCC">
        <w:rPr>
          <w:sz w:val="20"/>
          <w:szCs w:val="20"/>
        </w:rPr>
        <w:t>hromosome 17: 38297034 ~ 38297237</w:t>
      </w:r>
    </w:p>
    <w:p w14:paraId="6E134B3F" w14:textId="69A83FDB" w:rsidR="0098465B" w:rsidRPr="00610BCC" w:rsidRDefault="00DB47F5" w:rsidP="00A631DE">
      <w:pPr>
        <w:spacing w:line="480" w:lineRule="auto"/>
        <w:rPr>
          <w:sz w:val="20"/>
          <w:szCs w:val="20"/>
        </w:rPr>
      </w:pPr>
      <w:r>
        <w:rPr>
          <w:noProof/>
          <w:sz w:val="20"/>
          <w:szCs w:val="20"/>
        </w:rPr>
        <w:lastRenderedPageBreak/>
        <w:drawing>
          <wp:inline distT="0" distB="0" distL="0" distR="0" wp14:anchorId="08A3B765" wp14:editId="2F9E5ED1">
            <wp:extent cx="5766435" cy="8052435"/>
            <wp:effectExtent l="0" t="0" r="5715" b="5715"/>
            <wp:docPr id="13767729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6435" cy="8052435"/>
                    </a:xfrm>
                    <a:prstGeom prst="rect">
                      <a:avLst/>
                    </a:prstGeom>
                    <a:noFill/>
                    <a:ln>
                      <a:noFill/>
                    </a:ln>
                  </pic:spPr>
                </pic:pic>
              </a:graphicData>
            </a:graphic>
          </wp:inline>
        </w:drawing>
      </w:r>
    </w:p>
    <w:p w14:paraId="753A9AE2" w14:textId="596FF6FC" w:rsidR="0098465B" w:rsidRPr="005504AB" w:rsidRDefault="0098465B" w:rsidP="0055570F">
      <w:pPr>
        <w:pStyle w:val="Heading2"/>
      </w:pPr>
      <w:bookmarkStart w:id="5" w:name="_Toc154148167"/>
      <w:r w:rsidRPr="005504AB">
        <w:lastRenderedPageBreak/>
        <w:t>Fig</w:t>
      </w:r>
      <w:r>
        <w:t>. S</w:t>
      </w:r>
      <w:r w:rsidR="00B028BA">
        <w:rPr>
          <w:rFonts w:hint="eastAsia"/>
        </w:rPr>
        <w:t>5</w:t>
      </w:r>
      <w:r w:rsidRPr="005504AB">
        <w:t xml:space="preserve"> Boxplot showing the statistical significance of the </w:t>
      </w:r>
      <w:r w:rsidR="001F76D8">
        <w:t>methylation percentages</w:t>
      </w:r>
      <w:r w:rsidRPr="005504AB">
        <w:t xml:space="preserve"> for specific types of disorders among the 17 biomarkers exhibiting over 97% reproducibility.</w:t>
      </w:r>
      <w:bookmarkEnd w:id="5"/>
    </w:p>
    <w:p w14:paraId="40A38328" w14:textId="24432414" w:rsidR="00626023" w:rsidRDefault="0098465B" w:rsidP="00A631DE">
      <w:pPr>
        <w:spacing w:line="480" w:lineRule="auto"/>
        <w:jc w:val="both"/>
        <w:rPr>
          <w:sz w:val="20"/>
          <w:szCs w:val="20"/>
        </w:rPr>
      </w:pPr>
      <w:r w:rsidRPr="00F476A0">
        <w:rPr>
          <w:sz w:val="20"/>
          <w:szCs w:val="20"/>
        </w:rPr>
        <w:t>The boxplot illustrates the methylation values of samples</w:t>
      </w:r>
      <w:r>
        <w:rPr>
          <w:sz w:val="20"/>
          <w:szCs w:val="20"/>
        </w:rPr>
        <w:t xml:space="preserve"> for each biomarker </w:t>
      </w:r>
      <w:r w:rsidRPr="00F476A0">
        <w:rPr>
          <w:sz w:val="20"/>
          <w:szCs w:val="20"/>
        </w:rPr>
        <w:t>across different types of anxiety disorders. The position of each biomarker is indicated in the plot title, with significance levels denoted for differences between disease types.</w:t>
      </w:r>
      <w:r w:rsidRPr="0094570A">
        <w:rPr>
          <w:sz w:val="20"/>
          <w:szCs w:val="20"/>
        </w:rPr>
        <w:t xml:space="preserve"> </w:t>
      </w:r>
      <w:r>
        <w:rPr>
          <w:sz w:val="20"/>
          <w:szCs w:val="20"/>
        </w:rPr>
        <w:t>PD = Panic Disorder; SAD = Social Anxiety Disorder; GAD = Generalized Anxiety Disorder; HC = Healthy Control;</w:t>
      </w:r>
      <w:r w:rsidRPr="00F476A0">
        <w:rPr>
          <w:sz w:val="20"/>
          <w:szCs w:val="20"/>
        </w:rPr>
        <w:t xml:space="preserve"> </w:t>
      </w:r>
      <w:r w:rsidR="00652AF3">
        <w:rPr>
          <w:sz w:val="20"/>
          <w:szCs w:val="20"/>
        </w:rPr>
        <w:t>A</w:t>
      </w:r>
      <w:r w:rsidRPr="00610BCC">
        <w:rPr>
          <w:sz w:val="20"/>
          <w:szCs w:val="20"/>
        </w:rPr>
        <w:t xml:space="preserve">) chr1:45339798. </w:t>
      </w:r>
      <w:r w:rsidR="00652AF3">
        <w:rPr>
          <w:sz w:val="20"/>
          <w:szCs w:val="20"/>
        </w:rPr>
        <w:t>B)</w:t>
      </w:r>
      <w:r w:rsidRPr="00610BCC">
        <w:rPr>
          <w:sz w:val="20"/>
          <w:szCs w:val="20"/>
        </w:rPr>
        <w:t xml:space="preserve"> chr7:19708981. </w:t>
      </w:r>
      <w:r w:rsidR="00652AF3">
        <w:rPr>
          <w:sz w:val="20"/>
          <w:szCs w:val="20"/>
        </w:rPr>
        <w:t>C</w:t>
      </w:r>
      <w:r w:rsidRPr="00610BCC">
        <w:rPr>
          <w:sz w:val="20"/>
          <w:szCs w:val="20"/>
        </w:rPr>
        <w:t xml:space="preserve">) chr7:19708988. </w:t>
      </w:r>
      <w:r w:rsidR="00652AF3">
        <w:rPr>
          <w:sz w:val="20"/>
          <w:szCs w:val="20"/>
        </w:rPr>
        <w:t>D</w:t>
      </w:r>
      <w:r w:rsidRPr="00610BCC">
        <w:rPr>
          <w:sz w:val="20"/>
          <w:szCs w:val="20"/>
        </w:rPr>
        <w:t xml:space="preserve">) chr7:19708990. </w:t>
      </w:r>
      <w:r w:rsidR="00652AF3">
        <w:rPr>
          <w:sz w:val="20"/>
          <w:szCs w:val="20"/>
        </w:rPr>
        <w:t>E</w:t>
      </w:r>
      <w:r w:rsidRPr="00610BCC">
        <w:rPr>
          <w:sz w:val="20"/>
          <w:szCs w:val="20"/>
        </w:rPr>
        <w:t xml:space="preserve">) chr10:632863. </w:t>
      </w:r>
      <w:r w:rsidR="00652AF3">
        <w:rPr>
          <w:sz w:val="20"/>
          <w:szCs w:val="20"/>
        </w:rPr>
        <w:t>F</w:t>
      </w:r>
      <w:r w:rsidRPr="00610BCC">
        <w:rPr>
          <w:sz w:val="20"/>
          <w:szCs w:val="20"/>
        </w:rPr>
        <w:t xml:space="preserve">) chr10:119892349. </w:t>
      </w:r>
      <w:r w:rsidR="00652AF3">
        <w:rPr>
          <w:sz w:val="20"/>
          <w:szCs w:val="20"/>
        </w:rPr>
        <w:t>G</w:t>
      </w:r>
      <w:r w:rsidRPr="00610BCC">
        <w:rPr>
          <w:sz w:val="20"/>
          <w:szCs w:val="20"/>
        </w:rPr>
        <w:t xml:space="preserve">) chr10:132767837. </w:t>
      </w:r>
      <w:r w:rsidR="00652AF3">
        <w:rPr>
          <w:sz w:val="20"/>
          <w:szCs w:val="20"/>
        </w:rPr>
        <w:t>H</w:t>
      </w:r>
      <w:r w:rsidRPr="00610BCC">
        <w:rPr>
          <w:sz w:val="20"/>
          <w:szCs w:val="20"/>
        </w:rPr>
        <w:t xml:space="preserve">) chr11:64304843. </w:t>
      </w:r>
      <w:r w:rsidR="00652AF3">
        <w:rPr>
          <w:sz w:val="20"/>
          <w:szCs w:val="20"/>
        </w:rPr>
        <w:t>I</w:t>
      </w:r>
      <w:r w:rsidRPr="00610BCC">
        <w:rPr>
          <w:sz w:val="20"/>
          <w:szCs w:val="20"/>
        </w:rPr>
        <w:t xml:space="preserve">) chr18:46104880. </w:t>
      </w:r>
      <w:r w:rsidR="00652AF3">
        <w:rPr>
          <w:sz w:val="20"/>
          <w:szCs w:val="20"/>
        </w:rPr>
        <w:t>J</w:t>
      </w:r>
      <w:r w:rsidRPr="00610BCC">
        <w:rPr>
          <w:sz w:val="20"/>
          <w:szCs w:val="20"/>
        </w:rPr>
        <w:t xml:space="preserve">) chr16:30610279. </w:t>
      </w:r>
      <w:r w:rsidR="00652AF3">
        <w:rPr>
          <w:sz w:val="20"/>
          <w:szCs w:val="20"/>
        </w:rPr>
        <w:t>K</w:t>
      </w:r>
      <w:r w:rsidRPr="00610BCC">
        <w:rPr>
          <w:sz w:val="20"/>
          <w:szCs w:val="20"/>
        </w:rPr>
        <w:t xml:space="preserve">) chr16:30610288. </w:t>
      </w:r>
      <w:r w:rsidR="00652AF3">
        <w:rPr>
          <w:sz w:val="20"/>
          <w:szCs w:val="20"/>
        </w:rPr>
        <w:t>L</w:t>
      </w:r>
      <w:r w:rsidRPr="00610BCC">
        <w:rPr>
          <w:sz w:val="20"/>
          <w:szCs w:val="20"/>
        </w:rPr>
        <w:t xml:space="preserve">) chr17:38297134. </w:t>
      </w:r>
      <w:r w:rsidR="00652AF3">
        <w:rPr>
          <w:sz w:val="20"/>
          <w:szCs w:val="20"/>
        </w:rPr>
        <w:t>M</w:t>
      </w:r>
      <w:r w:rsidRPr="00610BCC">
        <w:rPr>
          <w:sz w:val="20"/>
          <w:szCs w:val="20"/>
        </w:rPr>
        <w:t xml:space="preserve">) chr17:38297137. </w:t>
      </w:r>
      <w:r w:rsidR="00652AF3">
        <w:rPr>
          <w:sz w:val="20"/>
          <w:szCs w:val="20"/>
        </w:rPr>
        <w:t>N</w:t>
      </w:r>
      <w:r w:rsidRPr="00610BCC">
        <w:rPr>
          <w:sz w:val="20"/>
          <w:szCs w:val="20"/>
        </w:rPr>
        <w:t xml:space="preserve">) chr17:30379602. </w:t>
      </w:r>
      <w:r w:rsidR="00652AF3">
        <w:rPr>
          <w:sz w:val="20"/>
          <w:szCs w:val="20"/>
        </w:rPr>
        <w:t>O</w:t>
      </w:r>
      <w:r w:rsidRPr="00610BCC">
        <w:rPr>
          <w:sz w:val="20"/>
          <w:szCs w:val="20"/>
        </w:rPr>
        <w:t xml:space="preserve">) chr17:30379604. </w:t>
      </w:r>
      <w:r w:rsidR="00652AF3">
        <w:rPr>
          <w:sz w:val="20"/>
          <w:szCs w:val="20"/>
        </w:rPr>
        <w:t>P</w:t>
      </w:r>
      <w:r w:rsidRPr="00610BCC">
        <w:rPr>
          <w:sz w:val="20"/>
          <w:szCs w:val="20"/>
        </w:rPr>
        <w:t xml:space="preserve">) chr17:30379614. </w:t>
      </w:r>
      <w:r w:rsidR="00652AF3">
        <w:rPr>
          <w:sz w:val="20"/>
          <w:szCs w:val="20"/>
        </w:rPr>
        <w:t>Q</w:t>
      </w:r>
      <w:r w:rsidRPr="00610BCC">
        <w:rPr>
          <w:sz w:val="20"/>
          <w:szCs w:val="20"/>
        </w:rPr>
        <w:t>) chrX:2583990.</w:t>
      </w:r>
      <w:r>
        <w:rPr>
          <w:sz w:val="20"/>
          <w:szCs w:val="20"/>
        </w:rPr>
        <w:t xml:space="preserve"> </w:t>
      </w:r>
      <w:r w:rsidRPr="00381D9A">
        <w:rPr>
          <w:rFonts w:hint="eastAsia"/>
          <w:sz w:val="20"/>
          <w:szCs w:val="20"/>
        </w:rPr>
        <w:t>ns: 5.00</w:t>
      </w:r>
      <w:r w:rsidRPr="00381D9A">
        <w:rPr>
          <w:rFonts w:hint="eastAsia"/>
          <w:sz w:val="20"/>
          <w:szCs w:val="20"/>
        </w:rPr>
        <w:t>×</w:t>
      </w:r>
      <w:r w:rsidRPr="00381D9A">
        <w:rPr>
          <w:rFonts w:hint="eastAsia"/>
          <w:sz w:val="20"/>
          <w:szCs w:val="20"/>
        </w:rPr>
        <w:t>10</w:t>
      </w:r>
      <w:r w:rsidRPr="00610BCC">
        <w:rPr>
          <w:rFonts w:hint="eastAsia"/>
          <w:sz w:val="20"/>
          <w:szCs w:val="20"/>
          <w:vertAlign w:val="superscript"/>
        </w:rPr>
        <w:t>-2</w:t>
      </w:r>
      <w:r w:rsidRPr="00381D9A">
        <w:rPr>
          <w:rFonts w:hint="eastAsia"/>
          <w:sz w:val="20"/>
          <w:szCs w:val="20"/>
        </w:rPr>
        <w:t xml:space="preserve"> &lt; </w:t>
      </w:r>
      <w:r w:rsidRPr="0044134B">
        <w:rPr>
          <w:rFonts w:hint="eastAsia"/>
          <w:i/>
          <w:sz w:val="20"/>
          <w:szCs w:val="20"/>
        </w:rPr>
        <w:t>p</w:t>
      </w:r>
      <w:r w:rsidRPr="00381D9A">
        <w:rPr>
          <w:rFonts w:hint="eastAsia"/>
          <w:sz w:val="20"/>
          <w:szCs w:val="20"/>
        </w:rPr>
        <w:t xml:space="preserve"> </w:t>
      </w:r>
      <w:r w:rsidRPr="00381D9A">
        <w:rPr>
          <w:rFonts w:hint="eastAsia"/>
          <w:sz w:val="20"/>
          <w:szCs w:val="20"/>
        </w:rPr>
        <w:t>≤</w:t>
      </w:r>
      <w:r w:rsidRPr="00381D9A">
        <w:rPr>
          <w:rFonts w:hint="eastAsia"/>
          <w:sz w:val="20"/>
          <w:szCs w:val="20"/>
        </w:rPr>
        <w:t xml:space="preserve"> 1.00</w:t>
      </w:r>
      <w:r w:rsidRPr="00381D9A">
        <w:rPr>
          <w:rFonts w:hint="eastAsia"/>
          <w:sz w:val="20"/>
          <w:szCs w:val="20"/>
        </w:rPr>
        <w:t>×</w:t>
      </w:r>
      <w:r w:rsidRPr="00381D9A">
        <w:rPr>
          <w:rFonts w:hint="eastAsia"/>
          <w:sz w:val="20"/>
          <w:szCs w:val="20"/>
        </w:rPr>
        <w:t>10</w:t>
      </w:r>
      <w:r w:rsidRPr="00610BCC">
        <w:rPr>
          <w:rFonts w:hint="eastAsia"/>
          <w:sz w:val="20"/>
          <w:szCs w:val="20"/>
          <w:vertAlign w:val="superscript"/>
        </w:rPr>
        <w:t>0</w:t>
      </w:r>
      <w:r w:rsidRPr="00381D9A">
        <w:rPr>
          <w:rFonts w:hint="eastAsia"/>
          <w:sz w:val="20"/>
          <w:szCs w:val="20"/>
        </w:rPr>
        <w:t>; *: 1.00</w:t>
      </w:r>
      <w:r w:rsidRPr="00381D9A">
        <w:rPr>
          <w:rFonts w:hint="eastAsia"/>
          <w:sz w:val="20"/>
          <w:szCs w:val="20"/>
        </w:rPr>
        <w:t>×</w:t>
      </w:r>
      <w:r w:rsidRPr="00381D9A">
        <w:rPr>
          <w:rFonts w:hint="eastAsia"/>
          <w:sz w:val="20"/>
          <w:szCs w:val="20"/>
        </w:rPr>
        <w:t>10</w:t>
      </w:r>
      <w:r w:rsidRPr="00610BCC">
        <w:rPr>
          <w:rFonts w:hint="eastAsia"/>
          <w:sz w:val="20"/>
          <w:szCs w:val="20"/>
          <w:vertAlign w:val="superscript"/>
        </w:rPr>
        <w:t>-2</w:t>
      </w:r>
      <w:r w:rsidRPr="00381D9A">
        <w:rPr>
          <w:rFonts w:hint="eastAsia"/>
          <w:sz w:val="20"/>
          <w:szCs w:val="20"/>
        </w:rPr>
        <w:t xml:space="preserve"> &lt; </w:t>
      </w:r>
      <w:r w:rsidRPr="0044134B">
        <w:rPr>
          <w:rFonts w:hint="eastAsia"/>
          <w:i/>
          <w:sz w:val="20"/>
          <w:szCs w:val="20"/>
        </w:rPr>
        <w:t>p</w:t>
      </w:r>
      <w:r w:rsidRPr="00381D9A">
        <w:rPr>
          <w:rFonts w:hint="eastAsia"/>
          <w:sz w:val="20"/>
          <w:szCs w:val="20"/>
        </w:rPr>
        <w:t xml:space="preserve"> </w:t>
      </w:r>
      <w:r w:rsidRPr="00381D9A">
        <w:rPr>
          <w:rFonts w:hint="eastAsia"/>
          <w:sz w:val="20"/>
          <w:szCs w:val="20"/>
        </w:rPr>
        <w:t>≤</w:t>
      </w:r>
      <w:r w:rsidRPr="00381D9A">
        <w:rPr>
          <w:rFonts w:hint="eastAsia"/>
          <w:sz w:val="20"/>
          <w:szCs w:val="20"/>
        </w:rPr>
        <w:t xml:space="preserve"> 5.00</w:t>
      </w:r>
      <w:r w:rsidRPr="00381D9A">
        <w:rPr>
          <w:rFonts w:hint="eastAsia"/>
          <w:sz w:val="20"/>
          <w:szCs w:val="20"/>
        </w:rPr>
        <w:t>×</w:t>
      </w:r>
      <w:r w:rsidRPr="00381D9A">
        <w:rPr>
          <w:rFonts w:hint="eastAsia"/>
          <w:sz w:val="20"/>
          <w:szCs w:val="20"/>
        </w:rPr>
        <w:t>10</w:t>
      </w:r>
      <w:r w:rsidRPr="00610BCC">
        <w:rPr>
          <w:rFonts w:hint="eastAsia"/>
          <w:sz w:val="20"/>
          <w:szCs w:val="20"/>
          <w:vertAlign w:val="superscript"/>
        </w:rPr>
        <w:t>-2</w:t>
      </w:r>
      <w:r w:rsidRPr="00381D9A">
        <w:rPr>
          <w:rFonts w:hint="eastAsia"/>
          <w:sz w:val="20"/>
          <w:szCs w:val="20"/>
        </w:rPr>
        <w:t xml:space="preserve"> ; **: 1.00</w:t>
      </w:r>
      <w:r w:rsidRPr="00381D9A">
        <w:rPr>
          <w:rFonts w:hint="eastAsia"/>
          <w:sz w:val="20"/>
          <w:szCs w:val="20"/>
        </w:rPr>
        <w:t>×</w:t>
      </w:r>
      <w:r w:rsidRPr="00381D9A">
        <w:rPr>
          <w:rFonts w:hint="eastAsia"/>
          <w:sz w:val="20"/>
          <w:szCs w:val="20"/>
        </w:rPr>
        <w:t>10</w:t>
      </w:r>
      <w:r w:rsidRPr="00610BCC">
        <w:rPr>
          <w:rFonts w:hint="eastAsia"/>
          <w:sz w:val="20"/>
          <w:szCs w:val="20"/>
          <w:vertAlign w:val="superscript"/>
        </w:rPr>
        <w:t>-3</w:t>
      </w:r>
      <w:r w:rsidRPr="00381D9A">
        <w:rPr>
          <w:rFonts w:hint="eastAsia"/>
          <w:sz w:val="20"/>
          <w:szCs w:val="20"/>
        </w:rPr>
        <w:t xml:space="preserve"> &lt; </w:t>
      </w:r>
      <w:r w:rsidRPr="0044134B">
        <w:rPr>
          <w:rFonts w:hint="eastAsia"/>
          <w:i/>
          <w:sz w:val="20"/>
          <w:szCs w:val="20"/>
        </w:rPr>
        <w:t>p</w:t>
      </w:r>
      <w:r w:rsidRPr="00381D9A">
        <w:rPr>
          <w:rFonts w:hint="eastAsia"/>
          <w:sz w:val="20"/>
          <w:szCs w:val="20"/>
        </w:rPr>
        <w:t xml:space="preserve"> </w:t>
      </w:r>
      <w:r w:rsidRPr="00381D9A">
        <w:rPr>
          <w:rFonts w:hint="eastAsia"/>
          <w:sz w:val="20"/>
          <w:szCs w:val="20"/>
        </w:rPr>
        <w:t>≤</w:t>
      </w:r>
      <w:r w:rsidRPr="00381D9A">
        <w:rPr>
          <w:rFonts w:hint="eastAsia"/>
          <w:sz w:val="20"/>
          <w:szCs w:val="20"/>
        </w:rPr>
        <w:t xml:space="preserve"> 1.00</w:t>
      </w:r>
      <w:r w:rsidRPr="00381D9A">
        <w:rPr>
          <w:rFonts w:hint="eastAsia"/>
          <w:sz w:val="20"/>
          <w:szCs w:val="20"/>
        </w:rPr>
        <w:t>×</w:t>
      </w:r>
      <w:r w:rsidRPr="00381D9A">
        <w:rPr>
          <w:rFonts w:hint="eastAsia"/>
          <w:sz w:val="20"/>
          <w:szCs w:val="20"/>
        </w:rPr>
        <w:t>10</w:t>
      </w:r>
      <w:r w:rsidRPr="00610BCC">
        <w:rPr>
          <w:rFonts w:hint="eastAsia"/>
          <w:sz w:val="20"/>
          <w:szCs w:val="20"/>
          <w:vertAlign w:val="superscript"/>
        </w:rPr>
        <w:t>-2</w:t>
      </w:r>
      <w:r w:rsidRPr="00381D9A">
        <w:rPr>
          <w:rFonts w:hint="eastAsia"/>
          <w:sz w:val="20"/>
          <w:szCs w:val="20"/>
        </w:rPr>
        <w:t xml:space="preserve"> ; ***: 1.00</w:t>
      </w:r>
      <w:r w:rsidRPr="00381D9A">
        <w:rPr>
          <w:rFonts w:hint="eastAsia"/>
          <w:sz w:val="20"/>
          <w:szCs w:val="20"/>
        </w:rPr>
        <w:t>×</w:t>
      </w:r>
      <w:r w:rsidRPr="00381D9A">
        <w:rPr>
          <w:rFonts w:hint="eastAsia"/>
          <w:sz w:val="20"/>
          <w:szCs w:val="20"/>
        </w:rPr>
        <w:t>10</w:t>
      </w:r>
      <w:r w:rsidRPr="00610BCC">
        <w:rPr>
          <w:rFonts w:hint="eastAsia"/>
          <w:sz w:val="20"/>
          <w:szCs w:val="20"/>
          <w:vertAlign w:val="superscript"/>
        </w:rPr>
        <w:t>-4</w:t>
      </w:r>
      <w:r w:rsidRPr="00381D9A">
        <w:rPr>
          <w:rFonts w:hint="eastAsia"/>
          <w:sz w:val="20"/>
          <w:szCs w:val="20"/>
        </w:rPr>
        <w:t xml:space="preserve"> &lt; </w:t>
      </w:r>
      <w:r w:rsidRPr="0044134B">
        <w:rPr>
          <w:rFonts w:hint="eastAsia"/>
          <w:i/>
          <w:sz w:val="20"/>
          <w:szCs w:val="20"/>
        </w:rPr>
        <w:t>p</w:t>
      </w:r>
      <w:r w:rsidRPr="00381D9A">
        <w:rPr>
          <w:rFonts w:hint="eastAsia"/>
          <w:sz w:val="20"/>
          <w:szCs w:val="20"/>
        </w:rPr>
        <w:t xml:space="preserve"> </w:t>
      </w:r>
      <w:r w:rsidRPr="00381D9A">
        <w:rPr>
          <w:rFonts w:hint="eastAsia"/>
          <w:sz w:val="20"/>
          <w:szCs w:val="20"/>
        </w:rPr>
        <w:t>≤</w:t>
      </w:r>
      <w:r w:rsidRPr="00381D9A">
        <w:rPr>
          <w:rFonts w:hint="eastAsia"/>
          <w:sz w:val="20"/>
          <w:szCs w:val="20"/>
        </w:rPr>
        <w:t xml:space="preserve"> 1.00</w:t>
      </w:r>
      <w:r w:rsidRPr="00381D9A">
        <w:rPr>
          <w:rFonts w:hint="eastAsia"/>
          <w:sz w:val="20"/>
          <w:szCs w:val="20"/>
        </w:rPr>
        <w:t>×</w:t>
      </w:r>
      <w:r w:rsidRPr="00381D9A">
        <w:rPr>
          <w:rFonts w:hint="eastAsia"/>
          <w:sz w:val="20"/>
          <w:szCs w:val="20"/>
        </w:rPr>
        <w:t>10</w:t>
      </w:r>
      <w:r w:rsidRPr="00610BCC">
        <w:rPr>
          <w:rFonts w:hint="eastAsia"/>
          <w:sz w:val="20"/>
          <w:szCs w:val="20"/>
          <w:vertAlign w:val="superscript"/>
        </w:rPr>
        <w:t>-3</w:t>
      </w:r>
      <w:r w:rsidRPr="00381D9A">
        <w:rPr>
          <w:rFonts w:hint="eastAsia"/>
          <w:sz w:val="20"/>
          <w:szCs w:val="20"/>
        </w:rPr>
        <w:t xml:space="preserve"> ; ****: </w:t>
      </w:r>
      <w:r w:rsidRPr="0044134B">
        <w:rPr>
          <w:rFonts w:hint="eastAsia"/>
          <w:i/>
          <w:sz w:val="20"/>
          <w:szCs w:val="20"/>
        </w:rPr>
        <w:t>p</w:t>
      </w:r>
      <w:r w:rsidRPr="00381D9A">
        <w:rPr>
          <w:rFonts w:hint="eastAsia"/>
          <w:sz w:val="20"/>
          <w:szCs w:val="20"/>
        </w:rPr>
        <w:t xml:space="preserve"> </w:t>
      </w:r>
      <w:r w:rsidRPr="00381D9A">
        <w:rPr>
          <w:rFonts w:hint="eastAsia"/>
          <w:sz w:val="20"/>
          <w:szCs w:val="20"/>
        </w:rPr>
        <w:t>≤</w:t>
      </w:r>
      <w:r w:rsidRPr="00381D9A">
        <w:rPr>
          <w:rFonts w:hint="eastAsia"/>
          <w:sz w:val="20"/>
          <w:szCs w:val="20"/>
        </w:rPr>
        <w:t xml:space="preserve"> 1.00</w:t>
      </w:r>
      <w:r w:rsidRPr="00381D9A">
        <w:rPr>
          <w:rFonts w:hint="eastAsia"/>
          <w:sz w:val="20"/>
          <w:szCs w:val="20"/>
        </w:rPr>
        <w:t>×</w:t>
      </w:r>
      <w:r w:rsidRPr="00381D9A">
        <w:rPr>
          <w:rFonts w:hint="eastAsia"/>
          <w:sz w:val="20"/>
          <w:szCs w:val="20"/>
        </w:rPr>
        <w:t>10</w:t>
      </w:r>
      <w:r w:rsidRPr="00610BCC">
        <w:rPr>
          <w:rFonts w:hint="eastAsia"/>
          <w:sz w:val="20"/>
          <w:szCs w:val="20"/>
          <w:vertAlign w:val="superscript"/>
        </w:rPr>
        <w:t>-4</w:t>
      </w:r>
      <w:r w:rsidRPr="00381D9A">
        <w:rPr>
          <w:rFonts w:hint="eastAsia"/>
          <w:sz w:val="20"/>
          <w:szCs w:val="20"/>
        </w:rPr>
        <w:t xml:space="preserve"> ; Mann-Whitney-Wilcoxon test</w:t>
      </w:r>
    </w:p>
    <w:p w14:paraId="50BD90B0" w14:textId="6B00573D" w:rsidR="002212A5" w:rsidRPr="002212A5" w:rsidRDefault="002212A5" w:rsidP="008E45E7">
      <w:pPr>
        <w:rPr>
          <w:sz w:val="20"/>
          <w:szCs w:val="20"/>
        </w:rPr>
      </w:pPr>
    </w:p>
    <w:sectPr w:rsidR="002212A5" w:rsidRPr="002212A5">
      <w:pgSz w:w="12240" w:h="15840"/>
      <w:pgMar w:top="170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B624D" w14:textId="77777777" w:rsidR="00C01D10" w:rsidRDefault="00C01D10" w:rsidP="0098465B">
      <w:pPr>
        <w:spacing w:after="0" w:line="240" w:lineRule="auto"/>
      </w:pPr>
      <w:r>
        <w:separator/>
      </w:r>
    </w:p>
  </w:endnote>
  <w:endnote w:type="continuationSeparator" w:id="0">
    <w:p w14:paraId="007369DC" w14:textId="77777777" w:rsidR="00C01D10" w:rsidRDefault="00C01D10" w:rsidP="00984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BFEE0" w14:textId="77777777" w:rsidR="00C01D10" w:rsidRDefault="00C01D10" w:rsidP="0098465B">
      <w:pPr>
        <w:spacing w:after="0" w:line="240" w:lineRule="auto"/>
      </w:pPr>
      <w:r>
        <w:separator/>
      </w:r>
    </w:p>
  </w:footnote>
  <w:footnote w:type="continuationSeparator" w:id="0">
    <w:p w14:paraId="46E08A2D" w14:textId="77777777" w:rsidR="00C01D10" w:rsidRDefault="00C01D10" w:rsidP="0098465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FE5"/>
    <w:rsid w:val="000059A1"/>
    <w:rsid w:val="00103DFF"/>
    <w:rsid w:val="001462E1"/>
    <w:rsid w:val="00197398"/>
    <w:rsid w:val="001E7F9E"/>
    <w:rsid w:val="001F76D8"/>
    <w:rsid w:val="002212A5"/>
    <w:rsid w:val="0022259F"/>
    <w:rsid w:val="00233850"/>
    <w:rsid w:val="003D69A9"/>
    <w:rsid w:val="0044134B"/>
    <w:rsid w:val="00455866"/>
    <w:rsid w:val="004A2BB6"/>
    <w:rsid w:val="0055570F"/>
    <w:rsid w:val="00605913"/>
    <w:rsid w:val="00626023"/>
    <w:rsid w:val="00652AF3"/>
    <w:rsid w:val="00696151"/>
    <w:rsid w:val="006B0E0B"/>
    <w:rsid w:val="00724CC8"/>
    <w:rsid w:val="00726029"/>
    <w:rsid w:val="00794C3D"/>
    <w:rsid w:val="007E45A6"/>
    <w:rsid w:val="007F01B9"/>
    <w:rsid w:val="008A7704"/>
    <w:rsid w:val="008E45E7"/>
    <w:rsid w:val="009641A0"/>
    <w:rsid w:val="0098465B"/>
    <w:rsid w:val="009F72D0"/>
    <w:rsid w:val="00A251D7"/>
    <w:rsid w:val="00A27238"/>
    <w:rsid w:val="00A631DE"/>
    <w:rsid w:val="00AB4A96"/>
    <w:rsid w:val="00B028BA"/>
    <w:rsid w:val="00B548E6"/>
    <w:rsid w:val="00BD308D"/>
    <w:rsid w:val="00C01D10"/>
    <w:rsid w:val="00C569EA"/>
    <w:rsid w:val="00C96748"/>
    <w:rsid w:val="00CF54BD"/>
    <w:rsid w:val="00D60051"/>
    <w:rsid w:val="00D66DD0"/>
    <w:rsid w:val="00D73D31"/>
    <w:rsid w:val="00D761DB"/>
    <w:rsid w:val="00DB47F5"/>
    <w:rsid w:val="00DE0F90"/>
    <w:rsid w:val="00DE1960"/>
    <w:rsid w:val="00DF0F1B"/>
    <w:rsid w:val="00E41D02"/>
    <w:rsid w:val="00E85054"/>
    <w:rsid w:val="00EA6FE5"/>
    <w:rsid w:val="00ED27CB"/>
    <w:rsid w:val="00F635A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84145B"/>
  <w14:defaultImageDpi w14:val="32767"/>
  <w15:chartTrackingRefBased/>
  <w15:docId w15:val="{452C773E-35E0-43B5-82C2-77E7FFE29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65B"/>
  </w:style>
  <w:style w:type="paragraph" w:styleId="Heading1">
    <w:name w:val="heading 1"/>
    <w:basedOn w:val="Normal"/>
    <w:next w:val="Normal"/>
    <w:link w:val="Heading1Char"/>
    <w:uiPriority w:val="9"/>
    <w:qFormat/>
    <w:rsid w:val="00EA6F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5570F"/>
    <w:pPr>
      <w:keepNext/>
      <w:keepLines/>
      <w:spacing w:before="160" w:after="80" w:line="480" w:lineRule="auto"/>
      <w:outlineLvl w:val="1"/>
    </w:pPr>
    <w:rPr>
      <w:rFonts w:eastAsiaTheme="majorEastAsia"/>
      <w:b/>
      <w:bCs/>
      <w:sz w:val="20"/>
      <w:szCs w:val="20"/>
    </w:rPr>
  </w:style>
  <w:style w:type="paragraph" w:styleId="Heading3">
    <w:name w:val="heading 3"/>
    <w:basedOn w:val="Normal"/>
    <w:next w:val="Normal"/>
    <w:link w:val="Heading3Char"/>
    <w:uiPriority w:val="9"/>
    <w:semiHidden/>
    <w:unhideWhenUsed/>
    <w:qFormat/>
    <w:rsid w:val="00EA6FE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6FE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A6FE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A6FE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A6FE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A6FE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A6FE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6F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5570F"/>
    <w:rPr>
      <w:rFonts w:eastAsiaTheme="majorEastAsia"/>
      <w:b/>
      <w:bCs/>
      <w:sz w:val="20"/>
      <w:szCs w:val="20"/>
    </w:rPr>
  </w:style>
  <w:style w:type="character" w:customStyle="1" w:styleId="Heading3Char">
    <w:name w:val="Heading 3 Char"/>
    <w:basedOn w:val="DefaultParagraphFont"/>
    <w:link w:val="Heading3"/>
    <w:uiPriority w:val="9"/>
    <w:semiHidden/>
    <w:rsid w:val="00EA6FE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6FE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A6FE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A6FE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A6FE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A6FE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A6FE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A6F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6F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6FE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6FE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A6FE5"/>
    <w:pPr>
      <w:spacing w:before="160"/>
      <w:jc w:val="center"/>
    </w:pPr>
    <w:rPr>
      <w:i/>
      <w:iCs/>
      <w:color w:val="404040" w:themeColor="text1" w:themeTint="BF"/>
    </w:rPr>
  </w:style>
  <w:style w:type="character" w:customStyle="1" w:styleId="QuoteChar">
    <w:name w:val="Quote Char"/>
    <w:basedOn w:val="DefaultParagraphFont"/>
    <w:link w:val="Quote"/>
    <w:uiPriority w:val="29"/>
    <w:rsid w:val="00EA6FE5"/>
    <w:rPr>
      <w:i/>
      <w:iCs/>
      <w:color w:val="404040" w:themeColor="text1" w:themeTint="BF"/>
    </w:rPr>
  </w:style>
  <w:style w:type="paragraph" w:styleId="ListParagraph">
    <w:name w:val="List Paragraph"/>
    <w:basedOn w:val="Normal"/>
    <w:uiPriority w:val="34"/>
    <w:qFormat/>
    <w:rsid w:val="00EA6FE5"/>
    <w:pPr>
      <w:ind w:left="720"/>
      <w:contextualSpacing/>
    </w:pPr>
  </w:style>
  <w:style w:type="character" w:styleId="IntenseEmphasis">
    <w:name w:val="Intense Emphasis"/>
    <w:basedOn w:val="DefaultParagraphFont"/>
    <w:uiPriority w:val="21"/>
    <w:qFormat/>
    <w:rsid w:val="00EA6FE5"/>
    <w:rPr>
      <w:i/>
      <w:iCs/>
      <w:color w:val="0F4761" w:themeColor="accent1" w:themeShade="BF"/>
    </w:rPr>
  </w:style>
  <w:style w:type="paragraph" w:styleId="IntenseQuote">
    <w:name w:val="Intense Quote"/>
    <w:basedOn w:val="Normal"/>
    <w:next w:val="Normal"/>
    <w:link w:val="IntenseQuoteChar"/>
    <w:uiPriority w:val="30"/>
    <w:qFormat/>
    <w:rsid w:val="00EA6F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6FE5"/>
    <w:rPr>
      <w:i/>
      <w:iCs/>
      <w:color w:val="0F4761" w:themeColor="accent1" w:themeShade="BF"/>
    </w:rPr>
  </w:style>
  <w:style w:type="character" w:styleId="IntenseReference">
    <w:name w:val="Intense Reference"/>
    <w:basedOn w:val="DefaultParagraphFont"/>
    <w:uiPriority w:val="32"/>
    <w:qFormat/>
    <w:rsid w:val="00EA6FE5"/>
    <w:rPr>
      <w:b/>
      <w:bCs/>
      <w:smallCaps/>
      <w:color w:val="0F4761" w:themeColor="accent1" w:themeShade="BF"/>
      <w:spacing w:val="5"/>
    </w:rPr>
  </w:style>
  <w:style w:type="paragraph" w:styleId="Header">
    <w:name w:val="header"/>
    <w:basedOn w:val="Normal"/>
    <w:link w:val="HeaderChar"/>
    <w:uiPriority w:val="99"/>
    <w:unhideWhenUsed/>
    <w:rsid w:val="009846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65B"/>
  </w:style>
  <w:style w:type="paragraph" w:styleId="Footer">
    <w:name w:val="footer"/>
    <w:basedOn w:val="Normal"/>
    <w:link w:val="FooterChar"/>
    <w:uiPriority w:val="99"/>
    <w:unhideWhenUsed/>
    <w:rsid w:val="009846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6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8499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7</Pages>
  <Words>673</Words>
  <Characters>3937</Characters>
  <Application>Microsoft Office Word</Application>
  <DocSecurity>0</DocSecurity>
  <Lines>64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(대학원생) 권윤성 (바이오메디컬공학과)</dc:creator>
  <cp:keywords/>
  <dc:description/>
  <cp:lastModifiedBy>(대학원생) 권윤성 (바이오메디컬공학과)</cp:lastModifiedBy>
  <cp:revision>35</cp:revision>
  <dcterms:created xsi:type="dcterms:W3CDTF">2024-01-17T23:35:00Z</dcterms:created>
  <dcterms:modified xsi:type="dcterms:W3CDTF">2025-01-03T05:57:00Z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fd0f6b7b27817ad24efb81013e9000b7857c8bae832629a5c68a66cd3146e05d</vt:lpwstr>
  </property>
</Properties>
</file>