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 S4. Significant DMRs of Healthy vs. Early-stage HCC comparison from TBS data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1678"/>
        <w:gridCol w:w="4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ignificant DMR</w:t>
            </w: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ype</w:t>
            </w: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chr1_6454842_6454942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intronic</w:t>
            </w:r>
          </w:p>
        </w:tc>
        <w:tc>
          <w:tcPr>
            <w:tcW w:w="284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ESPN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chr1_90717867_90717967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upstream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BARHL2(dist=565)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chr1_243482948_243483379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intronic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SDCCAG8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chr10_132785321_132785517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downstream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INPP5A(dist=1841)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chr11_64713220_64713329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exonic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NRXN2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chr12_104303178_104303838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UTR5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EID3(NM_001008394:c.-196_-97delins0)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chr13_87672572_87672712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upstream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MIR4500HG(dist=1609)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chr15_89496486_89496634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exonic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RHCG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chr16_58463355_58463480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upstream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NDRG4(dist=235)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chr17_3535641_3535741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exonic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TRPV3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chr19_49501252_49501361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upstream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MIR150(dist=384)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chr19_53980080_53980184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intronic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CACNG8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chr19_57709013_57709113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UTR5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ZNF154(NM_001085384:c.-42_-142delins0)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zZDk4ZWQ3NWRlMjgxNjA0NWJlZGRiZTc1NGVjYzQifQ=="/>
  </w:docVars>
  <w:rsids>
    <w:rsidRoot w:val="00B22C74"/>
    <w:rsid w:val="002833E2"/>
    <w:rsid w:val="002D4535"/>
    <w:rsid w:val="00757F6B"/>
    <w:rsid w:val="00B22C74"/>
    <w:rsid w:val="00CE6974"/>
    <w:rsid w:val="56A9211C"/>
    <w:rsid w:val="73CF19C2"/>
    <w:rsid w:val="7661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b/>
      <w:bCs/>
      <w:color w:val="000000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line number"/>
    <w:basedOn w:val="4"/>
    <w:semiHidden/>
    <w:unhideWhenUsed/>
    <w:uiPriority w:val="99"/>
  </w:style>
  <w:style w:type="paragraph" w:customStyle="1" w:styleId="6">
    <w:name w:val="EndNote Bibliography"/>
    <w:basedOn w:val="1"/>
    <w:uiPriority w:val="0"/>
    <w:rPr>
      <w:rFonts w:ascii="Calibri" w:hAnsi="Calibri"/>
      <w:b w:val="0"/>
      <w:bCs w:val="0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1267</Characters>
  <Lines>10</Lines>
  <Paragraphs>2</Paragraphs>
  <TotalTime>12</TotalTime>
  <ScaleCrop>false</ScaleCrop>
  <LinksUpToDate>false</LinksUpToDate>
  <CharactersWithSpaces>1487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2024-03-04T07:34:00Z</dcterms:created>
  <dc:creator>女士 孙</dc:creator>
  <cp:lastModifiedBy>酸根玲-子</cp:lastModifiedBy>
  <dcterms:modified xsi:type="dcterms:W3CDTF">2024-03-09T05:52:42Z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C9A031A4A01748BFAC27C7DA49299C91_12</vt:lpwstr>
  </property>
</Properties>
</file>