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96DDE" w14:textId="57CC203F" w:rsidR="000936EC" w:rsidRPr="000936EC" w:rsidRDefault="008B4C4E" w:rsidP="000936EC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bookmarkStart w:id="0" w:name="_GoBack"/>
      <w:r w:rsidRPr="008B4C4E"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  <w:t>FigureS1</w:t>
      </w: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 </w:t>
      </w:r>
    </w:p>
    <w:p w14:paraId="273CD61F" w14:textId="21EEB23D" w:rsidR="008B4C4E" w:rsidRPr="008B4C4E" w:rsidRDefault="00514755" w:rsidP="000936EC">
      <w:pPr>
        <w:spacing w:after="0" w:line="360" w:lineRule="auto"/>
        <w:jc w:val="center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4B540907" wp14:editId="1D7A1BE4">
            <wp:extent cx="5274310" cy="2484755"/>
            <wp:effectExtent l="0" t="0" r="0" b="0"/>
            <wp:docPr id="1118485108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485108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C4E"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Methylation status of DMRs</w:t>
      </w:r>
      <w:r w:rsidR="008976E6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</w:t>
      </w:r>
      <w:r w:rsidR="00BB0433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Healthy control : </w:t>
      </w:r>
      <w:r w:rsidR="00EC0239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nonFulminant : </w:t>
      </w:r>
      <w:r w:rsidR="00D763C5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F</w:t>
      </w:r>
      <w:r w:rsidR="00EC0239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ulminant = 20:</w:t>
      </w:r>
      <w:r w:rsidR="004C786F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14:10</w:t>
      </w:r>
      <w:r w:rsidR="008976E6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)</w:t>
      </w:r>
      <w:r w:rsidR="008B4C4E"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.</w:t>
      </w:r>
    </w:p>
    <w:p w14:paraId="63EF2100" w14:textId="77777777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sz w:val="21"/>
          <w:szCs w:val="22"/>
          <w:lang w:val="en-GB"/>
        </w:rPr>
      </w:pPr>
    </w:p>
    <w:p w14:paraId="649E5152" w14:textId="77777777" w:rsidR="000936EC" w:rsidRPr="000936EC" w:rsidRDefault="008B4C4E" w:rsidP="000936EC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FigureS2 </w:t>
      </w:r>
    </w:p>
    <w:p w14:paraId="033F37E0" w14:textId="62CED122" w:rsidR="000936EC" w:rsidRDefault="00514755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3339FB37" wp14:editId="00FAE0B6">
            <wp:extent cx="5274310" cy="2401570"/>
            <wp:effectExtent l="0" t="0" r="0" b="0"/>
            <wp:docPr id="1314095120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095120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1F09D" w14:textId="3F4E7CA2" w:rsidR="008B4C4E" w:rsidRPr="008B4C4E" w:rsidRDefault="008B4C4E" w:rsidP="00911ECD">
      <w:pPr>
        <w:spacing w:after="0" w:line="360" w:lineRule="auto"/>
        <w:jc w:val="center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The distribution of DMR on chromosomes</w:t>
      </w:r>
      <w:r w:rsidR="00312AC3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(Healthy control : nonFulminant : </w:t>
      </w:r>
      <w:r w:rsidR="00D763C5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F</w:t>
      </w:r>
      <w:r w:rsidR="00312AC3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ulminant = 20:14:10)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.</w:t>
      </w:r>
    </w:p>
    <w:p w14:paraId="7C089B49" w14:textId="77777777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</w:p>
    <w:p w14:paraId="78032BB8" w14:textId="77777777" w:rsidR="00041BA7" w:rsidRDefault="00041BA7">
      <w:pPr>
        <w:widowControl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  <w:br w:type="page"/>
      </w:r>
    </w:p>
    <w:p w14:paraId="7660BBC0" w14:textId="5177B262" w:rsidR="00911ECD" w:rsidRPr="00911ECD" w:rsidRDefault="008B4C4E" w:rsidP="00911ECD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lastRenderedPageBreak/>
        <w:t xml:space="preserve">FigureS3 </w:t>
      </w:r>
    </w:p>
    <w:p w14:paraId="0AC966FB" w14:textId="5171B4C3" w:rsidR="00911ECD" w:rsidRDefault="00514755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1230745C" wp14:editId="28EB2064">
            <wp:extent cx="5274310" cy="1842770"/>
            <wp:effectExtent l="0" t="0" r="0" b="0"/>
            <wp:docPr id="1870476180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76180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A4111" w14:textId="64A48335" w:rsidR="008B4C4E" w:rsidRPr="008B4C4E" w:rsidRDefault="008B4C4E" w:rsidP="000C0DD7">
      <w:pPr>
        <w:spacing w:after="0" w:line="360" w:lineRule="auto"/>
        <w:jc w:val="center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The function proportion of DMR</w:t>
      </w:r>
      <w:r w:rsidR="00FB5E00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(Healthy control : nonFulminant : </w:t>
      </w:r>
      <w:r w:rsidR="00D763C5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F</w:t>
      </w:r>
      <w:r w:rsidR="00FB5E00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ulminant = 20:14:10)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.</w:t>
      </w:r>
    </w:p>
    <w:p w14:paraId="62DF2BA0" w14:textId="77777777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</w:p>
    <w:p w14:paraId="221D2104" w14:textId="17395529" w:rsidR="0070709D" w:rsidRPr="000C0DD7" w:rsidRDefault="008B4C4E" w:rsidP="000C0DD7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FigureS4 </w:t>
      </w:r>
    </w:p>
    <w:p w14:paraId="54717FA3" w14:textId="23815DD2" w:rsidR="0070709D" w:rsidRDefault="00514755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34F8FAD6" wp14:editId="7D732399">
            <wp:extent cx="5274310" cy="2423795"/>
            <wp:effectExtent l="0" t="0" r="2540" b="0"/>
            <wp:docPr id="925591250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91250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97C1B" w14:textId="13BE1ED3" w:rsidR="008B4C4E" w:rsidRPr="008B4C4E" w:rsidRDefault="008B4C4E" w:rsidP="00A20C40">
      <w:pPr>
        <w:spacing w:after="0" w:line="360" w:lineRule="auto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Methylation status of promoter regions of genes associated with various immune pathways (in the heat map, red indicates high methylation, blue indicates low methylation</w:t>
      </w:r>
      <w:r w:rsidR="00D763C5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, Healthy control : nonFulminant = 20:14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).</w:t>
      </w:r>
    </w:p>
    <w:p w14:paraId="693AEF9F" w14:textId="77777777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</w:p>
    <w:p w14:paraId="5C0EF575" w14:textId="77777777" w:rsidR="00041BA7" w:rsidRDefault="00041BA7">
      <w:pPr>
        <w:widowControl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  <w:br w:type="page"/>
      </w:r>
    </w:p>
    <w:p w14:paraId="382D6557" w14:textId="66D387D5" w:rsidR="00A20C40" w:rsidRDefault="008B4C4E" w:rsidP="00A20C40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lastRenderedPageBreak/>
        <w:t xml:space="preserve">FigureS5 </w:t>
      </w:r>
    </w:p>
    <w:p w14:paraId="46D3FAEC" w14:textId="70B4215D" w:rsidR="00A20C40" w:rsidRPr="00A20C40" w:rsidRDefault="00F07445" w:rsidP="00A20C40">
      <w:pPr>
        <w:spacing w:beforeLines="100" w:before="312" w:after="0" w:line="360" w:lineRule="auto"/>
        <w:jc w:val="both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4970E798" wp14:editId="010F51E3">
            <wp:extent cx="5274310" cy="4700270"/>
            <wp:effectExtent l="0" t="0" r="0" b="0"/>
            <wp:docPr id="88520643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206434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7A279" w14:textId="0601A8DD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Methylation status of promoter regions of genes associated with various immune pathways (in the heat map, red indicates high methylation, blue indicates low methylation</w:t>
      </w:r>
      <w:r w:rsidR="00E96345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, Healthy control : Fulminant = 20:10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).</w:t>
      </w:r>
    </w:p>
    <w:p w14:paraId="60F0AB29" w14:textId="69D2E1AA" w:rsidR="00D563CE" w:rsidRDefault="00D563CE">
      <w:pPr>
        <w:widowControl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rFonts w:ascii="Times New Roman" w:eastAsia="DengXian" w:hAnsi="Times New Roman" w:cs="Times New Roman"/>
          <w:sz w:val="21"/>
          <w:szCs w:val="22"/>
          <w:lang w:val="en-GB"/>
        </w:rPr>
        <w:br w:type="page"/>
      </w:r>
    </w:p>
    <w:p w14:paraId="4E33B4C1" w14:textId="77777777" w:rsidR="00D563CE" w:rsidRPr="00D563CE" w:rsidRDefault="008B4C4E" w:rsidP="00D563CE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FigureS6 </w:t>
      </w:r>
    </w:p>
    <w:p w14:paraId="0D938ABC" w14:textId="4A1CC54A" w:rsidR="00D563CE" w:rsidRDefault="00F07445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4CC99607" wp14:editId="53ECA2BB">
            <wp:extent cx="5274310" cy="4159885"/>
            <wp:effectExtent l="0" t="0" r="2540" b="0"/>
            <wp:docPr id="1096454837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454837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32E5F" w14:textId="6619503E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Analysis of cfDNA released from other organs or cells in healthy controls and patients with fulminant and nonfulminant myocarditis</w:t>
      </w:r>
      <w:r w:rsidR="005E0A1B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(Healthy control : nonFulminant : Fulminant = 20:14:10)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.</w:t>
      </w:r>
    </w:p>
    <w:p w14:paraId="2576AA43" w14:textId="77777777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</w:p>
    <w:p w14:paraId="0F80EF24" w14:textId="77777777" w:rsidR="008D4F54" w:rsidRDefault="008D4F54">
      <w:pPr>
        <w:widowControl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  <w:br w:type="page"/>
      </w:r>
    </w:p>
    <w:p w14:paraId="67A4E9E8" w14:textId="50D827EF" w:rsidR="008D4F54" w:rsidRPr="008D4F54" w:rsidRDefault="008B4C4E" w:rsidP="008D4F54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FigureS7 </w:t>
      </w:r>
    </w:p>
    <w:p w14:paraId="0965137B" w14:textId="3EF40321" w:rsidR="008D4F54" w:rsidRDefault="001E6837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7B54F8E0" wp14:editId="02789EDA">
            <wp:extent cx="5274310" cy="2592070"/>
            <wp:effectExtent l="0" t="0" r="2540" b="0"/>
            <wp:docPr id="397243763" name="Picture 1" descr="A comparison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243763" name="Picture 1" descr="A comparison of a 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8536" w14:textId="763B8785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Fisher test results for cfDNA released from cardiac fibroblasts and renal tubular epithelial cells in healthy controls and patients with fulminant myocarditis</w:t>
      </w:r>
      <w:r w:rsidR="005E0A1B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(Healthy control : Fulminant = 20:10)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.</w:t>
      </w:r>
    </w:p>
    <w:p w14:paraId="2EF93D4A" w14:textId="77777777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</w:p>
    <w:p w14:paraId="33C35309" w14:textId="77777777" w:rsidR="00F07445" w:rsidRPr="00F07445" w:rsidRDefault="008B4C4E" w:rsidP="00F07445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FigureS8 </w:t>
      </w:r>
    </w:p>
    <w:p w14:paraId="4CDF7ED7" w14:textId="3598067C" w:rsidR="00F07445" w:rsidRDefault="00F23C4C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003327D1" wp14:editId="37ACD636">
            <wp:extent cx="5274310" cy="2706370"/>
            <wp:effectExtent l="0" t="0" r="2540" b="0"/>
            <wp:docPr id="383065406" name="Picture 2" descr="A comparison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065406" name="Picture 2" descr="A comparison of a 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0FD1A" w14:textId="2452195A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Fisher test results for cfDNA released from cardiac fibroblasts and renal tubular epithelial cells in healthy controls and patients with nonfulminant myocarditis</w:t>
      </w:r>
      <w:r w:rsidR="005E0A1B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(Healthy control : nonFulminant = 20:14)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.</w:t>
      </w:r>
    </w:p>
    <w:p w14:paraId="62EA9148" w14:textId="391D2055" w:rsidR="001B1453" w:rsidRDefault="001B1453">
      <w:pPr>
        <w:widowControl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rFonts w:ascii="Times New Roman" w:eastAsia="DengXian" w:hAnsi="Times New Roman" w:cs="Times New Roman"/>
          <w:sz w:val="21"/>
          <w:szCs w:val="22"/>
          <w:lang w:val="en-GB"/>
        </w:rPr>
        <w:br w:type="page"/>
      </w:r>
    </w:p>
    <w:p w14:paraId="0FE1880A" w14:textId="77777777" w:rsidR="001B1453" w:rsidRPr="001B1453" w:rsidRDefault="008B4C4E" w:rsidP="001B1453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FigureS9 </w:t>
      </w:r>
    </w:p>
    <w:p w14:paraId="7E74F9C0" w14:textId="304427B8" w:rsidR="001B1453" w:rsidRDefault="00361B6A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41B486AD" wp14:editId="7038BC46">
            <wp:extent cx="5274310" cy="2959735"/>
            <wp:effectExtent l="0" t="0" r="0" b="0"/>
            <wp:docPr id="902676527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76527" name="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451E5" w14:textId="5352D0D7" w:rsidR="008B4C4E" w:rsidRPr="008B4C4E" w:rsidRDefault="008B4C4E" w:rsidP="00E27B4D">
      <w:pPr>
        <w:spacing w:after="0" w:line="360" w:lineRule="auto"/>
        <w:jc w:val="center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Correlation between cfDNA released from renal and hepatic cells and clinical indicators</w:t>
      </w:r>
      <w:r w:rsidR="003327B5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(nonFulminant : Fulminant =13:10)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.</w:t>
      </w:r>
    </w:p>
    <w:p w14:paraId="7B5696C1" w14:textId="77777777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</w:p>
    <w:p w14:paraId="5A0496D2" w14:textId="77777777" w:rsidR="001B1453" w:rsidRDefault="001B1453">
      <w:pPr>
        <w:widowControl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  <w:br w:type="page"/>
      </w:r>
    </w:p>
    <w:p w14:paraId="6642FF58" w14:textId="7CD38790" w:rsidR="001B1453" w:rsidRPr="001B1453" w:rsidRDefault="008B4C4E" w:rsidP="001B1453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FigureS10 </w:t>
      </w:r>
    </w:p>
    <w:p w14:paraId="57F317E6" w14:textId="2FAB338A" w:rsidR="001B1453" w:rsidRDefault="001B1453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55E512F1" wp14:editId="7C484D89">
            <wp:extent cx="5274310" cy="5285105"/>
            <wp:effectExtent l="0" t="0" r="2540" b="0"/>
            <wp:docPr id="26399606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96063" name="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25EC7" w14:textId="33993756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ROC for distinguishing between fulminant</w:t>
      </w:r>
      <w:r w:rsidR="004C290B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(n=</w:t>
      </w:r>
      <w:r w:rsidR="00702796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10</w:t>
      </w:r>
      <w:r w:rsidR="004C290B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and non-fulminant myocarditis</w:t>
      </w:r>
      <w:r w:rsidR="00B677BD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(n=</w:t>
      </w:r>
      <w:r w:rsidR="00702796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13</w:t>
      </w:r>
      <w:r w:rsidR="00B677BD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patients using cfDNA released from cardiac, renal, and their cellular origins and traditional clinical indicators.</w:t>
      </w:r>
    </w:p>
    <w:p w14:paraId="5E5ACB16" w14:textId="7D1AEBB3" w:rsidR="001B1453" w:rsidRDefault="001B1453">
      <w:pPr>
        <w:widowControl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rFonts w:ascii="Times New Roman" w:eastAsia="DengXian" w:hAnsi="Times New Roman" w:cs="Times New Roman"/>
          <w:sz w:val="21"/>
          <w:szCs w:val="22"/>
          <w:lang w:val="en-GB"/>
        </w:rPr>
        <w:br w:type="page"/>
      </w:r>
    </w:p>
    <w:p w14:paraId="510DAD88" w14:textId="77777777" w:rsidR="001B1453" w:rsidRPr="001B1453" w:rsidRDefault="008B4C4E" w:rsidP="001B1453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8B4C4E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FigureS11 </w:t>
      </w:r>
    </w:p>
    <w:p w14:paraId="343288A1" w14:textId="75BE189D" w:rsidR="001B1453" w:rsidRDefault="003B1626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18C32CF0" wp14:editId="322A12AC">
            <wp:extent cx="5274310" cy="5386705"/>
            <wp:effectExtent l="0" t="0" r="2540" b="0"/>
            <wp:docPr id="627715662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15662" name="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8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E002E" w14:textId="111F2DCD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ROC for distinguishing clinical outcomes of survival</w:t>
      </w:r>
      <w:r w:rsidR="00702796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(n=</w:t>
      </w:r>
      <w:r w:rsidR="00415884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19</w:t>
      </w:r>
      <w:r w:rsidR="00702796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or death</w:t>
      </w:r>
      <w:r w:rsidR="00702796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(n=</w:t>
      </w:r>
      <w:r w:rsidR="00415884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4</w:t>
      </w:r>
      <w:r w:rsidR="00702796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)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 using cfDNA released from cardiac, renal, and their cellular origins and traditional clinical indicators.</w:t>
      </w:r>
    </w:p>
    <w:p w14:paraId="6BC9C1D8" w14:textId="131B2C6D" w:rsidR="003B1626" w:rsidRDefault="003B1626">
      <w:pPr>
        <w:widowControl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rFonts w:ascii="Times New Roman" w:eastAsia="DengXian" w:hAnsi="Times New Roman" w:cs="Times New Roman"/>
          <w:sz w:val="21"/>
          <w:szCs w:val="22"/>
          <w:lang w:val="en-GB"/>
        </w:rPr>
        <w:br w:type="page"/>
      </w:r>
    </w:p>
    <w:p w14:paraId="4330693A" w14:textId="77777777" w:rsidR="003B1626" w:rsidRPr="00C11057" w:rsidRDefault="008B4C4E" w:rsidP="00C11057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C11057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 xml:space="preserve">FigureS12 </w:t>
      </w:r>
    </w:p>
    <w:p w14:paraId="77712D0F" w14:textId="50D451EA" w:rsidR="003B1626" w:rsidRDefault="003B1626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7C5751D9" wp14:editId="51E4DC1E">
            <wp:extent cx="5274310" cy="5356860"/>
            <wp:effectExtent l="0" t="0" r="2540" b="0"/>
            <wp:docPr id="353804777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04777" name=""/>
                    <pic:cNvPicPr/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5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E7335" w14:textId="00B8756D" w:rsidR="008B4C4E" w:rsidRPr="008B4C4E" w:rsidRDefault="008B4C4E" w:rsidP="008B4C4E">
      <w:pPr>
        <w:spacing w:after="0" w:line="360" w:lineRule="auto"/>
        <w:jc w:val="both"/>
        <w:rPr>
          <w:rFonts w:ascii="Times New Roman" w:eastAsia="DengXian" w:hAnsi="Times New Roman" w:cs="Times New Roman"/>
          <w:sz w:val="21"/>
          <w:szCs w:val="22"/>
          <w:lang w:val="en-GB"/>
        </w:rPr>
      </w:pP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ROC for distinguishing ICU support required </w:t>
      </w:r>
      <w:r w:rsidR="00415884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(n=</w:t>
      </w:r>
      <w:r w:rsidR="00C11057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17</w:t>
      </w:r>
      <w:r w:rsidR="00415884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) 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from ICU support not required </w:t>
      </w:r>
      <w:r w:rsidR="00415884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(n=</w:t>
      </w:r>
      <w:r w:rsidR="00C11057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6</w:t>
      </w:r>
      <w:r w:rsidR="00415884">
        <w:rPr>
          <w:rFonts w:ascii="Times New Roman" w:eastAsia="DengXian" w:hAnsi="Times New Roman" w:cs="Times New Roman" w:hint="eastAsia"/>
          <w:sz w:val="21"/>
          <w:szCs w:val="22"/>
          <w:lang w:val="en-GB"/>
        </w:rPr>
        <w:t xml:space="preserve">) </w:t>
      </w:r>
      <w:r w:rsidRPr="008B4C4E">
        <w:rPr>
          <w:rFonts w:ascii="Times New Roman" w:eastAsia="DengXian" w:hAnsi="Times New Roman" w:cs="Times New Roman" w:hint="eastAsia"/>
          <w:sz w:val="21"/>
          <w:szCs w:val="22"/>
          <w:lang w:val="en-GB"/>
        </w:rPr>
        <w:t>using cfDNA released from cardiac, renal, and their cellular origins and traditional clinical indicators.</w:t>
      </w:r>
    </w:p>
    <w:p w14:paraId="43C0079E" w14:textId="1D716404" w:rsidR="00787F56" w:rsidRDefault="00787F56">
      <w:pPr>
        <w:widowControl/>
        <w:rPr>
          <w:lang w:val="en-GB"/>
        </w:rPr>
      </w:pPr>
      <w:r>
        <w:rPr>
          <w:rFonts w:hint="eastAsia"/>
          <w:lang w:val="en-GB"/>
        </w:rPr>
        <w:br w:type="page"/>
      </w:r>
    </w:p>
    <w:p w14:paraId="5B22855F" w14:textId="513BCC66" w:rsidR="00787F56" w:rsidRPr="00C11057" w:rsidRDefault="00787F56" w:rsidP="00787F56">
      <w:pPr>
        <w:spacing w:beforeLines="100" w:before="312" w:after="0" w:line="360" w:lineRule="auto"/>
        <w:jc w:val="both"/>
        <w:outlineLvl w:val="0"/>
        <w:rPr>
          <w:rFonts w:ascii="Times New Roman" w:eastAsia="DengXian" w:hAnsi="Times New Roman" w:cs="Times New Roman"/>
          <w:b/>
          <w:bCs/>
          <w:sz w:val="28"/>
          <w:szCs w:val="32"/>
          <w:lang w:val="en-GB"/>
        </w:rPr>
      </w:pPr>
      <w:r w:rsidRPr="00C11057"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>FigureS1</w:t>
      </w:r>
      <w:r>
        <w:rPr>
          <w:rFonts w:ascii="Times New Roman" w:eastAsia="DengXian" w:hAnsi="Times New Roman" w:cs="Times New Roman" w:hint="eastAsia"/>
          <w:b/>
          <w:bCs/>
          <w:sz w:val="28"/>
          <w:szCs w:val="32"/>
          <w:lang w:val="en-GB"/>
        </w:rPr>
        <w:t>3</w:t>
      </w:r>
    </w:p>
    <w:p w14:paraId="09C81D31" w14:textId="77777777" w:rsidR="00A12442" w:rsidRPr="00193957" w:rsidRDefault="00A12442" w:rsidP="00A12442">
      <w:pPr>
        <w:spacing w:line="480" w:lineRule="auto"/>
        <w:rPr>
          <w:rFonts w:ascii="Times New Roman" w:hAnsi="Times New Roman" w:cs="Times New Roman"/>
        </w:rPr>
      </w:pPr>
      <w:r>
        <w:rPr>
          <w:noProof/>
          <w:lang w:val="en-IN" w:eastAsia="en-IN"/>
          <w14:ligatures w14:val="none"/>
        </w:rPr>
        <w:drawing>
          <wp:inline distT="0" distB="0" distL="0" distR="0" wp14:anchorId="7C5D98DF" wp14:editId="2DBEA012">
            <wp:extent cx="5731510" cy="1685290"/>
            <wp:effectExtent l="0" t="0" r="2540" b="0"/>
            <wp:docPr id="2067535458" name="图片 1" descr="图形用户界面, 应用程序, Word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535458" name="图片 1" descr="图形用户界面, 应用程序, Word&#10;&#10;AI 生成的内容可能不正确。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4A728" w14:textId="287FA50D" w:rsidR="00A12442" w:rsidRDefault="00A12442" w:rsidP="00A12442">
      <w:pPr>
        <w:spacing w:line="480" w:lineRule="auto"/>
        <w:jc w:val="both"/>
        <w:rPr>
          <w:rFonts w:ascii="Times New Roman" w:hAnsi="Times New Roman" w:cs="Times New Roman"/>
        </w:rPr>
      </w:pPr>
      <w:r w:rsidRPr="00193957">
        <w:rPr>
          <w:rFonts w:ascii="Times New Roman" w:hAnsi="Times New Roman" w:cs="Times New Roman"/>
        </w:rPr>
        <w:t xml:space="preserve">Analysis of cfDNA released from different organs and cells in the healthy control group, fulminant myocarditis group and </w:t>
      </w:r>
      <w:r>
        <w:rPr>
          <w:rFonts w:ascii="Times New Roman" w:hAnsi="Times New Roman" w:cs="Times New Roman"/>
        </w:rPr>
        <w:t xml:space="preserve">clinically suspected </w:t>
      </w:r>
      <w:r w:rsidRPr="00193957">
        <w:rPr>
          <w:rFonts w:ascii="Times New Roman" w:hAnsi="Times New Roman" w:cs="Times New Roman"/>
        </w:rPr>
        <w:t>myocarditis group from the perspective of COVID-19 positivity</w:t>
      </w:r>
      <w:r>
        <w:rPr>
          <w:rFonts w:ascii="Times New Roman" w:hAnsi="Times New Roman" w:cs="Times New Roman" w:hint="eastAsia"/>
        </w:rPr>
        <w:t xml:space="preserve"> (healthy control COVID positive : COVID negative = 10:10, </w:t>
      </w:r>
      <w:r w:rsidRPr="00193957">
        <w:rPr>
          <w:rFonts w:ascii="Times New Roman" w:hAnsi="Times New Roman" w:cs="Times New Roman"/>
        </w:rPr>
        <w:t>fulminant myocarditis</w:t>
      </w:r>
      <w:r>
        <w:rPr>
          <w:rFonts w:ascii="Times New Roman" w:hAnsi="Times New Roman" w:cs="Times New Roman" w:hint="eastAsia"/>
        </w:rPr>
        <w:t xml:space="preserve"> COVID positive : COVID negative = 5:5, clinically suspected </w:t>
      </w:r>
      <w:r w:rsidRPr="00193957">
        <w:rPr>
          <w:rFonts w:ascii="Times New Roman" w:hAnsi="Times New Roman" w:cs="Times New Roman"/>
        </w:rPr>
        <w:t>myocarditis</w:t>
      </w:r>
      <w:r>
        <w:rPr>
          <w:rFonts w:ascii="Times New Roman" w:hAnsi="Times New Roman" w:cs="Times New Roman" w:hint="eastAsia"/>
        </w:rPr>
        <w:t xml:space="preserve"> COVID positive : COVID negative = 9:5)</w:t>
      </w:r>
      <w:r w:rsidRPr="00193957">
        <w:rPr>
          <w:rFonts w:ascii="Times New Roman" w:hAnsi="Times New Roman" w:cs="Times New Roman"/>
        </w:rPr>
        <w:t xml:space="preserve">. </w:t>
      </w:r>
      <w:r w:rsidRPr="00B56845">
        <w:rPr>
          <w:rFonts w:ascii="Times New Roman" w:hAnsi="Times New Roman" w:cs="Times New Roman"/>
          <w:i/>
        </w:rPr>
        <w:t xml:space="preserve">P </w:t>
      </w:r>
      <w:r w:rsidRPr="006F626C">
        <w:rPr>
          <w:rFonts w:ascii="Times New Roman" w:hAnsi="Times New Roman" w:cs="Times New Roman"/>
          <w:iCs/>
        </w:rPr>
        <w:t>values were calculated by two-sided Wilcoxon rank sum test.</w:t>
      </w:r>
      <w:r>
        <w:rPr>
          <w:rFonts w:ascii="Times New Roman" w:hAnsi="Times New Roman" w:cs="Times New Roman" w:hint="eastAsia"/>
          <w:iCs/>
        </w:rPr>
        <w:t xml:space="preserve"> </w:t>
      </w:r>
      <w:r w:rsidRPr="005542CD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 w:hint="eastAsia"/>
        </w:rPr>
        <w:t xml:space="preserve"> </w:t>
      </w:r>
      <w:r w:rsidRPr="005542CD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 w:hint="eastAsia"/>
          <w:i/>
          <w:iCs/>
        </w:rPr>
        <w:t xml:space="preserve"> </w:t>
      </w:r>
      <w:r w:rsidRPr="005542CD">
        <w:rPr>
          <w:rFonts w:ascii="Times New Roman" w:hAnsi="Times New Roman" w:cs="Times New Roman"/>
        </w:rPr>
        <w:t>&lt;0.05</w:t>
      </w:r>
      <w:r>
        <w:rPr>
          <w:rFonts w:ascii="Times New Roman" w:hAnsi="Times New Roman" w:cs="Times New Roman" w:hint="eastAsia"/>
        </w:rPr>
        <w:t xml:space="preserve">; </w:t>
      </w:r>
      <w:r w:rsidRPr="005542CD">
        <w:rPr>
          <w:rFonts w:ascii="Times New Roman" w:hAnsi="Times New Roman" w:cs="Times New Roman"/>
        </w:rPr>
        <w:t>**</w:t>
      </w:r>
      <w:r>
        <w:rPr>
          <w:rFonts w:ascii="Times New Roman" w:hAnsi="Times New Roman" w:cs="Times New Roman" w:hint="eastAsia"/>
        </w:rPr>
        <w:t xml:space="preserve"> </w:t>
      </w:r>
      <w:r w:rsidRPr="005542CD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 w:hint="eastAsia"/>
        </w:rPr>
        <w:t xml:space="preserve"> </w:t>
      </w:r>
      <w:r w:rsidRPr="005542CD">
        <w:rPr>
          <w:rFonts w:ascii="Times New Roman" w:hAnsi="Times New Roman" w:cs="Times New Roman"/>
        </w:rPr>
        <w:t>&lt; 0.01</w:t>
      </w:r>
    </w:p>
    <w:bookmarkEnd w:id="0"/>
    <w:p w14:paraId="2216AE1E" w14:textId="77777777" w:rsidR="00011CB0" w:rsidRPr="008B4C4E" w:rsidRDefault="00011CB0" w:rsidP="00EE27DF">
      <w:pPr>
        <w:spacing w:after="0" w:line="360" w:lineRule="auto"/>
        <w:jc w:val="both"/>
        <w:rPr>
          <w:lang w:val="en-GB"/>
        </w:rPr>
      </w:pPr>
    </w:p>
    <w:sectPr w:rsidR="00011CB0" w:rsidRPr="008B4C4E" w:rsidSect="005A1D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2E343" w14:textId="77777777" w:rsidR="00FC2CE2" w:rsidRDefault="00FC2CE2" w:rsidP="00E3626F">
      <w:pPr>
        <w:spacing w:after="0" w:line="240" w:lineRule="auto"/>
      </w:pPr>
      <w:r>
        <w:separator/>
      </w:r>
    </w:p>
  </w:endnote>
  <w:endnote w:type="continuationSeparator" w:id="0">
    <w:p w14:paraId="4E6EF602" w14:textId="77777777" w:rsidR="00FC2CE2" w:rsidRDefault="00FC2CE2" w:rsidP="00E3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B42C7" w14:textId="77777777" w:rsidR="00FC2CE2" w:rsidRDefault="00FC2CE2" w:rsidP="00E3626F">
      <w:pPr>
        <w:spacing w:after="0" w:line="240" w:lineRule="auto"/>
      </w:pPr>
      <w:r>
        <w:separator/>
      </w:r>
    </w:p>
  </w:footnote>
  <w:footnote w:type="continuationSeparator" w:id="0">
    <w:p w14:paraId="2936F9B9" w14:textId="77777777" w:rsidR="00FC2CE2" w:rsidRDefault="00FC2CE2" w:rsidP="00E362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Heart J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9rpef25asr9xnea9zspd25gvpf2t2r5fp9a&quot;&gt;My EndNote Library&lt;record-ids&gt;&lt;item&gt;20&lt;/item&gt;&lt;item&gt;22&lt;/item&gt;&lt;item&gt;23&lt;/item&gt;&lt;item&gt;46&lt;/item&gt;&lt;/record-ids&gt;&lt;/item&gt;&lt;/Libraries&gt;"/>
  </w:docVars>
  <w:rsids>
    <w:rsidRoot w:val="005D1868"/>
    <w:rsid w:val="00011CB0"/>
    <w:rsid w:val="00015A63"/>
    <w:rsid w:val="00041BA7"/>
    <w:rsid w:val="00083DD0"/>
    <w:rsid w:val="0008596F"/>
    <w:rsid w:val="000936EC"/>
    <w:rsid w:val="000C0DD7"/>
    <w:rsid w:val="000D746A"/>
    <w:rsid w:val="001257EA"/>
    <w:rsid w:val="001B1453"/>
    <w:rsid w:val="001E6837"/>
    <w:rsid w:val="0020065E"/>
    <w:rsid w:val="002257CA"/>
    <w:rsid w:val="00257EE1"/>
    <w:rsid w:val="002938D6"/>
    <w:rsid w:val="00312AC3"/>
    <w:rsid w:val="003327B5"/>
    <w:rsid w:val="00361B6A"/>
    <w:rsid w:val="00363953"/>
    <w:rsid w:val="003B1626"/>
    <w:rsid w:val="003B5BF1"/>
    <w:rsid w:val="003D6791"/>
    <w:rsid w:val="003F3B23"/>
    <w:rsid w:val="00415884"/>
    <w:rsid w:val="004C290B"/>
    <w:rsid w:val="004C786F"/>
    <w:rsid w:val="00514755"/>
    <w:rsid w:val="00575FE6"/>
    <w:rsid w:val="00593DCD"/>
    <w:rsid w:val="005A1D8C"/>
    <w:rsid w:val="005D1868"/>
    <w:rsid w:val="005E0A1B"/>
    <w:rsid w:val="0061678C"/>
    <w:rsid w:val="00646695"/>
    <w:rsid w:val="006647B2"/>
    <w:rsid w:val="00672557"/>
    <w:rsid w:val="006E03EC"/>
    <w:rsid w:val="00702796"/>
    <w:rsid w:val="0070709D"/>
    <w:rsid w:val="00787F56"/>
    <w:rsid w:val="007E414B"/>
    <w:rsid w:val="00816EAE"/>
    <w:rsid w:val="008976E6"/>
    <w:rsid w:val="008B4882"/>
    <w:rsid w:val="008B4C4E"/>
    <w:rsid w:val="008D4F54"/>
    <w:rsid w:val="00900C3F"/>
    <w:rsid w:val="00901AD6"/>
    <w:rsid w:val="00907196"/>
    <w:rsid w:val="00911ECD"/>
    <w:rsid w:val="009324A4"/>
    <w:rsid w:val="00966A6F"/>
    <w:rsid w:val="009F1E1F"/>
    <w:rsid w:val="00A12442"/>
    <w:rsid w:val="00A20C40"/>
    <w:rsid w:val="00A66287"/>
    <w:rsid w:val="00AC5A89"/>
    <w:rsid w:val="00B175F2"/>
    <w:rsid w:val="00B176DA"/>
    <w:rsid w:val="00B677BD"/>
    <w:rsid w:val="00BB0433"/>
    <w:rsid w:val="00C11057"/>
    <w:rsid w:val="00D044D2"/>
    <w:rsid w:val="00D16B30"/>
    <w:rsid w:val="00D1720C"/>
    <w:rsid w:val="00D563CE"/>
    <w:rsid w:val="00D763C5"/>
    <w:rsid w:val="00E27B4D"/>
    <w:rsid w:val="00E3626F"/>
    <w:rsid w:val="00E775AB"/>
    <w:rsid w:val="00E96345"/>
    <w:rsid w:val="00EC0239"/>
    <w:rsid w:val="00EE27DF"/>
    <w:rsid w:val="00F07445"/>
    <w:rsid w:val="00F23C4C"/>
    <w:rsid w:val="00FB5E00"/>
    <w:rsid w:val="00FC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9321E3"/>
  <w14:defaultImageDpi w14:val="32767"/>
  <w15:chartTrackingRefBased/>
  <w15:docId w15:val="{164643A5-E4C8-4C0E-B3B2-20974A87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F56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D18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1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8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86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86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86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86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86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86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8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D1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868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868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868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868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868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868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5D186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86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8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8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8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8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8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868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0"/>
    <w:rsid w:val="00D044D2"/>
    <w:pPr>
      <w:spacing w:after="0"/>
      <w:jc w:val="center"/>
    </w:pPr>
    <w:rPr>
      <w:rFonts w:ascii="DengXian" w:eastAsia="DengXian" w:hAnsi="DengXian"/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D044D2"/>
    <w:rPr>
      <w:rFonts w:ascii="DengXian" w:eastAsia="DengXian" w:hAnsi="DengXian"/>
      <w:noProof/>
    </w:rPr>
  </w:style>
  <w:style w:type="paragraph" w:customStyle="1" w:styleId="EndNoteBibliography">
    <w:name w:val="EndNote Bibliography"/>
    <w:basedOn w:val="Normal"/>
    <w:link w:val="EndNoteBibliography0"/>
    <w:rsid w:val="00D044D2"/>
    <w:pPr>
      <w:spacing w:line="240" w:lineRule="auto"/>
    </w:pPr>
    <w:rPr>
      <w:rFonts w:ascii="DengXian" w:eastAsia="DengXian" w:hAnsi="DengXian"/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D044D2"/>
    <w:rPr>
      <w:rFonts w:ascii="DengXian" w:eastAsia="DengXian" w:hAnsi="DengXian"/>
      <w:noProof/>
    </w:rPr>
  </w:style>
  <w:style w:type="paragraph" w:styleId="Header">
    <w:name w:val="header"/>
    <w:basedOn w:val="Normal"/>
    <w:link w:val="HeaderChar"/>
    <w:uiPriority w:val="99"/>
    <w:unhideWhenUsed/>
    <w:rsid w:val="00E3626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3626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3626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362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8.svg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16.svg"/><Relationship Id="rId7" Type="http://schemas.openxmlformats.org/officeDocument/2006/relationships/image" Target="media/image2.svg"/><Relationship Id="rId12" Type="http://schemas.openxmlformats.org/officeDocument/2006/relationships/image" Target="media/image4.png"/><Relationship Id="rId17" Type="http://schemas.openxmlformats.org/officeDocument/2006/relationships/image" Target="media/image12.svg"/><Relationship Id="rId25" Type="http://schemas.openxmlformats.org/officeDocument/2006/relationships/image" Target="media/image20.sv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24" Type="http://schemas.openxmlformats.org/officeDocument/2006/relationships/image" Target="media/image11.png"/><Relationship Id="rId5" Type="http://schemas.openxmlformats.org/officeDocument/2006/relationships/endnotes" Target="endnotes.xml"/><Relationship Id="rId15" Type="http://schemas.openxmlformats.org/officeDocument/2006/relationships/image" Target="media/image10.svg"/><Relationship Id="rId23" Type="http://schemas.openxmlformats.org/officeDocument/2006/relationships/image" Target="media/image18.svg"/><Relationship Id="rId28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22.sv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WYJ</dc:creator>
  <cp:keywords/>
  <dc:description/>
  <cp:lastModifiedBy>Sri Priyadharshini  Muruganantham</cp:lastModifiedBy>
  <cp:revision>62</cp:revision>
  <cp:lastPrinted>2024-04-23T06:56:00Z</cp:lastPrinted>
  <dcterms:created xsi:type="dcterms:W3CDTF">2024-04-22T23:00:00Z</dcterms:created>
  <dcterms:modified xsi:type="dcterms:W3CDTF">2025-06-10T12:14:00Z</dcterms:modified>
</cp:coreProperties>
</file>