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9421E8" w14:textId="77777777" w:rsidR="000A65F8" w:rsidRPr="0061453F" w:rsidRDefault="000A65F8" w:rsidP="002B627D">
      <w:pPr>
        <w:spacing w:line="360" w:lineRule="auto"/>
        <w:jc w:val="both"/>
        <w:rPr>
          <w:rFonts w:cs="Times New Roman"/>
          <w:b/>
          <w:bCs/>
        </w:rPr>
      </w:pPr>
      <w:r w:rsidRPr="0061453F">
        <w:rPr>
          <w:rFonts w:cs="Times New Roman"/>
          <w:b/>
          <w:bCs/>
        </w:rPr>
        <w:t>Supplementary Methods:</w:t>
      </w:r>
    </w:p>
    <w:p w14:paraId="56E5737B" w14:textId="77777777" w:rsidR="000A65F8" w:rsidRPr="0061453F" w:rsidRDefault="000A65F8" w:rsidP="002B627D">
      <w:pPr>
        <w:spacing w:line="360" w:lineRule="auto"/>
        <w:jc w:val="both"/>
        <w:rPr>
          <w:rFonts w:cs="Times New Roman"/>
          <w:b/>
          <w:bCs/>
        </w:rPr>
      </w:pPr>
    </w:p>
    <w:p w14:paraId="3B8C2A59" w14:textId="77777777" w:rsidR="000A65F8" w:rsidRPr="0061453F" w:rsidRDefault="000A65F8" w:rsidP="002B627D">
      <w:pPr>
        <w:spacing w:after="120" w:line="360" w:lineRule="auto"/>
        <w:jc w:val="both"/>
        <w:rPr>
          <w:rFonts w:cs="Times New Roman"/>
          <w:b/>
          <w:color w:val="000000" w:themeColor="text1"/>
        </w:rPr>
      </w:pPr>
      <w:r w:rsidRPr="0061453F">
        <w:rPr>
          <w:rFonts w:cs="Times New Roman"/>
          <w:b/>
        </w:rPr>
        <w:t>Sequencing library preparation</w:t>
      </w:r>
    </w:p>
    <w:p w14:paraId="0B416B0E" w14:textId="4EACEF38" w:rsidR="000A65F8" w:rsidRPr="0061453F" w:rsidRDefault="000A65F8" w:rsidP="002B627D">
      <w:pPr>
        <w:spacing w:line="360" w:lineRule="auto"/>
        <w:jc w:val="both"/>
        <w:rPr>
          <w:rFonts w:eastAsiaTheme="minorEastAsia" w:cs="Times New Roman"/>
          <w:kern w:val="0"/>
          <w:lang w:eastAsia="en-GB"/>
          <w14:ligatures w14:val="none"/>
        </w:rPr>
      </w:pPr>
      <w:r w:rsidRPr="0061453F">
        <w:rPr>
          <w:rFonts w:eastAsiaTheme="minorEastAsia" w:cs="Times New Roman"/>
          <w:kern w:val="0"/>
          <w:lang w:eastAsia="en-GB"/>
          <w14:ligatures w14:val="none"/>
        </w:rPr>
        <w:t xml:space="preserve">Urine samples (30-50 ml) were centrifuged at </w:t>
      </w:r>
      <w:r w:rsidR="00DB31CD">
        <w:rPr>
          <w:rFonts w:eastAsiaTheme="minorEastAsia" w:cs="Times New Roman"/>
          <w:kern w:val="0"/>
          <w:lang w:eastAsia="en-GB"/>
          <w14:ligatures w14:val="none"/>
        </w:rPr>
        <w:t>2000</w:t>
      </w:r>
      <w:r w:rsidR="00DB31CD" w:rsidRPr="0061453F">
        <w:rPr>
          <w:rFonts w:eastAsiaTheme="minorEastAsia" w:cs="Times New Roman"/>
          <w:kern w:val="0"/>
          <w:lang w:eastAsia="en-GB"/>
          <w14:ligatures w14:val="none"/>
        </w:rPr>
        <w:t xml:space="preserve"> </w:t>
      </w:r>
      <w:r w:rsidRPr="0061453F">
        <w:rPr>
          <w:rFonts w:eastAsiaTheme="minorEastAsia" w:cs="Times New Roman"/>
          <w:kern w:val="0"/>
          <w:lang w:eastAsia="en-GB"/>
          <w14:ligatures w14:val="none"/>
        </w:rPr>
        <w:t xml:space="preserve">x g for 10 minutes on the day of collection, cell pellets stored at -80°C, and DNA subsequently extracted using </w:t>
      </w:r>
      <w:r w:rsidR="00DB31CD">
        <w:rPr>
          <w:rFonts w:eastAsiaTheme="minorEastAsia" w:cs="Times New Roman"/>
          <w:kern w:val="0"/>
          <w:lang w:eastAsia="en-GB"/>
          <w14:ligatures w14:val="none"/>
        </w:rPr>
        <w:t xml:space="preserve">the </w:t>
      </w:r>
      <w:r w:rsidRPr="0061453F">
        <w:rPr>
          <w:rFonts w:eastAsiaTheme="minorEastAsia" w:cs="Times New Roman"/>
          <w:kern w:val="0"/>
          <w:lang w:eastAsia="en-GB"/>
          <w14:ligatures w14:val="none"/>
        </w:rPr>
        <w:t>Quick-DNA Urine Kit (</w:t>
      </w:r>
      <w:proofErr w:type="spellStart"/>
      <w:r w:rsidRPr="0061453F">
        <w:rPr>
          <w:rFonts w:eastAsiaTheme="minorEastAsia" w:cs="Times New Roman"/>
          <w:kern w:val="0"/>
          <w:lang w:eastAsia="en-GB"/>
          <w14:ligatures w14:val="none"/>
        </w:rPr>
        <w:t>Zymo</w:t>
      </w:r>
      <w:proofErr w:type="spellEnd"/>
      <w:r w:rsidRPr="0061453F">
        <w:rPr>
          <w:rFonts w:eastAsiaTheme="minorEastAsia" w:cs="Times New Roman"/>
          <w:kern w:val="0"/>
          <w:lang w:eastAsia="en-GB"/>
          <w14:ligatures w14:val="none"/>
        </w:rPr>
        <w:t xml:space="preserve"> Research #D3061) and quantitated using the high-sensitivity dsDNA Qubit kit (</w:t>
      </w:r>
      <w:proofErr w:type="spellStart"/>
      <w:r w:rsidRPr="0061453F">
        <w:rPr>
          <w:rFonts w:eastAsiaTheme="minorEastAsia" w:cs="Times New Roman"/>
          <w:kern w:val="0"/>
          <w:lang w:eastAsia="en-GB"/>
          <w14:ligatures w14:val="none"/>
        </w:rPr>
        <w:t>Thermofisher</w:t>
      </w:r>
      <w:proofErr w:type="spellEnd"/>
      <w:r w:rsidRPr="0061453F">
        <w:rPr>
          <w:rFonts w:eastAsiaTheme="minorEastAsia" w:cs="Times New Roman"/>
          <w:kern w:val="0"/>
          <w:lang w:eastAsia="en-GB"/>
          <w14:ligatures w14:val="none"/>
        </w:rPr>
        <w:t xml:space="preserve"> #Q32854).  For each sample, 500 ng of DNA was sheared to &lt;10 kb using G-tubes (Covaris </w:t>
      </w:r>
      <w:r w:rsidRPr="0061453F">
        <w:rPr>
          <w:color w:val="2C2C2C"/>
          <w:spacing w:val="3"/>
          <w:shd w:val="clear" w:color="auto" w:fill="FFFFFF"/>
        </w:rPr>
        <w:t>#</w:t>
      </w:r>
      <w:r w:rsidRPr="0061453F">
        <w:rPr>
          <w:rFonts w:eastAsiaTheme="minorEastAsia" w:cs="Times New Roman"/>
          <w:kern w:val="0"/>
          <w:lang w:eastAsia="en-GB"/>
          <w14:ligatures w14:val="none"/>
        </w:rPr>
        <w:t>520079) and sequencing adapters ligated using the LSK-114 kit.</w:t>
      </w:r>
    </w:p>
    <w:p w14:paraId="67B4BFF1" w14:textId="77777777" w:rsidR="000A65F8" w:rsidRPr="0061453F" w:rsidRDefault="000A65F8" w:rsidP="002B627D">
      <w:pPr>
        <w:spacing w:after="120" w:line="360" w:lineRule="auto"/>
        <w:jc w:val="both"/>
        <w:rPr>
          <w:rFonts w:eastAsiaTheme="minorEastAsia" w:cs="Times New Roman"/>
          <w:kern w:val="0"/>
          <w:lang w:eastAsia="en-GB"/>
          <w14:ligatures w14:val="none"/>
        </w:rPr>
      </w:pPr>
    </w:p>
    <w:p w14:paraId="1C3461CF" w14:textId="77777777" w:rsidR="000A65F8" w:rsidRPr="0061453F" w:rsidRDefault="000A65F8" w:rsidP="002B627D">
      <w:pPr>
        <w:spacing w:after="120" w:line="360" w:lineRule="auto"/>
        <w:jc w:val="both"/>
        <w:rPr>
          <w:rFonts w:cs="Times New Roman"/>
          <w:b/>
          <w:bCs/>
        </w:rPr>
      </w:pPr>
      <w:r w:rsidRPr="0061453F">
        <w:rPr>
          <w:rFonts w:cs="Times New Roman"/>
          <w:b/>
          <w:bCs/>
        </w:rPr>
        <w:t xml:space="preserve">Long-read whole genome sequencing data analysis  </w:t>
      </w:r>
    </w:p>
    <w:p w14:paraId="20991333" w14:textId="05237233" w:rsidR="000A65F8" w:rsidRPr="0061453F" w:rsidRDefault="000A65F8" w:rsidP="002B627D">
      <w:pPr>
        <w:spacing w:after="120" w:line="360" w:lineRule="auto"/>
        <w:jc w:val="both"/>
        <w:rPr>
          <w:rFonts w:cs="Times New Roman"/>
        </w:rPr>
      </w:pPr>
      <w:r w:rsidRPr="0061453F">
        <w:rPr>
          <w:rFonts w:eastAsiaTheme="minorEastAsia" w:cs="Times New Roman"/>
          <w:kern w:val="0"/>
          <w:lang w:eastAsia="en-GB"/>
          <w14:ligatures w14:val="none"/>
        </w:rPr>
        <w:t xml:space="preserve">Minimap2 </w:t>
      </w:r>
      <w:r>
        <w:rPr>
          <w:rFonts w:eastAsiaTheme="minorEastAsia" w:cs="Times New Roman"/>
          <w:kern w:val="0"/>
          <w:lang w:eastAsia="en-GB"/>
          <w14:ligatures w14:val="none"/>
        </w:rPr>
        <w:t xml:space="preserve">(v 2.24) </w:t>
      </w:r>
      <w:r w:rsidRPr="0061453F">
        <w:rPr>
          <w:rFonts w:eastAsiaTheme="minorEastAsia" w:cs="Times New Roman"/>
          <w:kern w:val="0"/>
          <w:lang w:eastAsia="en-GB"/>
          <w14:ligatures w14:val="none"/>
        </w:rPr>
        <w:t xml:space="preserve">was used to align raw reads with base modification tags to the reference human genome (GRCh38) and different modules of </w:t>
      </w:r>
      <w:proofErr w:type="spellStart"/>
      <w:r w:rsidRPr="0061453F">
        <w:rPr>
          <w:rFonts w:eastAsiaTheme="minorEastAsia" w:cs="Times New Roman"/>
          <w:kern w:val="0"/>
          <w:lang w:eastAsia="en-GB"/>
          <w14:ligatures w14:val="none"/>
        </w:rPr>
        <w:t>samtools</w:t>
      </w:r>
      <w:proofErr w:type="spellEnd"/>
      <w:r w:rsidRPr="0061453F">
        <w:rPr>
          <w:rFonts w:eastAsiaTheme="minorEastAsia" w:cs="Times New Roman"/>
          <w:kern w:val="0"/>
          <w:lang w:eastAsia="en-GB"/>
          <w14:ligatures w14:val="none"/>
        </w:rPr>
        <w:t xml:space="preserve"> (v 1.17) were employed for processing the </w:t>
      </w:r>
      <w:r>
        <w:rPr>
          <w:rFonts w:eastAsiaTheme="minorEastAsia" w:cs="Times New Roman"/>
          <w:kern w:val="0"/>
          <w:lang w:eastAsia="en-GB"/>
          <w14:ligatures w14:val="none"/>
        </w:rPr>
        <w:t>BAM</w:t>
      </w:r>
      <w:r w:rsidRPr="0061453F">
        <w:rPr>
          <w:rFonts w:eastAsiaTheme="minorEastAsia" w:cs="Times New Roman"/>
          <w:kern w:val="0"/>
          <w:lang w:eastAsia="en-GB"/>
          <w14:ligatures w14:val="none"/>
        </w:rPr>
        <w:t xml:space="preserve"> files for the recommended steps of methylation signal extraction. The final </w:t>
      </w:r>
      <w:r>
        <w:rPr>
          <w:rFonts w:eastAsiaTheme="minorEastAsia" w:cs="Times New Roman"/>
          <w:kern w:val="0"/>
          <w:lang w:eastAsia="en-GB"/>
          <w14:ligatures w14:val="none"/>
        </w:rPr>
        <w:t>BAMs</w:t>
      </w:r>
      <w:r w:rsidRPr="0061453F">
        <w:rPr>
          <w:rFonts w:eastAsiaTheme="minorEastAsia" w:cs="Times New Roman"/>
          <w:kern w:val="0"/>
          <w:lang w:eastAsia="en-GB"/>
          <w14:ligatures w14:val="none"/>
        </w:rPr>
        <w:t xml:space="preserve"> were then used to quantify 5mC calls in </w:t>
      </w:r>
      <w:proofErr w:type="spellStart"/>
      <w:r w:rsidRPr="0061453F">
        <w:rPr>
          <w:rFonts w:eastAsiaTheme="minorEastAsia" w:cs="Times New Roman"/>
          <w:kern w:val="0"/>
          <w:lang w:eastAsia="en-GB"/>
          <w14:ligatures w14:val="none"/>
        </w:rPr>
        <w:t>bedMethyl</w:t>
      </w:r>
      <w:proofErr w:type="spellEnd"/>
      <w:r w:rsidRPr="0061453F">
        <w:rPr>
          <w:rFonts w:eastAsiaTheme="minorEastAsia" w:cs="Times New Roman"/>
          <w:kern w:val="0"/>
          <w:lang w:eastAsia="en-GB"/>
          <w14:ligatures w14:val="none"/>
        </w:rPr>
        <w:t xml:space="preserve"> format using </w:t>
      </w:r>
      <w:proofErr w:type="spellStart"/>
      <w:r w:rsidRPr="0061453F">
        <w:rPr>
          <w:rFonts w:eastAsiaTheme="minorEastAsia" w:cs="Times New Roman"/>
          <w:kern w:val="0"/>
          <w:lang w:eastAsia="en-GB"/>
          <w14:ligatures w14:val="none"/>
        </w:rPr>
        <w:t>modkit</w:t>
      </w:r>
      <w:proofErr w:type="spellEnd"/>
      <w:r w:rsidRPr="0061453F">
        <w:rPr>
          <w:rFonts w:eastAsiaTheme="minorEastAsia" w:cs="Times New Roman"/>
          <w:kern w:val="0"/>
          <w:lang w:eastAsia="en-GB"/>
          <w14:ligatures w14:val="none"/>
        </w:rPr>
        <w:t xml:space="preserve"> pileup (v 0.</w:t>
      </w:r>
      <w:r>
        <w:rPr>
          <w:rFonts w:eastAsiaTheme="minorEastAsia" w:cs="Times New Roman"/>
          <w:kern w:val="0"/>
          <w:lang w:eastAsia="en-GB"/>
          <w14:ligatures w14:val="none"/>
        </w:rPr>
        <w:t>4</w:t>
      </w:r>
      <w:r w:rsidRPr="0061453F">
        <w:rPr>
          <w:rFonts w:eastAsiaTheme="minorEastAsia" w:cs="Times New Roman"/>
          <w:kern w:val="0"/>
          <w:lang w:eastAsia="en-GB"/>
          <w14:ligatures w14:val="none"/>
        </w:rPr>
        <w:t xml:space="preserve">.1). </w:t>
      </w:r>
      <w:proofErr w:type="spellStart"/>
      <w:r w:rsidRPr="0061453F">
        <w:rPr>
          <w:rFonts w:eastAsiaTheme="minorEastAsia" w:cs="Times New Roman"/>
          <w:kern w:val="0"/>
          <w:lang w:eastAsia="en-GB"/>
          <w14:ligatures w14:val="none"/>
        </w:rPr>
        <w:t>Modkit</w:t>
      </w:r>
      <w:proofErr w:type="spellEnd"/>
      <w:r w:rsidRPr="0061453F">
        <w:rPr>
          <w:rFonts w:eastAsiaTheme="minorEastAsia" w:cs="Times New Roman"/>
          <w:kern w:val="0"/>
          <w:lang w:eastAsia="en-GB"/>
          <w14:ligatures w14:val="none"/>
        </w:rPr>
        <w:t xml:space="preserve"> DMR (v 0.4.1) was used to identify differential methylation regions (DMRs) by comparing 8 non-BC samples and 13 BC samples. The following filtering criteria were applied to retain high-confidence DMRs: a) ≥ 10 </w:t>
      </w:r>
      <w:proofErr w:type="spellStart"/>
      <w:r w:rsidRPr="0061453F">
        <w:rPr>
          <w:rFonts w:eastAsiaTheme="minorEastAsia" w:cs="Times New Roman"/>
          <w:kern w:val="0"/>
          <w:lang w:eastAsia="en-GB"/>
          <w14:ligatures w14:val="none"/>
        </w:rPr>
        <w:t>CpGs</w:t>
      </w:r>
      <w:proofErr w:type="spellEnd"/>
      <w:r w:rsidRPr="0061453F">
        <w:rPr>
          <w:rFonts w:eastAsiaTheme="minorEastAsia" w:cs="Times New Roman"/>
          <w:kern w:val="0"/>
          <w:lang w:eastAsia="en-GB"/>
          <w14:ligatures w14:val="none"/>
        </w:rPr>
        <w:t xml:space="preserve"> per segment, b) segment length ≥ 300 bp, c) HMM score &gt; 100, and d) base modification fraction &gt; 0.5</w:t>
      </w:r>
      <w:r>
        <w:rPr>
          <w:rFonts w:eastAsiaTheme="minorEastAsia" w:cs="Times New Roman"/>
          <w:kern w:val="0"/>
          <w:lang w:eastAsia="en-GB"/>
          <w14:ligatures w14:val="none"/>
        </w:rPr>
        <w:t xml:space="preserve"> in either BC or non-BC</w:t>
      </w:r>
      <w:r w:rsidRPr="0061453F">
        <w:rPr>
          <w:rFonts w:eastAsiaTheme="minorEastAsia" w:cs="Times New Roman"/>
          <w:kern w:val="0"/>
          <w:lang w:eastAsia="en-GB"/>
          <w14:ligatures w14:val="none"/>
        </w:rPr>
        <w:t>. The remaining DMRs</w:t>
      </w:r>
      <w:r>
        <w:rPr>
          <w:rFonts w:eastAsiaTheme="minorEastAsia" w:cs="Times New Roman"/>
          <w:kern w:val="0"/>
          <w:lang w:eastAsia="en-GB"/>
          <w14:ligatures w14:val="none"/>
        </w:rPr>
        <w:t xml:space="preserve"> (</w:t>
      </w:r>
      <w:r w:rsidRPr="00A76ED6">
        <w:rPr>
          <w:rFonts w:eastAsiaTheme="minorEastAsia" w:cs="Times New Roman"/>
          <w:kern w:val="0"/>
          <w:lang w:eastAsia="en-GB"/>
          <w14:ligatures w14:val="none"/>
        </w:rPr>
        <w:t>0.2</w:t>
      </w:r>
      <w:r w:rsidR="00DB31CD">
        <w:rPr>
          <w:rFonts w:eastAsiaTheme="minorEastAsia" w:cs="Times New Roman"/>
          <w:kern w:val="0"/>
          <w:lang w:eastAsia="en-GB"/>
          <w14:ligatures w14:val="none"/>
        </w:rPr>
        <w:t xml:space="preserve"> million</w:t>
      </w:r>
      <w:r w:rsidRPr="00D52E43">
        <w:rPr>
          <w:rFonts w:eastAsiaTheme="minorEastAsia" w:cs="Times New Roman"/>
          <w:kern w:val="0"/>
          <w:lang w:eastAsia="en-GB"/>
          <w14:ligatures w14:val="none"/>
        </w:rPr>
        <w:t xml:space="preserve"> segments</w:t>
      </w:r>
      <w:r>
        <w:rPr>
          <w:rFonts w:eastAsiaTheme="minorEastAsia" w:cs="Times New Roman"/>
          <w:kern w:val="0"/>
          <w:lang w:eastAsia="en-GB"/>
          <w14:ligatures w14:val="none"/>
        </w:rPr>
        <w:t>)</w:t>
      </w:r>
      <w:r w:rsidRPr="0061453F">
        <w:rPr>
          <w:rFonts w:eastAsiaTheme="minorEastAsia" w:cs="Times New Roman"/>
          <w:kern w:val="0"/>
          <w:lang w:eastAsia="en-GB"/>
          <w14:ligatures w14:val="none"/>
        </w:rPr>
        <w:t xml:space="preserve"> were used to construct a matrix of methylation scores across samples using </w:t>
      </w:r>
      <w:proofErr w:type="spellStart"/>
      <w:r w:rsidRPr="0061453F">
        <w:rPr>
          <w:rFonts w:eastAsiaTheme="minorEastAsia" w:cs="Times New Roman"/>
          <w:kern w:val="0"/>
          <w:lang w:eastAsia="en-GB"/>
          <w14:ligatures w14:val="none"/>
        </w:rPr>
        <w:t>deepTools</w:t>
      </w:r>
      <w:proofErr w:type="spellEnd"/>
      <w:r w:rsidRPr="0061453F">
        <w:rPr>
          <w:rFonts w:eastAsiaTheme="minorEastAsia" w:cs="Times New Roman"/>
          <w:kern w:val="0"/>
          <w:lang w:eastAsia="en-GB"/>
          <w14:ligatures w14:val="none"/>
        </w:rPr>
        <w:t xml:space="preserve"> (v 3.5.2)</w:t>
      </w:r>
      <w:r>
        <w:rPr>
          <w:rFonts w:eastAsiaTheme="minorEastAsia" w:cs="Times New Roman"/>
          <w:kern w:val="0"/>
          <w:lang w:eastAsia="en-GB"/>
          <w14:ligatures w14:val="none"/>
        </w:rPr>
        <w:t>.</w:t>
      </w:r>
      <w:r w:rsidRPr="0061453F">
        <w:rPr>
          <w:rFonts w:eastAsiaTheme="minorEastAsia" w:cs="Times New Roman"/>
          <w:kern w:val="0"/>
          <w:lang w:eastAsia="en-GB"/>
          <w14:ligatures w14:val="none"/>
        </w:rPr>
        <w:t xml:space="preserve"> </w:t>
      </w:r>
      <w:r>
        <w:rPr>
          <w:rFonts w:eastAsiaTheme="minorEastAsia" w:cs="Times New Roman"/>
          <w:kern w:val="0"/>
          <w:lang w:eastAsia="en-GB"/>
          <w14:ligatures w14:val="none"/>
        </w:rPr>
        <w:t>T</w:t>
      </w:r>
      <w:r w:rsidRPr="0061453F">
        <w:rPr>
          <w:rFonts w:eastAsiaTheme="minorEastAsia" w:cs="Times New Roman"/>
          <w:kern w:val="0"/>
          <w:lang w:eastAsia="en-GB"/>
          <w14:ligatures w14:val="none"/>
        </w:rPr>
        <w:t xml:space="preserve">o identify the most significant </w:t>
      </w:r>
      <w:r>
        <w:rPr>
          <w:rFonts w:eastAsiaTheme="minorEastAsia" w:cs="Times New Roman"/>
          <w:kern w:val="0"/>
          <w:lang w:eastAsia="en-GB"/>
          <w14:ligatures w14:val="none"/>
        </w:rPr>
        <w:t xml:space="preserve">DMR </w:t>
      </w:r>
      <w:r w:rsidRPr="0061453F">
        <w:rPr>
          <w:rFonts w:eastAsiaTheme="minorEastAsia" w:cs="Times New Roman"/>
          <w:kern w:val="0"/>
          <w:lang w:eastAsia="en-GB"/>
          <w14:ligatures w14:val="none"/>
        </w:rPr>
        <w:t>segments the Mann-Whitney test</w:t>
      </w:r>
      <w:r>
        <w:rPr>
          <w:rFonts w:eastAsiaTheme="minorEastAsia" w:cs="Times New Roman"/>
          <w:kern w:val="0"/>
          <w:lang w:eastAsia="en-GB"/>
          <w14:ligatures w14:val="none"/>
        </w:rPr>
        <w:t xml:space="preserve"> was applied</w:t>
      </w:r>
      <w:r w:rsidRPr="0061453F">
        <w:rPr>
          <w:rFonts w:eastAsiaTheme="minorEastAsia" w:cs="Times New Roman"/>
          <w:kern w:val="0"/>
          <w:lang w:eastAsia="en-GB"/>
          <w14:ligatures w14:val="none"/>
        </w:rPr>
        <w:t xml:space="preserve"> comparing scaled scores between BC and non-BC samples and</w:t>
      </w:r>
      <w:r>
        <w:rPr>
          <w:rFonts w:eastAsiaTheme="minorEastAsia" w:cs="Times New Roman"/>
          <w:kern w:val="0"/>
          <w:lang w:eastAsia="en-GB"/>
          <w14:ligatures w14:val="none"/>
        </w:rPr>
        <w:t xml:space="preserve"> </w:t>
      </w:r>
      <w:r w:rsidRPr="0061453F">
        <w:rPr>
          <w:rFonts w:eastAsiaTheme="minorEastAsia" w:cs="Times New Roman"/>
          <w:kern w:val="0"/>
          <w:lang w:eastAsia="en-GB"/>
          <w14:ligatures w14:val="none"/>
        </w:rPr>
        <w:t>select</w:t>
      </w:r>
      <w:r>
        <w:rPr>
          <w:rFonts w:eastAsiaTheme="minorEastAsia" w:cs="Times New Roman"/>
          <w:kern w:val="0"/>
          <w:lang w:eastAsia="en-GB"/>
          <w14:ligatures w14:val="none"/>
        </w:rPr>
        <w:t>ing</w:t>
      </w:r>
      <w:r w:rsidRPr="0061453F">
        <w:rPr>
          <w:rFonts w:eastAsiaTheme="minorEastAsia" w:cs="Times New Roman"/>
          <w:kern w:val="0"/>
          <w:lang w:eastAsia="en-GB"/>
          <w14:ligatures w14:val="none"/>
        </w:rPr>
        <w:t xml:space="preserve"> only those </w:t>
      </w:r>
      <w:r>
        <w:rPr>
          <w:rFonts w:eastAsiaTheme="minorEastAsia" w:cs="Times New Roman"/>
          <w:kern w:val="0"/>
          <w:lang w:eastAsia="en-GB"/>
          <w14:ligatures w14:val="none"/>
        </w:rPr>
        <w:t xml:space="preserve">segments </w:t>
      </w:r>
      <w:r w:rsidRPr="0061453F">
        <w:rPr>
          <w:rFonts w:eastAsiaTheme="minorEastAsia" w:cs="Times New Roman"/>
          <w:kern w:val="0"/>
          <w:lang w:eastAsia="en-GB"/>
          <w14:ligatures w14:val="none"/>
        </w:rPr>
        <w:t xml:space="preserve">with p-value &lt; 0.05. </w:t>
      </w:r>
      <w:r>
        <w:rPr>
          <w:rFonts w:eastAsiaTheme="minorEastAsia" w:cs="Times New Roman"/>
          <w:kern w:val="0"/>
          <w:lang w:eastAsia="en-GB"/>
          <w14:ligatures w14:val="none"/>
        </w:rPr>
        <w:t>The final set of</w:t>
      </w:r>
      <w:r w:rsidRPr="0061453F">
        <w:rPr>
          <w:rFonts w:eastAsiaTheme="minorEastAsia" w:cs="Times New Roman"/>
          <w:kern w:val="0"/>
          <w:lang w:eastAsia="en-GB"/>
          <w14:ligatures w14:val="none"/>
        </w:rPr>
        <w:t xml:space="preserve"> 10,479 DMRs were used for principal component analysis (PCA) to differentiate between BC and non-BC urine samples. </w:t>
      </w:r>
      <w:proofErr w:type="spellStart"/>
      <w:r w:rsidRPr="0061453F">
        <w:rPr>
          <w:rFonts w:eastAsiaTheme="minorEastAsia" w:cs="Times New Roman"/>
          <w:kern w:val="0"/>
          <w:lang w:eastAsia="en-GB"/>
          <w14:ligatures w14:val="none"/>
        </w:rPr>
        <w:t>ChIPseeker</w:t>
      </w:r>
      <w:proofErr w:type="spellEnd"/>
      <w:r>
        <w:rPr>
          <w:rFonts w:eastAsiaTheme="minorEastAsia" w:cs="Times New Roman"/>
          <w:kern w:val="0"/>
          <w:lang w:eastAsia="en-GB"/>
          <w14:ligatures w14:val="none"/>
        </w:rPr>
        <w:t xml:space="preserve"> (</w:t>
      </w:r>
      <w:r w:rsidRPr="006B7575">
        <w:rPr>
          <w:rFonts w:eastAsiaTheme="minorEastAsia" w:cs="Times New Roman"/>
          <w:kern w:val="0"/>
          <w:lang w:eastAsia="en-GB"/>
          <w14:ligatures w14:val="none"/>
        </w:rPr>
        <w:t xml:space="preserve">v </w:t>
      </w:r>
      <w:r>
        <w:rPr>
          <w:rFonts w:eastAsiaTheme="minorEastAsia" w:cs="Times New Roman"/>
          <w:kern w:val="0"/>
          <w:lang w:eastAsia="en-GB"/>
          <w14:ligatures w14:val="none"/>
        </w:rPr>
        <w:t>1.40.0)</w:t>
      </w:r>
      <w:r w:rsidRPr="0061453F">
        <w:rPr>
          <w:rFonts w:eastAsiaTheme="minorEastAsia" w:cs="Times New Roman"/>
          <w:kern w:val="0"/>
          <w:lang w:eastAsia="en-GB"/>
          <w14:ligatures w14:val="none"/>
        </w:rPr>
        <w:t xml:space="preserve"> was used to annotate the DMR</w:t>
      </w:r>
      <w:r>
        <w:rPr>
          <w:rFonts w:eastAsiaTheme="minorEastAsia" w:cs="Times New Roman"/>
          <w:kern w:val="0"/>
          <w:lang w:eastAsia="en-GB"/>
          <w14:ligatures w14:val="none"/>
        </w:rPr>
        <w:t xml:space="preserve"> coordinates for genomic context</w:t>
      </w:r>
      <w:r w:rsidRPr="0061453F">
        <w:rPr>
          <w:rFonts w:eastAsiaTheme="minorEastAsia" w:cs="Times New Roman"/>
          <w:kern w:val="0"/>
          <w:lang w:eastAsia="en-GB"/>
          <w14:ligatures w14:val="none"/>
        </w:rPr>
        <w:t xml:space="preserve">. </w:t>
      </w:r>
    </w:p>
    <w:p w14:paraId="5C2CECE9" w14:textId="77777777" w:rsidR="00BA0567" w:rsidRPr="0061453F" w:rsidRDefault="00BA0567" w:rsidP="002B627D">
      <w:pPr>
        <w:spacing w:before="40" w:after="120" w:line="360" w:lineRule="auto"/>
        <w:jc w:val="both"/>
        <w:rPr>
          <w:rFonts w:eastAsiaTheme="minorEastAsia" w:cs="Times New Roman"/>
          <w:kern w:val="0"/>
          <w:lang w:eastAsia="en-GB"/>
          <w14:ligatures w14:val="none"/>
        </w:rPr>
      </w:pPr>
    </w:p>
    <w:p w14:paraId="26239FDF" w14:textId="77777777" w:rsidR="000A65F8" w:rsidRPr="0061453F" w:rsidRDefault="000A65F8" w:rsidP="002B627D">
      <w:pPr>
        <w:spacing w:line="360" w:lineRule="auto"/>
        <w:jc w:val="both"/>
        <w:rPr>
          <w:rFonts w:cs="Times New Roman"/>
          <w:b/>
          <w:bCs/>
        </w:rPr>
      </w:pPr>
      <w:r w:rsidRPr="0061453F">
        <w:rPr>
          <w:rFonts w:cs="Times New Roman"/>
          <w:b/>
          <w:bCs/>
        </w:rPr>
        <w:t xml:space="preserve">Status of known biomarkers in </w:t>
      </w:r>
      <w:r>
        <w:rPr>
          <w:rFonts w:cs="Times New Roman"/>
          <w:b/>
          <w:bCs/>
          <w:lang w:val="en-US"/>
        </w:rPr>
        <w:t>n</w:t>
      </w:r>
      <w:r w:rsidRPr="0061453F">
        <w:rPr>
          <w:rFonts w:cs="Times New Roman"/>
          <w:b/>
          <w:bCs/>
          <w:lang w:val="en-US"/>
        </w:rPr>
        <w:t xml:space="preserve">anopore methylation data </w:t>
      </w:r>
    </w:p>
    <w:p w14:paraId="3FB8F352" w14:textId="0FE3674B" w:rsidR="000A65F8" w:rsidRPr="0061453F" w:rsidRDefault="000A65F8" w:rsidP="002B627D">
      <w:pPr>
        <w:spacing w:line="360" w:lineRule="auto"/>
        <w:jc w:val="both"/>
        <w:rPr>
          <w:rFonts w:cs="Times New Roman"/>
        </w:rPr>
      </w:pPr>
      <w:r w:rsidRPr="0061453F">
        <w:rPr>
          <w:rFonts w:cs="Times New Roman"/>
        </w:rPr>
        <w:t>For the five well-known biomarkers of hypermethylation in bladder cancer, their Transcription Start Site (TSS) w</w:t>
      </w:r>
      <w:r>
        <w:rPr>
          <w:rFonts w:cs="Times New Roman"/>
        </w:rPr>
        <w:t>ere</w:t>
      </w:r>
      <w:r w:rsidRPr="0061453F">
        <w:rPr>
          <w:rFonts w:cs="Times New Roman"/>
        </w:rPr>
        <w:t xml:space="preserve"> identified using the MANE (Matched Annotation from </w:t>
      </w:r>
      <w:r w:rsidRPr="0061453F">
        <w:rPr>
          <w:rFonts w:cs="Times New Roman"/>
        </w:rPr>
        <w:lastRenderedPageBreak/>
        <w:t>NCBI and EMBL-EBI) select transcript (</w:t>
      </w:r>
      <w:r w:rsidRPr="0061453F">
        <w:rPr>
          <w:rFonts w:eastAsiaTheme="minorEastAsia" w:cs="Times New Roman"/>
          <w:kern w:val="0"/>
          <w:lang w:eastAsia="en-GB"/>
          <w14:ligatures w14:val="none"/>
        </w:rPr>
        <w:t>GRCh38</w:t>
      </w:r>
      <w:r w:rsidRPr="0061453F">
        <w:rPr>
          <w:rFonts w:cs="Times New Roman"/>
        </w:rPr>
        <w:t xml:space="preserve"> genome version, UCSC Table Browser track) and then a genomic coordinate of 2kb span with TSS at the centre was used to extract per CpG position 5mC modification fraction in the Non-BC and BC ONT whole-genome sequencing. 5mC modification fraction</w:t>
      </w:r>
      <w:r w:rsidR="00DB31CD">
        <w:rPr>
          <w:rFonts w:cs="Times New Roman"/>
        </w:rPr>
        <w:t>s</w:t>
      </w:r>
      <w:r w:rsidRPr="0061453F">
        <w:rPr>
          <w:rFonts w:cs="Times New Roman"/>
        </w:rPr>
        <w:t xml:space="preserve"> w</w:t>
      </w:r>
      <w:r w:rsidR="00DB31CD">
        <w:rPr>
          <w:rFonts w:cs="Times New Roman"/>
        </w:rPr>
        <w:t>ere</w:t>
      </w:r>
      <w:r w:rsidRPr="0061453F">
        <w:rPr>
          <w:rFonts w:cs="Times New Roman"/>
        </w:rPr>
        <w:t xml:space="preserve"> used to generate boxplots for BC and non-BC</w:t>
      </w:r>
      <w:r>
        <w:rPr>
          <w:rFonts w:cs="Times New Roman"/>
        </w:rPr>
        <w:t xml:space="preserve"> samples</w:t>
      </w:r>
      <w:r w:rsidRPr="0061453F">
        <w:rPr>
          <w:rFonts w:cs="Times New Roman"/>
        </w:rPr>
        <w:t>.</w:t>
      </w:r>
    </w:p>
    <w:p w14:paraId="355B6B4E" w14:textId="77777777" w:rsidR="000A65F8" w:rsidRPr="0061453F" w:rsidRDefault="000A65F8" w:rsidP="002B627D">
      <w:pPr>
        <w:spacing w:line="360" w:lineRule="auto"/>
        <w:jc w:val="both"/>
        <w:rPr>
          <w:rFonts w:cs="Times New Roman"/>
          <w:b/>
          <w:bCs/>
        </w:rPr>
      </w:pPr>
    </w:p>
    <w:p w14:paraId="0F305300" w14:textId="77777777" w:rsidR="000A65F8" w:rsidRPr="0061453F" w:rsidRDefault="000A65F8" w:rsidP="002B627D">
      <w:pPr>
        <w:spacing w:line="360" w:lineRule="auto"/>
        <w:jc w:val="both"/>
        <w:rPr>
          <w:b/>
          <w:bCs/>
        </w:rPr>
      </w:pPr>
      <w:r w:rsidRPr="0061453F">
        <w:rPr>
          <w:b/>
          <w:bCs/>
        </w:rPr>
        <w:t>Pathway analysis</w:t>
      </w:r>
    </w:p>
    <w:p w14:paraId="4BECDB4D" w14:textId="6E160AE9" w:rsidR="000A65F8" w:rsidRPr="0061453F" w:rsidRDefault="000A65F8" w:rsidP="002B627D">
      <w:pPr>
        <w:spacing w:after="120" w:line="360" w:lineRule="auto"/>
        <w:jc w:val="both"/>
        <w:rPr>
          <w:rFonts w:cs="Times New Roman"/>
        </w:rPr>
      </w:pPr>
      <w:r w:rsidRPr="0061453F">
        <w:rPr>
          <w:rFonts w:cs="Times New Roman"/>
        </w:rPr>
        <w:t xml:space="preserve">Genes with DMRs detected in </w:t>
      </w:r>
      <w:r>
        <w:rPr>
          <w:rFonts w:cs="Times New Roman"/>
        </w:rPr>
        <w:t xml:space="preserve">either </w:t>
      </w:r>
      <w:r w:rsidRPr="0061453F">
        <w:rPr>
          <w:rFonts w:cs="Times New Roman"/>
        </w:rPr>
        <w:t>their promoter</w:t>
      </w:r>
      <w:r>
        <w:rPr>
          <w:rFonts w:cs="Times New Roman"/>
        </w:rPr>
        <w:t xml:space="preserve"> </w:t>
      </w:r>
      <w:r w:rsidRPr="0061453F">
        <w:rPr>
          <w:rFonts w:cs="Times New Roman"/>
        </w:rPr>
        <w:t>(3kb flank of TSS)</w:t>
      </w:r>
      <w:r>
        <w:rPr>
          <w:rFonts w:cs="Times New Roman"/>
        </w:rPr>
        <w:t xml:space="preserve"> and/ or gene body (exon/ intron)</w:t>
      </w:r>
      <w:r w:rsidRPr="0061453F">
        <w:rPr>
          <w:rFonts w:cs="Times New Roman"/>
        </w:rPr>
        <w:t xml:space="preserve"> regions were used to perform Gene Set Enrichment analysis (GSEA) </w:t>
      </w:r>
      <w:r>
        <w:rPr>
          <w:rFonts w:cs="Times New Roman"/>
        </w:rPr>
        <w:t xml:space="preserve">using </w:t>
      </w:r>
      <w:r w:rsidRPr="0061453F">
        <w:rPr>
          <w:rFonts w:cs="Times New Roman"/>
        </w:rPr>
        <w:t>the BC vs. non-BC</w:t>
      </w:r>
      <w:r>
        <w:rPr>
          <w:rFonts w:cs="Times New Roman"/>
        </w:rPr>
        <w:t xml:space="preserve"> 5mC modification fraction</w:t>
      </w:r>
      <w:r w:rsidRPr="00B76CEC">
        <w:rPr>
          <w:rFonts w:cs="Times New Roman"/>
        </w:rPr>
        <w:t xml:space="preserve"> </w:t>
      </w:r>
      <w:r w:rsidRPr="0061453F">
        <w:rPr>
          <w:rFonts w:cs="Times New Roman"/>
        </w:rPr>
        <w:t>delta value</w:t>
      </w:r>
      <w:r>
        <w:rPr>
          <w:rFonts w:cs="Times New Roman"/>
        </w:rPr>
        <w:t xml:space="preserve"> </w:t>
      </w:r>
      <w:r w:rsidR="00A77B08">
        <w:rPr>
          <w:rFonts w:cs="Times New Roman"/>
        </w:rPr>
        <w:t xml:space="preserve">for </w:t>
      </w:r>
      <w:r>
        <w:rPr>
          <w:rFonts w:cs="Times New Roman"/>
        </w:rPr>
        <w:t>rank</w:t>
      </w:r>
      <w:r w:rsidR="00A77B08">
        <w:rPr>
          <w:rFonts w:cs="Times New Roman"/>
        </w:rPr>
        <w:t>ing</w:t>
      </w:r>
      <w:r w:rsidRPr="0061453F">
        <w:rPr>
          <w:rFonts w:cs="Times New Roman"/>
        </w:rPr>
        <w:t>.</w:t>
      </w:r>
      <w:r>
        <w:rPr>
          <w:rFonts w:cs="Times New Roman"/>
        </w:rPr>
        <w:t xml:space="preserve"> For genes with more than one qualifying DMR segment, the segment with maximum delta value was chosen as representative rank for that gene. In total, 2769 genes </w:t>
      </w:r>
      <w:r w:rsidR="00744769">
        <w:rPr>
          <w:rFonts w:cs="Times New Roman"/>
        </w:rPr>
        <w:t>were ranked and</w:t>
      </w:r>
      <w:r>
        <w:rPr>
          <w:rFonts w:cs="Times New Roman"/>
        </w:rPr>
        <w:t xml:space="preserve"> analysed using </w:t>
      </w:r>
      <w:proofErr w:type="spellStart"/>
      <w:r>
        <w:rPr>
          <w:rFonts w:cs="Times New Roman"/>
        </w:rPr>
        <w:t>fgsea</w:t>
      </w:r>
      <w:proofErr w:type="spellEnd"/>
      <w:r>
        <w:rPr>
          <w:rFonts w:cs="Times New Roman"/>
        </w:rPr>
        <w:t xml:space="preserve"> (v 1.30.0) on the </w:t>
      </w:r>
      <w:proofErr w:type="spellStart"/>
      <w:r>
        <w:rPr>
          <w:rFonts w:cs="Times New Roman"/>
        </w:rPr>
        <w:t>MSigDB</w:t>
      </w:r>
      <w:proofErr w:type="spellEnd"/>
      <w:r>
        <w:rPr>
          <w:rFonts w:cs="Times New Roman"/>
        </w:rPr>
        <w:t xml:space="preserve"> hallmark pathway set (release 7.5.1) to identify statistical significance at normalised enrichment score (NES) &gt;= 1.5/ &lt;= -1.5, and adjusted p-value &lt;=0.05.</w:t>
      </w:r>
    </w:p>
    <w:p w14:paraId="58A5EA92" w14:textId="77777777" w:rsidR="000A65F8" w:rsidRDefault="000A65F8" w:rsidP="002B627D">
      <w:pPr>
        <w:spacing w:line="360" w:lineRule="auto"/>
        <w:jc w:val="both"/>
      </w:pPr>
    </w:p>
    <w:p w14:paraId="7024B575" w14:textId="77777777" w:rsidR="000A65F8" w:rsidRPr="005D43CA" w:rsidRDefault="000A65F8" w:rsidP="002B627D">
      <w:pPr>
        <w:spacing w:line="360" w:lineRule="auto"/>
        <w:jc w:val="both"/>
        <w:rPr>
          <w:b/>
          <w:bCs/>
        </w:rPr>
      </w:pPr>
      <w:r w:rsidRPr="005D43CA">
        <w:rPr>
          <w:b/>
          <w:bCs/>
        </w:rPr>
        <w:t>Repetitive element content assessment within DMRs</w:t>
      </w:r>
    </w:p>
    <w:p w14:paraId="4B524237" w14:textId="71040584" w:rsidR="000A65F8" w:rsidRDefault="000A65F8" w:rsidP="002B627D">
      <w:pPr>
        <w:spacing w:line="360" w:lineRule="auto"/>
        <w:jc w:val="both"/>
      </w:pPr>
      <w:r w:rsidRPr="005D43CA">
        <w:t xml:space="preserve">The final set of DMR (10,479) coordinates were used to calculate overlap </w:t>
      </w:r>
      <w:r w:rsidR="00671FB3">
        <w:t>with</w:t>
      </w:r>
      <w:r w:rsidR="00671FB3" w:rsidRPr="005D43CA">
        <w:t xml:space="preserve"> </w:t>
      </w:r>
      <w:r w:rsidRPr="005D43CA">
        <w:t xml:space="preserve">the known repetitive element content in the human genome (UCSC </w:t>
      </w:r>
      <w:proofErr w:type="spellStart"/>
      <w:r w:rsidRPr="005D43CA">
        <w:t>RepeatMasker</w:t>
      </w:r>
      <w:proofErr w:type="spellEnd"/>
      <w:r w:rsidRPr="005D43CA">
        <w:t xml:space="preserve"> annotation; v October 2022). </w:t>
      </w:r>
      <w:proofErr w:type="spellStart"/>
      <w:r w:rsidRPr="005D43CA">
        <w:t>AnnotationHub</w:t>
      </w:r>
      <w:proofErr w:type="spellEnd"/>
      <w:r w:rsidRPr="005D43CA">
        <w:t xml:space="preserve"> (v 3.12.0) was used to retrieve the repetitive elements coordinates, and </w:t>
      </w:r>
      <w:proofErr w:type="spellStart"/>
      <w:r w:rsidRPr="005D43CA">
        <w:t>GenomicRanges</w:t>
      </w:r>
      <w:proofErr w:type="spellEnd"/>
      <w:r w:rsidRPr="005D43CA">
        <w:t xml:space="preserve"> (v 1.56.1) was used to calculate the overlap</w:t>
      </w:r>
      <w:r>
        <w:t xml:space="preserve"> with DMRs</w:t>
      </w:r>
      <w:r w:rsidRPr="005D43CA">
        <w:t>. Mann-Whitney test</w:t>
      </w:r>
      <w:r w:rsidR="00671FB3">
        <w:t>s were used</w:t>
      </w:r>
      <w:r w:rsidRPr="005D43CA">
        <w:t xml:space="preserve"> to calculate the significance of repetitive element content (overlap fraction)</w:t>
      </w:r>
      <w:r>
        <w:t xml:space="preserve"> difference</w:t>
      </w:r>
      <w:r w:rsidRPr="005D43CA">
        <w:t xml:space="preserve"> between hyper- and hypo-methylated DMRs.</w:t>
      </w:r>
    </w:p>
    <w:p w14:paraId="6E5CA563" w14:textId="77777777" w:rsidR="000973B8" w:rsidRPr="005D43CA" w:rsidRDefault="000973B8" w:rsidP="002B627D">
      <w:pPr>
        <w:spacing w:line="360" w:lineRule="auto"/>
        <w:jc w:val="both"/>
      </w:pPr>
    </w:p>
    <w:p w14:paraId="56CDA00A" w14:textId="584E08E6" w:rsidR="000973B8" w:rsidRPr="00E612CC" w:rsidRDefault="00DE187C" w:rsidP="000973B8">
      <w:pPr>
        <w:spacing w:before="40" w:after="120" w:line="360" w:lineRule="auto"/>
        <w:jc w:val="both"/>
        <w:rPr>
          <w:rFonts w:eastAsiaTheme="minorEastAsia" w:cs="Times New Roman"/>
          <w:b/>
          <w:bCs/>
          <w:kern w:val="0"/>
          <w:lang w:eastAsia="en-GB"/>
          <w14:ligatures w14:val="none"/>
        </w:rPr>
      </w:pPr>
      <w:r w:rsidRPr="00E612CC">
        <w:rPr>
          <w:rFonts w:eastAsiaTheme="minorEastAsia" w:cs="Times New Roman"/>
          <w:b/>
          <w:bCs/>
          <w:kern w:val="0"/>
          <w:lang w:eastAsia="en-GB"/>
          <w14:ligatures w14:val="none"/>
        </w:rPr>
        <w:t>Random Background Models</w:t>
      </w:r>
    </w:p>
    <w:p w14:paraId="5968062E" w14:textId="14F7EA39" w:rsidR="009E4955" w:rsidRPr="00E612CC" w:rsidRDefault="009E4955" w:rsidP="009E4955">
      <w:pPr>
        <w:spacing w:before="40" w:after="120" w:line="360" w:lineRule="auto"/>
        <w:jc w:val="both"/>
      </w:pPr>
      <w:r w:rsidRPr="00E612CC">
        <w:t xml:space="preserve">We used two different randomisation strategies to </w:t>
      </w:r>
      <w:r w:rsidR="00CE71AE" w:rsidRPr="00E612CC">
        <w:t xml:space="preserve">assess if the overall findings </w:t>
      </w:r>
      <w:r w:rsidR="00A7630E" w:rsidRPr="00E612CC">
        <w:t>of the DMR analyses truly capture</w:t>
      </w:r>
      <w:r w:rsidRPr="00E612CC">
        <w:t xml:space="preserve"> </w:t>
      </w:r>
      <w:r w:rsidR="00E612CC">
        <w:t xml:space="preserve">disease </w:t>
      </w:r>
      <w:r w:rsidR="00A7630E" w:rsidRPr="00E612CC">
        <w:t xml:space="preserve">specific differences </w:t>
      </w:r>
      <w:r w:rsidR="00E612CC">
        <w:t>rather than</w:t>
      </w:r>
      <w:r w:rsidR="00A7630E" w:rsidRPr="00E612CC">
        <w:t xml:space="preserve"> random findings due to the high number of potential DMRs.</w:t>
      </w:r>
      <w:r w:rsidRPr="00E612CC">
        <w:t xml:space="preserve"> In one, the sample assignment to the test and control groups was randomised and the DMR calling process repeated. In the second, random segment sets were used to perform gene set enrichment analyses.</w:t>
      </w:r>
    </w:p>
    <w:p w14:paraId="06C1E5CF" w14:textId="77777777" w:rsidR="009E4955" w:rsidRPr="00E612CC" w:rsidRDefault="009E4955" w:rsidP="009E4955">
      <w:pPr>
        <w:spacing w:before="40" w:after="120" w:line="360" w:lineRule="auto"/>
        <w:jc w:val="both"/>
      </w:pPr>
    </w:p>
    <w:p w14:paraId="5799FA88" w14:textId="71922265" w:rsidR="009E4955" w:rsidRPr="00E612CC" w:rsidRDefault="009E4955" w:rsidP="009E4955">
      <w:pPr>
        <w:spacing w:before="40" w:after="120" w:line="360" w:lineRule="auto"/>
        <w:jc w:val="both"/>
      </w:pPr>
      <w:r w:rsidRPr="00E612CC">
        <w:lastRenderedPageBreak/>
        <w:t>Randomised group comparisons for DMR calling - Here the two groups: test (BC) and control (</w:t>
      </w:r>
      <w:r w:rsidR="00303A8F">
        <w:t>n</w:t>
      </w:r>
      <w:r w:rsidRPr="00E612CC">
        <w:t xml:space="preserve">on-BC), retained the size of the original comparison (i.e. 13 and 8 respectively), but the sample assignment to the groups was done by shuffling the total set of 21 samples. 50 such iterations were carried out, and for each comparison </w:t>
      </w:r>
      <w:proofErr w:type="spellStart"/>
      <w:r w:rsidRPr="00E612CC">
        <w:t>modkit</w:t>
      </w:r>
      <w:proofErr w:type="spellEnd"/>
      <w:r w:rsidRPr="00E612CC">
        <w:t xml:space="preserve"> DMR run, segment filtering steps and Mann-Whitney based comparison were carried out to count the final number of significant segments obtained.</w:t>
      </w:r>
    </w:p>
    <w:p w14:paraId="2E8A5590" w14:textId="25CD0266" w:rsidR="000973B8" w:rsidRDefault="009E4955" w:rsidP="009E4955">
      <w:pPr>
        <w:spacing w:before="40" w:after="120" w:line="360" w:lineRule="auto"/>
        <w:jc w:val="both"/>
      </w:pPr>
      <w:r w:rsidRPr="00E612CC">
        <w:t xml:space="preserve">Random segment set selections for gene set enrichment analyses - Here, the original comparison's filtered set from </w:t>
      </w:r>
      <w:proofErr w:type="spellStart"/>
      <w:r w:rsidRPr="00E612CC">
        <w:t>modkit</w:t>
      </w:r>
      <w:proofErr w:type="spellEnd"/>
      <w:r w:rsidRPr="00E612CC">
        <w:t xml:space="preserve"> DMR (~200k segments) was used to randomly select out 10,479 segments (same </w:t>
      </w:r>
      <w:r w:rsidR="00E612CC">
        <w:t xml:space="preserve">number </w:t>
      </w:r>
      <w:r w:rsidRPr="00E612CC">
        <w:t>as Mann-Whitney in the original comparison), and then</w:t>
      </w:r>
      <w:r w:rsidR="00E612CC">
        <w:t xml:space="preserve"> these were</w:t>
      </w:r>
      <w:r w:rsidRPr="00E612CC">
        <w:t xml:space="preserve"> subjected to gene set enrichment analysis. 50 such iterations were carried out and the number of Hallmark pathways (</w:t>
      </w:r>
      <w:proofErr w:type="spellStart"/>
      <w:r w:rsidRPr="00E612CC">
        <w:t>MSigDb</w:t>
      </w:r>
      <w:proofErr w:type="spellEnd"/>
      <w:r w:rsidRPr="00E612CC">
        <w:t>) obtained for each random segment set were counted.</w:t>
      </w:r>
    </w:p>
    <w:p w14:paraId="07F7776D" w14:textId="77777777" w:rsidR="009E4955" w:rsidRDefault="009E4955" w:rsidP="00E612CC">
      <w:pPr>
        <w:spacing w:before="40" w:after="120" w:line="360" w:lineRule="auto"/>
        <w:jc w:val="both"/>
      </w:pPr>
    </w:p>
    <w:p w14:paraId="2D678FCB" w14:textId="77777777" w:rsidR="000A65F8" w:rsidRPr="0061453F" w:rsidRDefault="000A65F8" w:rsidP="002B627D">
      <w:pPr>
        <w:spacing w:line="360" w:lineRule="auto"/>
        <w:jc w:val="both"/>
        <w:rPr>
          <w:b/>
          <w:bCs/>
        </w:rPr>
      </w:pPr>
      <w:r w:rsidRPr="0061453F">
        <w:rPr>
          <w:b/>
          <w:bCs/>
        </w:rPr>
        <w:t>Copy number analysis</w:t>
      </w:r>
    </w:p>
    <w:p w14:paraId="790429BF" w14:textId="3CBE75BC" w:rsidR="000A65F8" w:rsidRPr="0061453F" w:rsidRDefault="000A65F8" w:rsidP="002B627D">
      <w:pPr>
        <w:spacing w:line="360" w:lineRule="auto"/>
        <w:jc w:val="both"/>
      </w:pPr>
      <w:r w:rsidRPr="0061453F">
        <w:t xml:space="preserve">Copy number was called using </w:t>
      </w:r>
      <w:proofErr w:type="spellStart"/>
      <w:r w:rsidRPr="0061453F">
        <w:t>QDNASeq</w:t>
      </w:r>
      <w:proofErr w:type="spellEnd"/>
      <w:r w:rsidRPr="0061453F">
        <w:t xml:space="preserve"> </w:t>
      </w:r>
      <w:r>
        <w:t>(</w:t>
      </w:r>
      <w:r w:rsidRPr="0061453F">
        <w:t>v 1.40.0</w:t>
      </w:r>
      <w:r>
        <w:t>)</w:t>
      </w:r>
      <w:r w:rsidRPr="0061453F">
        <w:t xml:space="preserve"> </w:t>
      </w:r>
      <w:r>
        <w:t>with</w:t>
      </w:r>
      <w:r w:rsidRPr="0061453F">
        <w:t xml:space="preserve">in R </w:t>
      </w:r>
      <w:r>
        <w:t>(</w:t>
      </w:r>
      <w:r w:rsidRPr="0061453F">
        <w:t>v 4.4.1</w:t>
      </w:r>
      <w:r>
        <w:t>)</w:t>
      </w:r>
      <w:r w:rsidRPr="0061453F">
        <w:t xml:space="preserve">. </w:t>
      </w:r>
      <w:r>
        <w:t>BAM</w:t>
      </w:r>
      <w:r w:rsidRPr="0061453F">
        <w:t xml:space="preserve"> files were annotated with discrete (500kb-sized) bins</w:t>
      </w:r>
      <w:r w:rsidR="00484BEC">
        <w:t>.</w:t>
      </w:r>
      <w:r>
        <w:t xml:space="preserve"> </w:t>
      </w:r>
      <w:r w:rsidRPr="0061453F">
        <w:t xml:space="preserve">Reads were counted in each bin to obtain estimates of copy number and corrected using a non-parametric, multivariate, local regression function (LOESS) to account for GC content and </w:t>
      </w:r>
      <w:proofErr w:type="spellStart"/>
      <w:r w:rsidRPr="0061453F">
        <w:t>mappability</w:t>
      </w:r>
      <w:proofErr w:type="spellEnd"/>
      <w:r w:rsidRPr="0061453F">
        <w:t xml:space="preserve">. A blacklisting procedure based on anomalous regions derived from short-read mapping </w:t>
      </w:r>
      <w:r w:rsidR="00281865">
        <w:t>wa</w:t>
      </w:r>
      <w:r w:rsidRPr="0061453F">
        <w:t xml:space="preserve">s used. </w:t>
      </w:r>
      <w:r w:rsidR="00281865">
        <w:t>Although</w:t>
      </w:r>
      <w:r w:rsidR="00281865" w:rsidRPr="0061453F">
        <w:t xml:space="preserve"> </w:t>
      </w:r>
      <w:r w:rsidR="00281865">
        <w:t>it is probable</w:t>
      </w:r>
      <w:r w:rsidRPr="0061453F">
        <w:t xml:space="preserve"> that the long read</w:t>
      </w:r>
      <w:r w:rsidR="00281865">
        <w:t>s used here</w:t>
      </w:r>
      <w:r w:rsidRPr="0061453F">
        <w:t xml:space="preserve"> should produce </w:t>
      </w:r>
      <w:r w:rsidR="00CF6ABF">
        <w:t>better mapping in</w:t>
      </w:r>
      <w:r w:rsidRPr="0061453F">
        <w:t xml:space="preserve"> repetitive regions (centromeres, telomeres, satellites) that tend to be excluded in this step, the blacklisting was maintained since the increase in accuracy for our samples has not yet been </w:t>
      </w:r>
      <w:r w:rsidR="00CF6ABF">
        <w:t>proven</w:t>
      </w:r>
      <w:r w:rsidRPr="0061453F">
        <w:t xml:space="preserve">. </w:t>
      </w:r>
      <w:proofErr w:type="spellStart"/>
      <w:r w:rsidRPr="0061453F">
        <w:t>QDNASeq</w:t>
      </w:r>
      <w:proofErr w:type="spellEnd"/>
      <w:r w:rsidRPr="0061453F">
        <w:t xml:space="preserve"> provides for adjusting the LOESS and blacklisting parameters. Here the default settings were used. Copy number ratios were calculated, normalised to the median and outliers smoothed. Profiles were segmented using a Circular Binary Segmentation algorithm and aberrations called. The scale of aneuploidy as a percentage of the genome was calculated.</w:t>
      </w:r>
    </w:p>
    <w:p w14:paraId="2FC27DC6" w14:textId="77777777" w:rsidR="000A65F8" w:rsidRPr="0061453F" w:rsidRDefault="000A65F8" w:rsidP="002B627D">
      <w:pPr>
        <w:spacing w:line="360" w:lineRule="auto"/>
        <w:jc w:val="both"/>
      </w:pPr>
    </w:p>
    <w:p w14:paraId="1E4FA822" w14:textId="77777777" w:rsidR="00262EC7" w:rsidRPr="0061453F" w:rsidRDefault="00262EC7" w:rsidP="002B627D">
      <w:pPr>
        <w:spacing w:line="360" w:lineRule="auto"/>
        <w:jc w:val="both"/>
      </w:pPr>
    </w:p>
    <w:sectPr w:rsidR="00262EC7" w:rsidRPr="0061453F" w:rsidSect="00F31DF4">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50CBD"/>
    <w:multiLevelType w:val="hybridMultilevel"/>
    <w:tmpl w:val="48242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15832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E2E"/>
    <w:rsid w:val="00002AC9"/>
    <w:rsid w:val="000161C5"/>
    <w:rsid w:val="000203BB"/>
    <w:rsid w:val="000300E5"/>
    <w:rsid w:val="00055371"/>
    <w:rsid w:val="000603A7"/>
    <w:rsid w:val="00062D0A"/>
    <w:rsid w:val="00073BD5"/>
    <w:rsid w:val="0007670F"/>
    <w:rsid w:val="000777F8"/>
    <w:rsid w:val="000858D8"/>
    <w:rsid w:val="00092094"/>
    <w:rsid w:val="00092B7A"/>
    <w:rsid w:val="000973B8"/>
    <w:rsid w:val="000A44C3"/>
    <w:rsid w:val="000A61D6"/>
    <w:rsid w:val="000A65F8"/>
    <w:rsid w:val="000B28C0"/>
    <w:rsid w:val="000B5FF8"/>
    <w:rsid w:val="000C366C"/>
    <w:rsid w:val="000C77D0"/>
    <w:rsid w:val="000D0167"/>
    <w:rsid w:val="000D2AA7"/>
    <w:rsid w:val="000D441D"/>
    <w:rsid w:val="000D5637"/>
    <w:rsid w:val="000E77BC"/>
    <w:rsid w:val="000F3B99"/>
    <w:rsid w:val="00103A10"/>
    <w:rsid w:val="00105FE3"/>
    <w:rsid w:val="00135DFF"/>
    <w:rsid w:val="0014391E"/>
    <w:rsid w:val="00155D24"/>
    <w:rsid w:val="00182D38"/>
    <w:rsid w:val="001938F4"/>
    <w:rsid w:val="001943D9"/>
    <w:rsid w:val="001A18B4"/>
    <w:rsid w:val="001B5613"/>
    <w:rsid w:val="001C3D81"/>
    <w:rsid w:val="001C49AC"/>
    <w:rsid w:val="001C5290"/>
    <w:rsid w:val="001D1B5C"/>
    <w:rsid w:val="001E369D"/>
    <w:rsid w:val="001E494F"/>
    <w:rsid w:val="001E6660"/>
    <w:rsid w:val="001F4E75"/>
    <w:rsid w:val="001F5F32"/>
    <w:rsid w:val="00205C20"/>
    <w:rsid w:val="00212C22"/>
    <w:rsid w:val="00216149"/>
    <w:rsid w:val="00217137"/>
    <w:rsid w:val="00217DEF"/>
    <w:rsid w:val="0022010E"/>
    <w:rsid w:val="002226A4"/>
    <w:rsid w:val="00222F5F"/>
    <w:rsid w:val="00224D02"/>
    <w:rsid w:val="00225E72"/>
    <w:rsid w:val="00232B89"/>
    <w:rsid w:val="00233E5A"/>
    <w:rsid w:val="00241C94"/>
    <w:rsid w:val="00250B5B"/>
    <w:rsid w:val="00262EC7"/>
    <w:rsid w:val="00262F5E"/>
    <w:rsid w:val="00263209"/>
    <w:rsid w:val="00271588"/>
    <w:rsid w:val="00274B5F"/>
    <w:rsid w:val="00281865"/>
    <w:rsid w:val="002860EF"/>
    <w:rsid w:val="00291839"/>
    <w:rsid w:val="0029196F"/>
    <w:rsid w:val="00295016"/>
    <w:rsid w:val="002A47CE"/>
    <w:rsid w:val="002B03A3"/>
    <w:rsid w:val="002B627D"/>
    <w:rsid w:val="002B7427"/>
    <w:rsid w:val="002D1504"/>
    <w:rsid w:val="002D71D4"/>
    <w:rsid w:val="002F2C58"/>
    <w:rsid w:val="002F301D"/>
    <w:rsid w:val="003000B5"/>
    <w:rsid w:val="0030014C"/>
    <w:rsid w:val="00303A8F"/>
    <w:rsid w:val="0030409B"/>
    <w:rsid w:val="0030702C"/>
    <w:rsid w:val="003226C7"/>
    <w:rsid w:val="00327CE6"/>
    <w:rsid w:val="00342BB8"/>
    <w:rsid w:val="003535F9"/>
    <w:rsid w:val="0036734A"/>
    <w:rsid w:val="00370228"/>
    <w:rsid w:val="00373278"/>
    <w:rsid w:val="0038214C"/>
    <w:rsid w:val="00387FC0"/>
    <w:rsid w:val="003906CC"/>
    <w:rsid w:val="00390C06"/>
    <w:rsid w:val="003935B5"/>
    <w:rsid w:val="0039519A"/>
    <w:rsid w:val="003955E8"/>
    <w:rsid w:val="00395741"/>
    <w:rsid w:val="003A0C2E"/>
    <w:rsid w:val="003A1B26"/>
    <w:rsid w:val="003A3095"/>
    <w:rsid w:val="003B285B"/>
    <w:rsid w:val="003C02B8"/>
    <w:rsid w:val="003C0DE9"/>
    <w:rsid w:val="003C5E7A"/>
    <w:rsid w:val="003E0473"/>
    <w:rsid w:val="003E4966"/>
    <w:rsid w:val="003F0DE5"/>
    <w:rsid w:val="003F6BAF"/>
    <w:rsid w:val="003F790F"/>
    <w:rsid w:val="00400F4F"/>
    <w:rsid w:val="00403E9D"/>
    <w:rsid w:val="00404461"/>
    <w:rsid w:val="0041061E"/>
    <w:rsid w:val="00414863"/>
    <w:rsid w:val="0042018D"/>
    <w:rsid w:val="00431044"/>
    <w:rsid w:val="0043125B"/>
    <w:rsid w:val="00432F4D"/>
    <w:rsid w:val="004426CE"/>
    <w:rsid w:val="004436EF"/>
    <w:rsid w:val="00446EE5"/>
    <w:rsid w:val="00453504"/>
    <w:rsid w:val="004606E2"/>
    <w:rsid w:val="00466C63"/>
    <w:rsid w:val="0047521C"/>
    <w:rsid w:val="0047588A"/>
    <w:rsid w:val="004766ED"/>
    <w:rsid w:val="0048495A"/>
    <w:rsid w:val="00484BEC"/>
    <w:rsid w:val="00484F4E"/>
    <w:rsid w:val="004A213D"/>
    <w:rsid w:val="004B3F2B"/>
    <w:rsid w:val="004C2307"/>
    <w:rsid w:val="004C668A"/>
    <w:rsid w:val="004D26E7"/>
    <w:rsid w:val="004D2DF1"/>
    <w:rsid w:val="005077A4"/>
    <w:rsid w:val="00515F2C"/>
    <w:rsid w:val="00530DC8"/>
    <w:rsid w:val="00533C56"/>
    <w:rsid w:val="005401EC"/>
    <w:rsid w:val="00547000"/>
    <w:rsid w:val="00551069"/>
    <w:rsid w:val="005510D4"/>
    <w:rsid w:val="0055535F"/>
    <w:rsid w:val="00562947"/>
    <w:rsid w:val="00565BA9"/>
    <w:rsid w:val="00575083"/>
    <w:rsid w:val="0058171C"/>
    <w:rsid w:val="005903E1"/>
    <w:rsid w:val="0059178B"/>
    <w:rsid w:val="00597180"/>
    <w:rsid w:val="005A3C59"/>
    <w:rsid w:val="005B760D"/>
    <w:rsid w:val="005C6F46"/>
    <w:rsid w:val="005D66F7"/>
    <w:rsid w:val="005E0319"/>
    <w:rsid w:val="005E3C65"/>
    <w:rsid w:val="0061453F"/>
    <w:rsid w:val="006243A1"/>
    <w:rsid w:val="0063076A"/>
    <w:rsid w:val="00630C05"/>
    <w:rsid w:val="00633B7A"/>
    <w:rsid w:val="0063561B"/>
    <w:rsid w:val="006402B3"/>
    <w:rsid w:val="00645EB4"/>
    <w:rsid w:val="00661E24"/>
    <w:rsid w:val="00663A73"/>
    <w:rsid w:val="00670519"/>
    <w:rsid w:val="00670CBC"/>
    <w:rsid w:val="00671FB3"/>
    <w:rsid w:val="00680607"/>
    <w:rsid w:val="0068755B"/>
    <w:rsid w:val="00690A48"/>
    <w:rsid w:val="00695143"/>
    <w:rsid w:val="006A4F2E"/>
    <w:rsid w:val="006A6C82"/>
    <w:rsid w:val="006A7E42"/>
    <w:rsid w:val="006B3713"/>
    <w:rsid w:val="006B4968"/>
    <w:rsid w:val="006C6BC5"/>
    <w:rsid w:val="006D29D5"/>
    <w:rsid w:val="006D6F62"/>
    <w:rsid w:val="006D7BEA"/>
    <w:rsid w:val="006E6CE4"/>
    <w:rsid w:val="006F28B3"/>
    <w:rsid w:val="006F59EB"/>
    <w:rsid w:val="006F7CAE"/>
    <w:rsid w:val="00706446"/>
    <w:rsid w:val="00707E97"/>
    <w:rsid w:val="00715BEE"/>
    <w:rsid w:val="00722588"/>
    <w:rsid w:val="007318B2"/>
    <w:rsid w:val="00740F52"/>
    <w:rsid w:val="00744769"/>
    <w:rsid w:val="00745669"/>
    <w:rsid w:val="00752480"/>
    <w:rsid w:val="00753A45"/>
    <w:rsid w:val="00755711"/>
    <w:rsid w:val="00762003"/>
    <w:rsid w:val="00780AEB"/>
    <w:rsid w:val="00793E13"/>
    <w:rsid w:val="007A1DF8"/>
    <w:rsid w:val="007B3534"/>
    <w:rsid w:val="007E0626"/>
    <w:rsid w:val="007F42FE"/>
    <w:rsid w:val="00802C8B"/>
    <w:rsid w:val="00803558"/>
    <w:rsid w:val="00805C41"/>
    <w:rsid w:val="00812B1E"/>
    <w:rsid w:val="00815304"/>
    <w:rsid w:val="00820D45"/>
    <w:rsid w:val="00842D78"/>
    <w:rsid w:val="00846D32"/>
    <w:rsid w:val="0086762C"/>
    <w:rsid w:val="00881819"/>
    <w:rsid w:val="0088582A"/>
    <w:rsid w:val="00886F3C"/>
    <w:rsid w:val="008904BE"/>
    <w:rsid w:val="0089265E"/>
    <w:rsid w:val="008A4791"/>
    <w:rsid w:val="008A4F83"/>
    <w:rsid w:val="008B2018"/>
    <w:rsid w:val="008C6352"/>
    <w:rsid w:val="008C6E1C"/>
    <w:rsid w:val="008C73AF"/>
    <w:rsid w:val="008D5ACD"/>
    <w:rsid w:val="0090225C"/>
    <w:rsid w:val="00913B3A"/>
    <w:rsid w:val="00921F87"/>
    <w:rsid w:val="00934E2E"/>
    <w:rsid w:val="009512C4"/>
    <w:rsid w:val="00952314"/>
    <w:rsid w:val="0095418D"/>
    <w:rsid w:val="00981B3C"/>
    <w:rsid w:val="0098769A"/>
    <w:rsid w:val="00997B54"/>
    <w:rsid w:val="009B08CA"/>
    <w:rsid w:val="009C2A0D"/>
    <w:rsid w:val="009C5C31"/>
    <w:rsid w:val="009C5EC5"/>
    <w:rsid w:val="009D0889"/>
    <w:rsid w:val="009D183B"/>
    <w:rsid w:val="009E4955"/>
    <w:rsid w:val="009F0B8D"/>
    <w:rsid w:val="009F3C52"/>
    <w:rsid w:val="00A07BE7"/>
    <w:rsid w:val="00A10F11"/>
    <w:rsid w:val="00A12D0D"/>
    <w:rsid w:val="00A3401F"/>
    <w:rsid w:val="00A36145"/>
    <w:rsid w:val="00A37778"/>
    <w:rsid w:val="00A452F2"/>
    <w:rsid w:val="00A461C7"/>
    <w:rsid w:val="00A50086"/>
    <w:rsid w:val="00A517DD"/>
    <w:rsid w:val="00A56456"/>
    <w:rsid w:val="00A618EA"/>
    <w:rsid w:val="00A72D28"/>
    <w:rsid w:val="00A7630E"/>
    <w:rsid w:val="00A77B08"/>
    <w:rsid w:val="00A85D97"/>
    <w:rsid w:val="00A86D64"/>
    <w:rsid w:val="00AA014B"/>
    <w:rsid w:val="00AB7799"/>
    <w:rsid w:val="00AC7169"/>
    <w:rsid w:val="00AE4254"/>
    <w:rsid w:val="00AE588F"/>
    <w:rsid w:val="00AF3816"/>
    <w:rsid w:val="00B06DF7"/>
    <w:rsid w:val="00B32434"/>
    <w:rsid w:val="00B363EE"/>
    <w:rsid w:val="00B50BEB"/>
    <w:rsid w:val="00B515CB"/>
    <w:rsid w:val="00B53609"/>
    <w:rsid w:val="00B56488"/>
    <w:rsid w:val="00B7057F"/>
    <w:rsid w:val="00BA0567"/>
    <w:rsid w:val="00BA33A7"/>
    <w:rsid w:val="00BB14A5"/>
    <w:rsid w:val="00BB40D1"/>
    <w:rsid w:val="00BD5313"/>
    <w:rsid w:val="00BD7726"/>
    <w:rsid w:val="00BE1B9E"/>
    <w:rsid w:val="00BE3282"/>
    <w:rsid w:val="00BF47B8"/>
    <w:rsid w:val="00BF522D"/>
    <w:rsid w:val="00C0716B"/>
    <w:rsid w:val="00C1263A"/>
    <w:rsid w:val="00C32902"/>
    <w:rsid w:val="00C4464F"/>
    <w:rsid w:val="00C51883"/>
    <w:rsid w:val="00C6699F"/>
    <w:rsid w:val="00C678F7"/>
    <w:rsid w:val="00C73F80"/>
    <w:rsid w:val="00C80FE2"/>
    <w:rsid w:val="00C81BE6"/>
    <w:rsid w:val="00C9003E"/>
    <w:rsid w:val="00C92ADD"/>
    <w:rsid w:val="00C95C89"/>
    <w:rsid w:val="00CA1A92"/>
    <w:rsid w:val="00CA37D9"/>
    <w:rsid w:val="00CA46CB"/>
    <w:rsid w:val="00CA50F2"/>
    <w:rsid w:val="00CA5E33"/>
    <w:rsid w:val="00CA606A"/>
    <w:rsid w:val="00CA6242"/>
    <w:rsid w:val="00CA6DB2"/>
    <w:rsid w:val="00CB2156"/>
    <w:rsid w:val="00CC3F8E"/>
    <w:rsid w:val="00CC67B1"/>
    <w:rsid w:val="00CE219E"/>
    <w:rsid w:val="00CE71AE"/>
    <w:rsid w:val="00CF4984"/>
    <w:rsid w:val="00CF4A2E"/>
    <w:rsid w:val="00CF6ABF"/>
    <w:rsid w:val="00D0339C"/>
    <w:rsid w:val="00D14CC6"/>
    <w:rsid w:val="00D20B14"/>
    <w:rsid w:val="00D21A1D"/>
    <w:rsid w:val="00D2426A"/>
    <w:rsid w:val="00D62724"/>
    <w:rsid w:val="00D64065"/>
    <w:rsid w:val="00D6447E"/>
    <w:rsid w:val="00D66E79"/>
    <w:rsid w:val="00D77858"/>
    <w:rsid w:val="00D84B25"/>
    <w:rsid w:val="00D91EF3"/>
    <w:rsid w:val="00DB2FD5"/>
    <w:rsid w:val="00DB31CD"/>
    <w:rsid w:val="00DB4599"/>
    <w:rsid w:val="00DB613D"/>
    <w:rsid w:val="00DB6908"/>
    <w:rsid w:val="00DB72E4"/>
    <w:rsid w:val="00DC026F"/>
    <w:rsid w:val="00DC35BC"/>
    <w:rsid w:val="00DD2A9B"/>
    <w:rsid w:val="00DD642C"/>
    <w:rsid w:val="00DD64AE"/>
    <w:rsid w:val="00DE187C"/>
    <w:rsid w:val="00DE1913"/>
    <w:rsid w:val="00E06DD8"/>
    <w:rsid w:val="00E115BB"/>
    <w:rsid w:val="00E16D8C"/>
    <w:rsid w:val="00E22123"/>
    <w:rsid w:val="00E26ADE"/>
    <w:rsid w:val="00E27110"/>
    <w:rsid w:val="00E274A5"/>
    <w:rsid w:val="00E347D0"/>
    <w:rsid w:val="00E37B69"/>
    <w:rsid w:val="00E37F3D"/>
    <w:rsid w:val="00E44872"/>
    <w:rsid w:val="00E474EA"/>
    <w:rsid w:val="00E4779C"/>
    <w:rsid w:val="00E500C2"/>
    <w:rsid w:val="00E50A0B"/>
    <w:rsid w:val="00E612CC"/>
    <w:rsid w:val="00E6470E"/>
    <w:rsid w:val="00E654EA"/>
    <w:rsid w:val="00E751FF"/>
    <w:rsid w:val="00E822D3"/>
    <w:rsid w:val="00E84A6C"/>
    <w:rsid w:val="00E92C64"/>
    <w:rsid w:val="00E95C92"/>
    <w:rsid w:val="00E95FCA"/>
    <w:rsid w:val="00EA3D6A"/>
    <w:rsid w:val="00EC018A"/>
    <w:rsid w:val="00EC42E2"/>
    <w:rsid w:val="00ED00A1"/>
    <w:rsid w:val="00EF0947"/>
    <w:rsid w:val="00EF0CC5"/>
    <w:rsid w:val="00EF21A1"/>
    <w:rsid w:val="00EF3DBB"/>
    <w:rsid w:val="00F023F4"/>
    <w:rsid w:val="00F14B34"/>
    <w:rsid w:val="00F23C4D"/>
    <w:rsid w:val="00F267C4"/>
    <w:rsid w:val="00F26CBF"/>
    <w:rsid w:val="00F31DF4"/>
    <w:rsid w:val="00F35FB4"/>
    <w:rsid w:val="00F51EF1"/>
    <w:rsid w:val="00F56CBD"/>
    <w:rsid w:val="00F57E08"/>
    <w:rsid w:val="00F7270A"/>
    <w:rsid w:val="00F72D53"/>
    <w:rsid w:val="00F85980"/>
    <w:rsid w:val="00F85FCF"/>
    <w:rsid w:val="00F945D7"/>
    <w:rsid w:val="00FA1641"/>
    <w:rsid w:val="00FB1C3B"/>
    <w:rsid w:val="00FB4FDA"/>
    <w:rsid w:val="00FC4E07"/>
    <w:rsid w:val="00FD1367"/>
    <w:rsid w:val="00FD6AB8"/>
    <w:rsid w:val="00FE1700"/>
    <w:rsid w:val="00FE56C5"/>
    <w:rsid w:val="00FF0760"/>
    <w:rsid w:val="00FF2C1D"/>
    <w:rsid w:val="00FF4657"/>
    <w:rsid w:val="00FF53F4"/>
    <w:rsid w:val="00FF61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194C1"/>
  <w15:chartTrackingRefBased/>
  <w15:docId w15:val="{BD282121-9CC6-F44E-A60D-1DB75E530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65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274A5"/>
    <w:rPr>
      <w:sz w:val="16"/>
      <w:szCs w:val="16"/>
    </w:rPr>
  </w:style>
  <w:style w:type="paragraph" w:styleId="CommentText">
    <w:name w:val="annotation text"/>
    <w:basedOn w:val="Normal"/>
    <w:link w:val="CommentTextChar"/>
    <w:uiPriority w:val="99"/>
    <w:unhideWhenUsed/>
    <w:rsid w:val="00E274A5"/>
    <w:rPr>
      <w:sz w:val="20"/>
      <w:szCs w:val="20"/>
    </w:rPr>
  </w:style>
  <w:style w:type="character" w:customStyle="1" w:styleId="CommentTextChar">
    <w:name w:val="Comment Text Char"/>
    <w:basedOn w:val="DefaultParagraphFont"/>
    <w:link w:val="CommentText"/>
    <w:uiPriority w:val="99"/>
    <w:rsid w:val="00E274A5"/>
    <w:rPr>
      <w:sz w:val="20"/>
      <w:szCs w:val="20"/>
    </w:rPr>
  </w:style>
  <w:style w:type="paragraph" w:styleId="Revision">
    <w:name w:val="Revision"/>
    <w:hidden/>
    <w:uiPriority w:val="99"/>
    <w:semiHidden/>
    <w:rsid w:val="00DB31CD"/>
  </w:style>
  <w:style w:type="paragraph" w:styleId="ListParagraph">
    <w:name w:val="List Paragraph"/>
    <w:basedOn w:val="Normal"/>
    <w:uiPriority w:val="34"/>
    <w:qFormat/>
    <w:rsid w:val="009E4955"/>
    <w:pPr>
      <w:ind w:left="720"/>
      <w:contextualSpacing/>
    </w:pPr>
  </w:style>
  <w:style w:type="paragraph" w:styleId="BalloonText">
    <w:name w:val="Balloon Text"/>
    <w:basedOn w:val="Normal"/>
    <w:link w:val="BalloonTextChar"/>
    <w:uiPriority w:val="99"/>
    <w:semiHidden/>
    <w:unhideWhenUsed/>
    <w:rsid w:val="00C9003E"/>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9003E"/>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8383563">
      <w:bodyDiv w:val="1"/>
      <w:marLeft w:val="0"/>
      <w:marRight w:val="0"/>
      <w:marTop w:val="0"/>
      <w:marBottom w:val="0"/>
      <w:divBdr>
        <w:top w:val="none" w:sz="0" w:space="0" w:color="auto"/>
        <w:left w:val="none" w:sz="0" w:space="0" w:color="auto"/>
        <w:bottom w:val="none" w:sz="0" w:space="0" w:color="auto"/>
        <w:right w:val="none" w:sz="0" w:space="0" w:color="auto"/>
      </w:divBdr>
      <w:divsChild>
        <w:div w:id="754015682">
          <w:marLeft w:val="0"/>
          <w:marRight w:val="0"/>
          <w:marTop w:val="0"/>
          <w:marBottom w:val="160"/>
          <w:divBdr>
            <w:top w:val="none" w:sz="0" w:space="0" w:color="auto"/>
            <w:left w:val="none" w:sz="0" w:space="0" w:color="auto"/>
            <w:bottom w:val="none" w:sz="0" w:space="0" w:color="auto"/>
            <w:right w:val="none" w:sz="0" w:space="0" w:color="auto"/>
          </w:divBdr>
        </w:div>
        <w:div w:id="2040354276">
          <w:marLeft w:val="0"/>
          <w:marRight w:val="0"/>
          <w:marTop w:val="0"/>
          <w:marBottom w:val="160"/>
          <w:divBdr>
            <w:top w:val="none" w:sz="0" w:space="0" w:color="auto"/>
            <w:left w:val="none" w:sz="0" w:space="0" w:color="auto"/>
            <w:bottom w:val="none" w:sz="0" w:space="0" w:color="auto"/>
            <w:right w:val="none" w:sz="0" w:space="0" w:color="auto"/>
          </w:divBdr>
        </w:div>
        <w:div w:id="733313574">
          <w:marLeft w:val="0"/>
          <w:marRight w:val="0"/>
          <w:marTop w:val="0"/>
          <w:marBottom w:val="160"/>
          <w:divBdr>
            <w:top w:val="none" w:sz="0" w:space="0" w:color="auto"/>
            <w:left w:val="none" w:sz="0" w:space="0" w:color="auto"/>
            <w:bottom w:val="none" w:sz="0" w:space="0" w:color="auto"/>
            <w:right w:val="none" w:sz="0" w:space="0" w:color="auto"/>
          </w:divBdr>
        </w:div>
      </w:divsChild>
    </w:div>
  </w:divs>
  <w:doNotRelyOnCSS/>
  <w:doNotOrganizeInFolder/>
  <w:doNotUseLongFileNames/>
  <w:pixelsPerInch w:val="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895</Words>
  <Characters>5107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5991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Anshita Goel</dc:creator>
  <cp:keywords/>
  <dc:description/>
  <cp:lastModifiedBy>Douglas Ward (Cancer and Genomic Sciences)</cp:lastModifiedBy>
  <cp:revision>4</cp:revision>
  <dcterms:created xsi:type="dcterms:W3CDTF">2025-07-01T13:46:00Z</dcterms:created>
  <dcterms:modified xsi:type="dcterms:W3CDTF">2025-07-01T13:50:00Z</dcterms:modified>
  <cp:category/>
</cp:coreProperties>
</file>