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38A0D" w14:textId="77777777" w:rsidR="00AC7CD9" w:rsidRPr="00AC7CD9" w:rsidRDefault="00AC7CD9" w:rsidP="00F473B1">
      <w:pPr>
        <w:spacing w:line="480" w:lineRule="auto"/>
        <w:rPr>
          <w:rFonts w:cs="Times New Roman" w:hint="eastAsia"/>
          <w14:ligatures w14:val="none"/>
        </w:rPr>
      </w:pPr>
      <w:r w:rsidRPr="00AC7CD9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Supplementary Figures</w:t>
      </w:r>
    </w:p>
    <w:p w14:paraId="57665F6F" w14:textId="0F6CAB86" w:rsidR="00FC0A64" w:rsidRPr="00FC0A64" w:rsidRDefault="00AC7CD9" w:rsidP="00FC0A64">
      <w:pP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Supplementary Figure 1.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="00FC0A64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Leave-one-out plots for Mendelian randomization analyses between biological aging markers and MG.</w:t>
      </w:r>
    </w:p>
    <w:p w14:paraId="1471E491" w14:textId="362E8515" w:rsidR="00C47720" w:rsidRPr="00F2471D" w:rsidRDefault="00D935B4" w:rsidP="00C47720">
      <w:pPr>
        <w:rPr>
          <w:rFonts w:ascii="Times New Roman" w:hAnsi="Times New Roman" w:cs="Times New Roman"/>
          <w:noProof/>
          <w:sz w:val="20"/>
          <w:szCs w:val="20"/>
          <w14:ligatures w14:val="none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S</w:t>
      </w:r>
      <w:r w:rsidR="00C47720"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upplementary Figure </w:t>
      </w:r>
      <w:r w:rsidR="00E81FA6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2</w:t>
      </w:r>
      <w:r w:rsidR="00C47720"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="00C47720"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="004D1BC6" w:rsidRPr="004D1BC6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 xml:space="preserve">Leave-one-out plots for Mendelian randomization analyses between biological aging markers and </w:t>
      </w:r>
      <w:r w:rsidR="004D1BC6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>EO</w:t>
      </w:r>
      <w:r w:rsidR="004D1BC6" w:rsidRPr="004D1BC6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>MG.</w:t>
      </w:r>
    </w:p>
    <w:p w14:paraId="2A95E469" w14:textId="6F47DEF4" w:rsidR="007D5D04" w:rsidRPr="00FC0A64" w:rsidRDefault="00E81FA6" w:rsidP="007D5D04">
      <w:pP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S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3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="007D5D04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Leave-one-out plots for Mendelian randomization analyses between biological aging markers and </w:t>
      </w:r>
      <w:r w:rsidR="007D5D04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LO</w:t>
      </w:r>
      <w:r w:rsidR="007D5D04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MG.</w:t>
      </w:r>
    </w:p>
    <w:p w14:paraId="541D4785" w14:textId="47FCEF14" w:rsidR="00E81FA6" w:rsidRDefault="00E81FA6" w:rsidP="00E81FA6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4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="00902BA1" w:rsidRPr="0000746E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>Scatter plots</w:t>
      </w:r>
      <w:r w:rsidR="00902BA1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 for Mendelian randomization analyses between biological aging markers and MG.</w:t>
      </w:r>
    </w:p>
    <w:p w14:paraId="727BC2D9" w14:textId="1989B6DD" w:rsidR="003054CC" w:rsidRDefault="00E81FA6" w:rsidP="003054CC">
      <w:pP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5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="003054CC" w:rsidRPr="0000746E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>Scatter plots</w:t>
      </w:r>
      <w:r w:rsidR="003054CC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 for Mendelian randomization analyses between biological aging markers and </w:t>
      </w:r>
      <w:r w:rsidR="003054CC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EO</w:t>
      </w:r>
      <w:r w:rsidR="003054CC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MG. </w:t>
      </w:r>
    </w:p>
    <w:p w14:paraId="2ED6CF55" w14:textId="315EB670" w:rsidR="003054CC" w:rsidRDefault="00933F4C" w:rsidP="003054C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6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="003054CC" w:rsidRPr="0000746E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>Scatter plots</w:t>
      </w:r>
      <w:r w:rsidR="003054CC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 for Mendelian randomization analyses between biological aging markers and </w:t>
      </w:r>
      <w:r w:rsidR="003054CC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</w:t>
      </w:r>
      <w:r w:rsidR="003054CC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O</w:t>
      </w:r>
      <w:r w:rsidR="003054CC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MG. </w:t>
      </w:r>
    </w:p>
    <w:p w14:paraId="71ECE760" w14:textId="0D08D848" w:rsidR="00023602" w:rsidRPr="0000746E" w:rsidRDefault="00023602" w:rsidP="00C47720">
      <w:pPr>
        <w:rPr>
          <w:rFonts w:ascii="Times New Roman" w:hAnsi="Times New Roman" w:cs="Times New Roman"/>
          <w:noProof/>
          <w:sz w:val="20"/>
          <w:szCs w:val="20"/>
          <w14:ligatures w14:val="none"/>
        </w:rPr>
        <w:sectPr w:rsidR="00023602" w:rsidRPr="0000746E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144836" w14:textId="57EFDFC1" w:rsidR="00E81FA6" w:rsidRDefault="00E81FA6" w:rsidP="00F473B1">
      <w:pPr>
        <w:spacing w:line="480" w:lineRule="auto"/>
        <w:rPr>
          <w:rFonts w:ascii="Times New Roman" w:hAnsi="Times New Roman"/>
          <w:noProof/>
          <w:kern w:val="0"/>
          <w:sz w:val="24"/>
        </w:rPr>
        <w:sectPr w:rsidR="00E81FA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9E6870" w14:textId="678CBD0E" w:rsidR="00C47720" w:rsidRDefault="00FA4FF7" w:rsidP="00AC7CD9">
      <w:pPr>
        <w:rPr>
          <w:rFonts w:hint="eastAsia"/>
        </w:rPr>
      </w:pPr>
      <w:r>
        <w:rPr>
          <w:noProof/>
        </w:rPr>
        <w:drawing>
          <wp:inline distT="0" distB="0" distL="0" distR="0" wp14:anchorId="56AA1BAC" wp14:editId="4535B76F">
            <wp:extent cx="5274310" cy="6327140"/>
            <wp:effectExtent l="0" t="0" r="0" b="0"/>
            <wp:docPr id="14441818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B4CE" w14:textId="77777777" w:rsidR="00322FF2" w:rsidRDefault="00695457" w:rsidP="00695457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Supplementary Figure 1.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="00322FF2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Leave-one-out plots for Mendelian randomization analyses between biological aging markers and MG. </w:t>
      </w:r>
    </w:p>
    <w:p w14:paraId="6A391B33" w14:textId="000B6E14" w:rsidR="00695457" w:rsidRPr="008A4674" w:rsidRDefault="00322FF2" w:rsidP="00695457">
      <w:pPr>
        <w:rPr>
          <w:rFonts w:ascii="Times New Roman" w:hAnsi="Times New Roman" w:cs="Times New Roman"/>
          <w:noProof/>
          <w:sz w:val="20"/>
          <w:szCs w:val="20"/>
          <w14:ligatures w14:val="none"/>
        </w:rPr>
      </w:pP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Plots (A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F) assess biological aging markers [TL (A), PhenoAge (B), GrimAge (C), HannumAge (D), IEAA (E), and mtDNA-CN (F)] as exposures and MG as the outcome. Plots (G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L) assess the reverse direction with MG as the exposure and the corresponding biological aging markers as outcomes.</w:t>
      </w:r>
    </w:p>
    <w:p w14:paraId="7E10375B" w14:textId="77777777" w:rsidR="00C47720" w:rsidRDefault="00C47720" w:rsidP="00C47720">
      <w:pPr>
        <w:rPr>
          <w:rFonts w:ascii="Times New Roman" w:hAnsi="Times New Roman" w:cs="Times New Roman" w:hint="eastAsia"/>
          <w:b/>
          <w:bCs/>
          <w:kern w:val="0"/>
          <w:sz w:val="20"/>
          <w:szCs w:val="20"/>
          <w14:ligatures w14:val="none"/>
        </w:rPr>
        <w:sectPr w:rsidR="00C47720" w:rsidSect="00C4772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BAC626" w14:textId="1253CD34" w:rsidR="00D935B4" w:rsidRDefault="003F647A" w:rsidP="00D935B4">
      <w:pPr>
        <w:rPr>
          <w:rFonts w:ascii="Times New Roman" w:hAnsi="Times New Roman" w:cs="Times New Roman"/>
          <w:noProof/>
          <w:sz w:val="20"/>
          <w:szCs w:val="20"/>
          <w14:ligatures w14:val="none"/>
        </w:rPr>
      </w:pPr>
      <w:r>
        <w:rPr>
          <w:noProof/>
        </w:rPr>
        <w:drawing>
          <wp:inline distT="0" distB="0" distL="0" distR="0" wp14:anchorId="795797DC" wp14:editId="2B4E47B3">
            <wp:extent cx="5274310" cy="6884670"/>
            <wp:effectExtent l="0" t="0" r="0" b="0"/>
            <wp:docPr id="19375034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8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18B9" w14:textId="0A347715" w:rsidR="003B0111" w:rsidRDefault="003B0111" w:rsidP="003B0111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2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Leave-one-out plots for Mendelian randomization analyses between biological aging markers and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EO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MG. </w:t>
      </w:r>
    </w:p>
    <w:p w14:paraId="10201567" w14:textId="5171D10A" w:rsidR="003B0111" w:rsidRPr="008A4674" w:rsidRDefault="003B0111" w:rsidP="003B0111">
      <w:pPr>
        <w:rPr>
          <w:rFonts w:ascii="Times New Roman" w:hAnsi="Times New Roman" w:cs="Times New Roman"/>
          <w:noProof/>
          <w:sz w:val="20"/>
          <w:szCs w:val="20"/>
          <w14:ligatures w14:val="none"/>
        </w:rPr>
      </w:pP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Plots (A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F) assess biological aging markers [TL (A), PhenoAge (B), GrimAge (C), HannumAge (D), IEAA (E), and mtDNA-CN (F)] as exposures and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EO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 as the outcome. Plots (G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L) assess the reverse direction with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EO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 as the exposure and the corresponding biological aging markers as outcomes.</w:t>
      </w:r>
    </w:p>
    <w:p w14:paraId="510B61C8" w14:textId="77777777" w:rsidR="00D935B4" w:rsidRPr="003B0111" w:rsidRDefault="00D935B4" w:rsidP="00D935B4">
      <w:pPr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  <w:sectPr w:rsidR="00D935B4" w:rsidRPr="003B011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5E921FC" w14:textId="3D2B040E" w:rsidR="00D935B4" w:rsidRDefault="000A2313" w:rsidP="00D935B4">
      <w:pPr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noProof/>
        </w:rPr>
        <w:drawing>
          <wp:inline distT="0" distB="0" distL="0" distR="0" wp14:anchorId="402EE29D" wp14:editId="674112C8">
            <wp:extent cx="5274310" cy="6662420"/>
            <wp:effectExtent l="0" t="0" r="0" b="0"/>
            <wp:docPr id="5360046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C6F60" w14:textId="5A71517C" w:rsidR="00557A6D" w:rsidRDefault="00D935B4" w:rsidP="00557A6D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BF7355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Supplementary Fig</w:t>
      </w:r>
      <w:r w:rsidRPr="00BF7355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ure</w:t>
      </w:r>
      <w:r w:rsidRPr="00BF7355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 </w:t>
      </w:r>
      <w:r w:rsidR="00E81FA6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3</w:t>
      </w:r>
      <w:r w:rsidRPr="00BF7355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.</w:t>
      </w:r>
      <w:r w:rsidRPr="00BF7355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  </w:t>
      </w:r>
      <w:r w:rsidR="00557A6D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Leave-one-out plots for Mendelian randomization analyses between biological aging markers and </w:t>
      </w:r>
      <w:r w:rsidR="00557A6D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</w:t>
      </w:r>
      <w:r w:rsidR="00557A6D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O</w:t>
      </w:r>
      <w:r w:rsidR="00557A6D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MG. </w:t>
      </w:r>
    </w:p>
    <w:p w14:paraId="01E9C190" w14:textId="3B11D1B2" w:rsidR="003B0111" w:rsidRPr="00786818" w:rsidRDefault="00557A6D" w:rsidP="00557A6D">
      <w:pPr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sectPr w:rsidR="003B0111" w:rsidRPr="0078681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Plots (A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F) assess biological aging markers [TL (A), PhenoAge (B), GrimAge (C), HannumAge (D), IEAA (E), and mtDNA-CN (F)] as exposures and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 as the outcome. Plots (G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L) assess the reverse direction with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 as the exposure and the corresponding biological aging markers as outcomes.</w:t>
      </w:r>
    </w:p>
    <w:p w14:paraId="1908DA69" w14:textId="4CA52281" w:rsidR="00747A91" w:rsidRDefault="00DD6005" w:rsidP="00EE7818">
      <w:pPr>
        <w:rPr>
          <w:rFonts w:hint="eastAsia"/>
        </w:rPr>
      </w:pPr>
      <w:r>
        <w:rPr>
          <w:rFonts w:hint="eastAsia"/>
        </w:rPr>
        <w:t xml:space="preserve">   </w:t>
      </w:r>
      <w:r w:rsidR="001115EC">
        <w:rPr>
          <w:rFonts w:hint="eastAsia"/>
        </w:rPr>
        <w:t xml:space="preserve">  </w:t>
      </w:r>
    </w:p>
    <w:p w14:paraId="1226D682" w14:textId="5599E60F" w:rsidR="00EE7818" w:rsidRDefault="00C71F1C" w:rsidP="00EE7818">
      <w:pPr>
        <w:rPr>
          <w:rFonts w:hint="eastAsia"/>
        </w:rPr>
      </w:pPr>
      <w:r>
        <w:rPr>
          <w:noProof/>
        </w:rPr>
        <w:drawing>
          <wp:inline distT="0" distB="0" distL="0" distR="0" wp14:anchorId="389D06AA" wp14:editId="5A7B5D05">
            <wp:extent cx="5274310" cy="5858510"/>
            <wp:effectExtent l="0" t="0" r="0" b="0"/>
            <wp:docPr id="100161976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5EC">
        <w:rPr>
          <w:rFonts w:hint="eastAsia"/>
        </w:rPr>
        <w:t xml:space="preserve">  </w:t>
      </w:r>
      <w:r w:rsidR="00DD6005">
        <w:rPr>
          <w:rFonts w:hint="eastAsia"/>
        </w:rPr>
        <w:t xml:space="preserve">   </w:t>
      </w:r>
    </w:p>
    <w:p w14:paraId="23BFF7A2" w14:textId="57905FA4" w:rsidR="00C71F1C" w:rsidRDefault="007D24CD" w:rsidP="00C71F1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Supplementary Figure </w:t>
      </w:r>
      <w:r w:rsidR="00C71F1C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4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="00C71F1C" w:rsidRPr="0000746E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>Scatter plots</w:t>
      </w:r>
      <w:r w:rsidR="00C71F1C"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 for Mendelian randomization analyses between biological aging markers and MG. </w:t>
      </w:r>
    </w:p>
    <w:p w14:paraId="168BBCF9" w14:textId="7EB0B737" w:rsidR="00C71F1C" w:rsidRPr="00786818" w:rsidRDefault="00C71F1C" w:rsidP="00C71F1C">
      <w:pPr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sectPr w:rsidR="00C71F1C" w:rsidRPr="00786818" w:rsidSect="00C71F1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Plots (A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F) assess biological aging markers [TL (A), PhenoAge (B), GrimAge (C), HannumAge (D), IEAA (E), and mtDNA-CN (F)] as exposures and MG as the outcome. Plots (G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L) assess the reverse direction with MG as the exposure and the corresponding biological aging markers as outcomes.</w:t>
      </w:r>
    </w:p>
    <w:p w14:paraId="60057393" w14:textId="7302FECA" w:rsidR="00CE300C" w:rsidRDefault="00EB377F" w:rsidP="007D24CD">
      <w:pP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</w:pPr>
      <w:r>
        <w:rPr>
          <w:noProof/>
        </w:rPr>
        <w:drawing>
          <wp:inline distT="0" distB="0" distL="0" distR="0" wp14:anchorId="28F697F5" wp14:editId="5EC79FCA">
            <wp:extent cx="5274310" cy="5859145"/>
            <wp:effectExtent l="0" t="0" r="0" b="0"/>
            <wp:docPr id="16851577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79DE6" w14:textId="59C28E86" w:rsidR="00902BA1" w:rsidRDefault="00902BA1" w:rsidP="00902BA1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5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Pr="0000746E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>Scatter plots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 for Mendelian randomization analyses between biological aging markers and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EO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MG. </w:t>
      </w:r>
    </w:p>
    <w:p w14:paraId="4D2F6ADC" w14:textId="4D73E83E" w:rsidR="00A666CE" w:rsidRPr="00A666CE" w:rsidRDefault="00902BA1" w:rsidP="00902BA1">
      <w:pP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sectPr w:rsidR="00A666CE" w:rsidRPr="00A666CE" w:rsidSect="00902B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Plots (A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F) assess biological aging markers [TL (A), PhenoAge (B), GrimAge (C), HannumAge (D), IEAA (E), and mtDNA-CN (F)] as exposures and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EO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 as the outcome. Plots (G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L) assess the reverse direction with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EO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 as the exposure and the corresponding biological aging markers as outcomes.</w:t>
      </w:r>
    </w:p>
    <w:p w14:paraId="2D35D31D" w14:textId="32BFDC19" w:rsidR="00CE300C" w:rsidRPr="00CE300C" w:rsidRDefault="00B83EEA" w:rsidP="007D24CD">
      <w:pPr>
        <w:rPr>
          <w:rFonts w:ascii="Times New Roman" w:hAnsi="Times New Roman" w:cs="Times New Roman"/>
          <w:noProof/>
          <w:sz w:val="20"/>
          <w:szCs w:val="20"/>
          <w14:ligatures w14:val="none"/>
        </w:rPr>
      </w:pPr>
      <w:r>
        <w:rPr>
          <w:noProof/>
        </w:rPr>
        <w:drawing>
          <wp:inline distT="0" distB="0" distL="0" distR="0" wp14:anchorId="2E7AC61B" wp14:editId="4854BF90">
            <wp:extent cx="5274310" cy="5714365"/>
            <wp:effectExtent l="0" t="0" r="0" b="0"/>
            <wp:docPr id="3345010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1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16D2F" w14:textId="518B15C8" w:rsidR="00A666CE" w:rsidRDefault="00A666CE" w:rsidP="00A666CE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6</w:t>
      </w:r>
      <w:r w:rsidRPr="00F2471D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.</w:t>
      </w:r>
      <w:r w:rsidRPr="00F2471D">
        <w:rPr>
          <w:rFonts w:ascii="Times New Roman" w:hAnsi="Times New Roman" w:cs="Times New Roman"/>
          <w:b/>
          <w:bCs/>
          <w:noProof/>
          <w:sz w:val="20"/>
          <w:szCs w:val="20"/>
          <w14:ligatures w14:val="none"/>
        </w:rPr>
        <w:t xml:space="preserve"> </w:t>
      </w:r>
      <w:r w:rsidRPr="0000746E">
        <w:rPr>
          <w:rFonts w:ascii="Times New Roman" w:hAnsi="Times New Roman" w:cs="Times New Roman" w:hint="eastAsia"/>
          <w:noProof/>
          <w:sz w:val="20"/>
          <w:szCs w:val="20"/>
          <w14:ligatures w14:val="none"/>
        </w:rPr>
        <w:t>Scatter plots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 for Mendelian randomization analyses between biological aging markers and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MG. </w:t>
      </w:r>
    </w:p>
    <w:p w14:paraId="2B3EC2FC" w14:textId="72DBEDB9" w:rsidR="009B76B2" w:rsidRPr="00B83EEA" w:rsidRDefault="00A666CE" w:rsidP="00EE7818">
      <w:pP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</w:pP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Plots (A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F) assess biological aging markers [TL (A), PhenoAge (B), GrimAge (C), HannumAge (D), IEAA (E), and mtDNA-CN (F)] as exposures and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EO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 as the outcome. Plots (G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–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 xml:space="preserve">L) assess the reverse direction with 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L</w:t>
      </w:r>
      <w:r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O</w:t>
      </w:r>
      <w:r w:rsidRPr="00322FF2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MG as the exposure and the corresponding biological aging markers as outcomes</w:t>
      </w:r>
      <w:r w:rsidR="00B83EEA">
        <w:rPr>
          <w:rFonts w:ascii="Times New Roman" w:hAnsi="Times New Roman" w:cs="Times New Roman" w:hint="eastAsia"/>
          <w:kern w:val="0"/>
          <w:sz w:val="20"/>
          <w:szCs w:val="20"/>
          <w14:ligatures w14:val="none"/>
        </w:rPr>
        <w:t>.</w:t>
      </w:r>
    </w:p>
    <w:sectPr w:rsidR="009B76B2" w:rsidRPr="00B83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B09A" w14:textId="77777777" w:rsidR="00261596" w:rsidRDefault="00261596" w:rsidP="00AC7CD9">
      <w:pPr>
        <w:rPr>
          <w:rFonts w:hint="eastAsia"/>
        </w:rPr>
      </w:pPr>
      <w:r>
        <w:separator/>
      </w:r>
    </w:p>
  </w:endnote>
  <w:endnote w:type="continuationSeparator" w:id="0">
    <w:p w14:paraId="5AADA575" w14:textId="77777777" w:rsidR="00261596" w:rsidRDefault="00261596" w:rsidP="00AC7C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7417156"/>
      <w:docPartObj>
        <w:docPartGallery w:val="Page Numbers (Bottom of Page)"/>
        <w:docPartUnique/>
      </w:docPartObj>
    </w:sdtPr>
    <w:sdtContent>
      <w:p w14:paraId="79874CBB" w14:textId="11DDAE58" w:rsidR="00BF7355" w:rsidRDefault="00BF7355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26281DE" w14:textId="77777777" w:rsidR="00BF7355" w:rsidRDefault="00BF7355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701E" w14:textId="77777777" w:rsidR="00261596" w:rsidRDefault="00261596" w:rsidP="00AC7CD9">
      <w:pPr>
        <w:rPr>
          <w:rFonts w:hint="eastAsia"/>
        </w:rPr>
      </w:pPr>
      <w:r>
        <w:separator/>
      </w:r>
    </w:p>
  </w:footnote>
  <w:footnote w:type="continuationSeparator" w:id="0">
    <w:p w14:paraId="56F6B879" w14:textId="77777777" w:rsidR="00261596" w:rsidRDefault="00261596" w:rsidP="00AC7CD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06531"/>
    <w:multiLevelType w:val="hybridMultilevel"/>
    <w:tmpl w:val="E314FDCA"/>
    <w:lvl w:ilvl="0" w:tplc="EE0AAC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2796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wMTIyNDYzNzYwMzRS0lEKTi0uzszPAymwqAUAdtiJcywAAAA="/>
  </w:docVars>
  <w:rsids>
    <w:rsidRoot w:val="00583925"/>
    <w:rsid w:val="0000746E"/>
    <w:rsid w:val="00023602"/>
    <w:rsid w:val="00041502"/>
    <w:rsid w:val="000A2313"/>
    <w:rsid w:val="000A6A8B"/>
    <w:rsid w:val="000A7C8A"/>
    <w:rsid w:val="000B12F6"/>
    <w:rsid w:val="0010322F"/>
    <w:rsid w:val="001115EC"/>
    <w:rsid w:val="0015334B"/>
    <w:rsid w:val="001548B7"/>
    <w:rsid w:val="00157B8F"/>
    <w:rsid w:val="0016316C"/>
    <w:rsid w:val="0017130E"/>
    <w:rsid w:val="001E645F"/>
    <w:rsid w:val="001F2C4E"/>
    <w:rsid w:val="00250BC0"/>
    <w:rsid w:val="00257A34"/>
    <w:rsid w:val="00261596"/>
    <w:rsid w:val="00265396"/>
    <w:rsid w:val="00294511"/>
    <w:rsid w:val="00295FBF"/>
    <w:rsid w:val="002C4266"/>
    <w:rsid w:val="002E7BDF"/>
    <w:rsid w:val="003054CC"/>
    <w:rsid w:val="00322FF2"/>
    <w:rsid w:val="00371988"/>
    <w:rsid w:val="00393F5F"/>
    <w:rsid w:val="003B0111"/>
    <w:rsid w:val="003C06B9"/>
    <w:rsid w:val="003D21FA"/>
    <w:rsid w:val="003E12ED"/>
    <w:rsid w:val="003E247B"/>
    <w:rsid w:val="003E60F1"/>
    <w:rsid w:val="003F647A"/>
    <w:rsid w:val="003F6C6C"/>
    <w:rsid w:val="004372A8"/>
    <w:rsid w:val="0044255B"/>
    <w:rsid w:val="00443D2C"/>
    <w:rsid w:val="0047656C"/>
    <w:rsid w:val="00497634"/>
    <w:rsid w:val="004B6ECC"/>
    <w:rsid w:val="004D1BC6"/>
    <w:rsid w:val="004D297D"/>
    <w:rsid w:val="004D47EA"/>
    <w:rsid w:val="00500359"/>
    <w:rsid w:val="00504939"/>
    <w:rsid w:val="005250E1"/>
    <w:rsid w:val="0055415E"/>
    <w:rsid w:val="00557A6D"/>
    <w:rsid w:val="005662F9"/>
    <w:rsid w:val="005728F2"/>
    <w:rsid w:val="0058350A"/>
    <w:rsid w:val="00583925"/>
    <w:rsid w:val="005C1C14"/>
    <w:rsid w:val="005E058F"/>
    <w:rsid w:val="005F2E48"/>
    <w:rsid w:val="005F5043"/>
    <w:rsid w:val="006303E7"/>
    <w:rsid w:val="00632132"/>
    <w:rsid w:val="00635925"/>
    <w:rsid w:val="00646439"/>
    <w:rsid w:val="00695457"/>
    <w:rsid w:val="006F1EB9"/>
    <w:rsid w:val="007246D8"/>
    <w:rsid w:val="00730F6E"/>
    <w:rsid w:val="0074589F"/>
    <w:rsid w:val="00747A91"/>
    <w:rsid w:val="007735E1"/>
    <w:rsid w:val="00786818"/>
    <w:rsid w:val="007B60C4"/>
    <w:rsid w:val="007C5632"/>
    <w:rsid w:val="007D24CD"/>
    <w:rsid w:val="007D5D04"/>
    <w:rsid w:val="0083410F"/>
    <w:rsid w:val="008801F6"/>
    <w:rsid w:val="00891E33"/>
    <w:rsid w:val="008A4674"/>
    <w:rsid w:val="008B45F7"/>
    <w:rsid w:val="008B6222"/>
    <w:rsid w:val="008E65A4"/>
    <w:rsid w:val="00902BA1"/>
    <w:rsid w:val="00916C01"/>
    <w:rsid w:val="00933F4C"/>
    <w:rsid w:val="00956CAA"/>
    <w:rsid w:val="00982FA9"/>
    <w:rsid w:val="009B4F23"/>
    <w:rsid w:val="009B76B2"/>
    <w:rsid w:val="009D207C"/>
    <w:rsid w:val="009E1763"/>
    <w:rsid w:val="009E7D73"/>
    <w:rsid w:val="009F083D"/>
    <w:rsid w:val="00A00213"/>
    <w:rsid w:val="00A02331"/>
    <w:rsid w:val="00A067AE"/>
    <w:rsid w:val="00A50C73"/>
    <w:rsid w:val="00A666CE"/>
    <w:rsid w:val="00A83BD9"/>
    <w:rsid w:val="00AB065A"/>
    <w:rsid w:val="00AB2074"/>
    <w:rsid w:val="00AC7CD9"/>
    <w:rsid w:val="00AF0C22"/>
    <w:rsid w:val="00B01E9E"/>
    <w:rsid w:val="00B5073E"/>
    <w:rsid w:val="00B519AE"/>
    <w:rsid w:val="00B62D42"/>
    <w:rsid w:val="00B763A2"/>
    <w:rsid w:val="00B83EEA"/>
    <w:rsid w:val="00B92BEF"/>
    <w:rsid w:val="00BB6C65"/>
    <w:rsid w:val="00BE69B8"/>
    <w:rsid w:val="00BF518A"/>
    <w:rsid w:val="00BF7355"/>
    <w:rsid w:val="00C47720"/>
    <w:rsid w:val="00C71F1C"/>
    <w:rsid w:val="00C74EEA"/>
    <w:rsid w:val="00C94992"/>
    <w:rsid w:val="00CB7F65"/>
    <w:rsid w:val="00CE300C"/>
    <w:rsid w:val="00D27B63"/>
    <w:rsid w:val="00D4513B"/>
    <w:rsid w:val="00D87D68"/>
    <w:rsid w:val="00D935B4"/>
    <w:rsid w:val="00D96DE3"/>
    <w:rsid w:val="00DA2729"/>
    <w:rsid w:val="00DC3EB0"/>
    <w:rsid w:val="00DD6005"/>
    <w:rsid w:val="00E17D90"/>
    <w:rsid w:val="00E215B8"/>
    <w:rsid w:val="00E81FA6"/>
    <w:rsid w:val="00EB377F"/>
    <w:rsid w:val="00EE7818"/>
    <w:rsid w:val="00F2471D"/>
    <w:rsid w:val="00F46591"/>
    <w:rsid w:val="00F473B1"/>
    <w:rsid w:val="00F651A7"/>
    <w:rsid w:val="00F8210B"/>
    <w:rsid w:val="00FA4FF7"/>
    <w:rsid w:val="00FC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9065AD"/>
  <w14:defaultImageDpi w14:val="32767"/>
  <w15:chartTrackingRefBased/>
  <w15:docId w15:val="{2B7FB08D-EF56-4B51-9BE2-C3ED24B0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4C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9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9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92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92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92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92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92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92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92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3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3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392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392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392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39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39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39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39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3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39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39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39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39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39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39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3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392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392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7C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7CD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7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7C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72C75-7557-404C-8F12-F395C1DAC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7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薇 向</dc:creator>
  <cp:keywords/>
  <dc:description/>
  <cp:lastModifiedBy>薇 向</cp:lastModifiedBy>
  <cp:revision>70</cp:revision>
  <dcterms:created xsi:type="dcterms:W3CDTF">2025-03-10T01:03:00Z</dcterms:created>
  <dcterms:modified xsi:type="dcterms:W3CDTF">2025-12-14T13:04:00Z</dcterms:modified>
</cp:coreProperties>
</file>