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8C4C8" w14:textId="550E8495" w:rsidR="00351076" w:rsidRPr="004102AA" w:rsidRDefault="003D3941">
      <w:pPr>
        <w:rPr>
          <w:b/>
          <w:bCs/>
          <w:sz w:val="28"/>
          <w:szCs w:val="28"/>
        </w:rPr>
      </w:pPr>
      <w:r w:rsidRPr="004102AA">
        <w:rPr>
          <w:b/>
          <w:bCs/>
          <w:sz w:val="28"/>
          <w:szCs w:val="28"/>
        </w:rPr>
        <w:t>Supplementary Information</w:t>
      </w:r>
    </w:p>
    <w:p w14:paraId="0B439A5C" w14:textId="77777777" w:rsidR="005C35D4" w:rsidRPr="004102AA" w:rsidRDefault="005C35D4" w:rsidP="00351076">
      <w:pPr>
        <w:jc w:val="both"/>
        <w:rPr>
          <w:b/>
          <w:bCs/>
          <w:sz w:val="24"/>
          <w:szCs w:val="24"/>
        </w:rPr>
      </w:pPr>
    </w:p>
    <w:p w14:paraId="5AFDA7C8" w14:textId="7888D2C6" w:rsidR="00351076" w:rsidRPr="004102AA" w:rsidRDefault="00FA3FE5" w:rsidP="00351076">
      <w:pPr>
        <w:jc w:val="both"/>
        <w:rPr>
          <w:rFonts w:cstheme="minorHAnsi"/>
          <w:b/>
          <w:bCs/>
          <w:sz w:val="24"/>
          <w:szCs w:val="24"/>
        </w:rPr>
      </w:pPr>
      <w:r w:rsidRPr="004102AA">
        <w:rPr>
          <w:rFonts w:cstheme="minorHAnsi"/>
          <w:b/>
          <w:bCs/>
          <w:sz w:val="24"/>
          <w:szCs w:val="24"/>
        </w:rPr>
        <w:t xml:space="preserve">1.1 </w:t>
      </w:r>
      <w:r w:rsidR="00351076" w:rsidRPr="004102AA">
        <w:rPr>
          <w:rFonts w:cstheme="minorHAnsi"/>
          <w:b/>
          <w:bCs/>
          <w:sz w:val="24"/>
          <w:szCs w:val="24"/>
        </w:rPr>
        <w:t xml:space="preserve">DNA methylation assay by Infinium 450K </w:t>
      </w:r>
      <w:proofErr w:type="spellStart"/>
      <w:r w:rsidR="00351076" w:rsidRPr="004102AA">
        <w:rPr>
          <w:rFonts w:cstheme="minorHAnsi"/>
          <w:b/>
          <w:bCs/>
          <w:sz w:val="24"/>
          <w:szCs w:val="24"/>
        </w:rPr>
        <w:t>Beadchip</w:t>
      </w:r>
      <w:proofErr w:type="spellEnd"/>
      <w:r w:rsidR="00351076" w:rsidRPr="004102AA">
        <w:rPr>
          <w:rFonts w:cstheme="minorHAnsi"/>
          <w:b/>
          <w:bCs/>
          <w:sz w:val="24"/>
          <w:szCs w:val="24"/>
        </w:rPr>
        <w:t xml:space="preserve"> Array</w:t>
      </w:r>
    </w:p>
    <w:p w14:paraId="501A98B2" w14:textId="46BFD5B5" w:rsidR="00351076" w:rsidRPr="004102AA" w:rsidRDefault="00351076" w:rsidP="00351076">
      <w:pPr>
        <w:jc w:val="both"/>
        <w:rPr>
          <w:rFonts w:cstheme="minorHAnsi"/>
          <w:sz w:val="24"/>
          <w:szCs w:val="24"/>
        </w:rPr>
      </w:pPr>
      <w:proofErr w:type="spellStart"/>
      <w:r w:rsidRPr="004102AA">
        <w:rPr>
          <w:rFonts w:cstheme="minorHAnsi"/>
          <w:sz w:val="24"/>
          <w:szCs w:val="24"/>
        </w:rPr>
        <w:t>AllPrep</w:t>
      </w:r>
      <w:proofErr w:type="spellEnd"/>
      <w:r w:rsidRPr="004102AA">
        <w:rPr>
          <w:rFonts w:cstheme="minorHAnsi"/>
          <w:sz w:val="24"/>
          <w:szCs w:val="24"/>
        </w:rPr>
        <w:t xml:space="preserve"> DNA/RNA Mini Kit (Qiagen) was used to isolate genomic DNA from oropharyngeal </w:t>
      </w:r>
      <w:proofErr w:type="spellStart"/>
      <w:r w:rsidRPr="004102AA">
        <w:rPr>
          <w:rFonts w:cstheme="minorHAnsi"/>
          <w:sz w:val="24"/>
          <w:szCs w:val="24"/>
        </w:rPr>
        <w:t>tumor</w:t>
      </w:r>
      <w:proofErr w:type="spellEnd"/>
      <w:r w:rsidRPr="004102AA">
        <w:rPr>
          <w:rFonts w:cstheme="minorHAnsi"/>
          <w:sz w:val="24"/>
          <w:szCs w:val="24"/>
        </w:rPr>
        <w:t xml:space="preserve"> and adjacent normal tissues. The purity and concentration </w:t>
      </w:r>
      <w:r w:rsidR="003A113D" w:rsidRPr="004102AA">
        <w:rPr>
          <w:rFonts w:cstheme="minorHAnsi"/>
          <w:sz w:val="24"/>
          <w:szCs w:val="24"/>
        </w:rPr>
        <w:t>were</w:t>
      </w:r>
      <w:r w:rsidRPr="004102AA">
        <w:rPr>
          <w:rFonts w:cstheme="minorHAnsi"/>
          <w:sz w:val="24"/>
          <w:szCs w:val="24"/>
        </w:rPr>
        <w:t xml:space="preserve"> estimated using </w:t>
      </w:r>
      <w:proofErr w:type="spellStart"/>
      <w:r w:rsidRPr="004102AA">
        <w:rPr>
          <w:rFonts w:cstheme="minorHAnsi"/>
          <w:sz w:val="24"/>
          <w:szCs w:val="24"/>
        </w:rPr>
        <w:t>NanoDrop</w:t>
      </w:r>
      <w:proofErr w:type="spellEnd"/>
      <w:r w:rsidRPr="004102AA">
        <w:rPr>
          <w:rFonts w:cstheme="minorHAnsi"/>
          <w:sz w:val="24"/>
          <w:szCs w:val="24"/>
        </w:rPr>
        <w:t xml:space="preserve"> 2000 (</w:t>
      </w:r>
      <w:proofErr w:type="spellStart"/>
      <w:r w:rsidRPr="004102AA">
        <w:rPr>
          <w:rFonts w:cstheme="minorHAnsi"/>
          <w:sz w:val="24"/>
          <w:szCs w:val="24"/>
        </w:rPr>
        <w:t>Thermo</w:t>
      </w:r>
      <w:proofErr w:type="spellEnd"/>
      <w:r w:rsidRPr="004102AA">
        <w:rPr>
          <w:rFonts w:cstheme="minorHAnsi"/>
          <w:sz w:val="24"/>
          <w:szCs w:val="24"/>
        </w:rPr>
        <w:t xml:space="preserve"> Fisher Scientific). Approximately, 850 ng of each DNA sample was subjected to sodium </w:t>
      </w:r>
      <w:proofErr w:type="spellStart"/>
      <w:r w:rsidRPr="004102AA">
        <w:rPr>
          <w:rFonts w:cstheme="minorHAnsi"/>
          <w:sz w:val="24"/>
          <w:szCs w:val="24"/>
        </w:rPr>
        <w:t>bisulfite</w:t>
      </w:r>
      <w:proofErr w:type="spellEnd"/>
      <w:r w:rsidRPr="004102AA">
        <w:rPr>
          <w:rFonts w:cstheme="minorHAnsi"/>
          <w:sz w:val="24"/>
          <w:szCs w:val="24"/>
        </w:rPr>
        <w:t xml:space="preserve"> conversion using EZ DNA methylation kit (</w:t>
      </w:r>
      <w:proofErr w:type="spellStart"/>
      <w:r w:rsidRPr="004102AA">
        <w:rPr>
          <w:rFonts w:cstheme="minorHAnsi"/>
          <w:sz w:val="24"/>
          <w:szCs w:val="24"/>
        </w:rPr>
        <w:t>Zymo</w:t>
      </w:r>
      <w:proofErr w:type="spellEnd"/>
      <w:r w:rsidRPr="004102AA">
        <w:rPr>
          <w:rFonts w:cstheme="minorHAnsi"/>
          <w:sz w:val="24"/>
          <w:szCs w:val="24"/>
        </w:rPr>
        <w:t xml:space="preserve"> Research) following the manufacturer’s protocol. Paired </w:t>
      </w:r>
      <w:proofErr w:type="spellStart"/>
      <w:r w:rsidRPr="004102AA">
        <w:rPr>
          <w:rFonts w:cstheme="minorHAnsi"/>
          <w:sz w:val="24"/>
          <w:szCs w:val="24"/>
        </w:rPr>
        <w:t>tumor</w:t>
      </w:r>
      <w:proofErr w:type="spellEnd"/>
      <w:r w:rsidRPr="004102AA">
        <w:rPr>
          <w:rFonts w:cstheme="minorHAnsi"/>
          <w:sz w:val="24"/>
          <w:szCs w:val="24"/>
        </w:rPr>
        <w:t xml:space="preserve"> and adjacent normal tissue samples from the discovery subset and </w:t>
      </w:r>
      <w:proofErr w:type="spellStart"/>
      <w:r w:rsidRPr="004102AA">
        <w:rPr>
          <w:rFonts w:cstheme="minorHAnsi"/>
          <w:sz w:val="24"/>
          <w:szCs w:val="24"/>
        </w:rPr>
        <w:t>tumor</w:t>
      </w:r>
      <w:proofErr w:type="spellEnd"/>
      <w:r w:rsidRPr="004102AA">
        <w:rPr>
          <w:rFonts w:cstheme="minorHAnsi"/>
          <w:sz w:val="24"/>
          <w:szCs w:val="24"/>
        </w:rPr>
        <w:t xml:space="preserve"> tissue samples from the validation subset were assayed for DNA methylation. Illumina Infinium HumanMethylation450 </w:t>
      </w:r>
      <w:proofErr w:type="spellStart"/>
      <w:r w:rsidRPr="004102AA">
        <w:rPr>
          <w:rFonts w:cstheme="minorHAnsi"/>
          <w:sz w:val="24"/>
          <w:szCs w:val="24"/>
        </w:rPr>
        <w:t>BeadChip</w:t>
      </w:r>
      <w:proofErr w:type="spellEnd"/>
      <w:r w:rsidRPr="004102AA">
        <w:rPr>
          <w:rFonts w:cstheme="minorHAnsi"/>
          <w:sz w:val="24"/>
          <w:szCs w:val="24"/>
        </w:rPr>
        <w:t xml:space="preserve"> was used to perform the whole genome DNA methylation assay that interrogates 485,577 CpG sites per sample at single base resolution. The chips were scanned by Illumina </w:t>
      </w:r>
      <w:proofErr w:type="spellStart"/>
      <w:r w:rsidRPr="004102AA">
        <w:rPr>
          <w:rFonts w:cstheme="minorHAnsi"/>
          <w:sz w:val="24"/>
          <w:szCs w:val="24"/>
        </w:rPr>
        <w:t>iScan</w:t>
      </w:r>
      <w:proofErr w:type="spellEnd"/>
      <w:r w:rsidRPr="004102AA">
        <w:rPr>
          <w:rFonts w:cstheme="minorHAnsi"/>
          <w:sz w:val="24"/>
          <w:szCs w:val="24"/>
        </w:rPr>
        <w:t xml:space="preserve"> reader and raw data were generated as intensity data file (</w:t>
      </w:r>
      <w:proofErr w:type="gramStart"/>
      <w:r w:rsidRPr="004102AA">
        <w:rPr>
          <w:rFonts w:ascii="Cambria Math" w:hAnsi="Cambria Math" w:cs="Cambria Math"/>
          <w:sz w:val="24"/>
          <w:szCs w:val="24"/>
          <w:vertAlign w:val="superscript"/>
        </w:rPr>
        <w:t>∗</w:t>
      </w:r>
      <w:r w:rsidRPr="004102AA">
        <w:rPr>
          <w:rFonts w:cstheme="minorHAnsi"/>
          <w:sz w:val="24"/>
          <w:szCs w:val="24"/>
        </w:rPr>
        <w:t>.</w:t>
      </w:r>
      <w:proofErr w:type="spellStart"/>
      <w:r w:rsidRPr="004102AA">
        <w:rPr>
          <w:rFonts w:cstheme="minorHAnsi"/>
          <w:sz w:val="24"/>
          <w:szCs w:val="24"/>
        </w:rPr>
        <w:t>idat</w:t>
      </w:r>
      <w:proofErr w:type="spellEnd"/>
      <w:proofErr w:type="gramEnd"/>
      <w:r w:rsidRPr="004102AA">
        <w:rPr>
          <w:rFonts w:cstheme="minorHAnsi"/>
          <w:sz w:val="24"/>
          <w:szCs w:val="24"/>
        </w:rPr>
        <w:t xml:space="preserve">) format. The raw data were further quality checked using the </w:t>
      </w:r>
      <w:proofErr w:type="spellStart"/>
      <w:r w:rsidRPr="004102AA">
        <w:rPr>
          <w:rFonts w:cstheme="minorHAnsi"/>
          <w:sz w:val="24"/>
          <w:szCs w:val="24"/>
        </w:rPr>
        <w:t>GenomeStudio</w:t>
      </w:r>
      <w:proofErr w:type="spellEnd"/>
      <w:r w:rsidRPr="004102AA">
        <w:rPr>
          <w:rFonts w:cstheme="minorHAnsi"/>
          <w:sz w:val="24"/>
          <w:szCs w:val="24"/>
        </w:rPr>
        <w:t xml:space="preserve"> (v2010.3) methylation module (v1.8.5) software (Illumina). DNA methylation was quantitatively represented by </w:t>
      </w:r>
      <w:r w:rsidRPr="004102AA">
        <w:rPr>
          <w:rFonts w:ascii="Calibri" w:hAnsi="Calibri" w:cs="Calibri"/>
          <w:sz w:val="24"/>
          <w:szCs w:val="24"/>
        </w:rPr>
        <w:t>β</w:t>
      </w:r>
      <w:r w:rsidRPr="004102AA">
        <w:rPr>
          <w:rFonts w:cstheme="minorHAnsi"/>
          <w:sz w:val="24"/>
          <w:szCs w:val="24"/>
        </w:rPr>
        <w:t xml:space="preserve"> value which is the ratio of fluorescent signal intensities from the methylated probes to the sum of the signal intensities from the methylated and unmethylated probes. </w:t>
      </w:r>
    </w:p>
    <w:p w14:paraId="2760B3DD" w14:textId="77777777" w:rsidR="00351076" w:rsidRPr="004102AA" w:rsidRDefault="00351076" w:rsidP="00351076">
      <w:pPr>
        <w:jc w:val="both"/>
        <w:rPr>
          <w:rFonts w:cstheme="minorHAnsi"/>
          <w:sz w:val="24"/>
          <w:szCs w:val="24"/>
        </w:rPr>
      </w:pPr>
      <w:r w:rsidRPr="004102AA">
        <w:rPr>
          <w:rFonts w:cstheme="minorHAnsi"/>
          <w:sz w:val="24"/>
          <w:szCs w:val="24"/>
        </w:rPr>
        <w:t>β = [M</w:t>
      </w:r>
      <w:proofErr w:type="gramStart"/>
      <w:r w:rsidRPr="004102AA">
        <w:rPr>
          <w:rFonts w:cstheme="minorHAnsi"/>
          <w:sz w:val="24"/>
          <w:szCs w:val="24"/>
        </w:rPr>
        <w:t>/(</w:t>
      </w:r>
      <w:proofErr w:type="gramEnd"/>
      <w:r w:rsidRPr="004102AA">
        <w:rPr>
          <w:rFonts w:cstheme="minorHAnsi"/>
          <w:sz w:val="24"/>
          <w:szCs w:val="24"/>
        </w:rPr>
        <w:t xml:space="preserve">M + U + α)], </w:t>
      </w:r>
    </w:p>
    <w:p w14:paraId="0042E52A" w14:textId="2605B686" w:rsidR="00650FA6" w:rsidRPr="004102AA" w:rsidRDefault="00351076" w:rsidP="00351076">
      <w:pPr>
        <w:jc w:val="both"/>
        <w:rPr>
          <w:rFonts w:cstheme="minorHAnsi"/>
          <w:sz w:val="24"/>
          <w:szCs w:val="24"/>
        </w:rPr>
      </w:pPr>
      <w:r w:rsidRPr="004102AA">
        <w:rPr>
          <w:rFonts w:cstheme="minorHAnsi"/>
          <w:sz w:val="24"/>
          <w:szCs w:val="24"/>
        </w:rPr>
        <w:t xml:space="preserve">where M = methylated probe, U = unmethylated probe and α was assigned a value </w:t>
      </w:r>
      <w:r w:rsidR="00205C01" w:rsidRPr="004102AA">
        <w:rPr>
          <w:rFonts w:cstheme="minorHAnsi"/>
          <w:sz w:val="24"/>
          <w:szCs w:val="24"/>
        </w:rPr>
        <w:t>of 100</w:t>
      </w:r>
      <w:r w:rsidRPr="004102AA">
        <w:rPr>
          <w:rFonts w:cstheme="minorHAnsi"/>
          <w:sz w:val="24"/>
          <w:szCs w:val="24"/>
        </w:rPr>
        <w:t xml:space="preserve"> as recommended by the </w:t>
      </w:r>
      <w:proofErr w:type="spellStart"/>
      <w:r w:rsidRPr="004102AA">
        <w:rPr>
          <w:rFonts w:cstheme="minorHAnsi"/>
          <w:sz w:val="24"/>
          <w:szCs w:val="24"/>
        </w:rPr>
        <w:t>BeadChip</w:t>
      </w:r>
      <w:proofErr w:type="spellEnd"/>
      <w:r w:rsidRPr="004102AA">
        <w:rPr>
          <w:rFonts w:cstheme="minorHAnsi"/>
          <w:sz w:val="24"/>
          <w:szCs w:val="24"/>
        </w:rPr>
        <w:t xml:space="preserve"> manufacturer (Illumina). The β value ranged from 0 to 1. A β-value close to 0 and 1 represented unmethylated and fully methylated CpG loci respectively </w:t>
      </w:r>
      <w:r w:rsidRPr="004102AA">
        <w:rPr>
          <w:rFonts w:cstheme="minorHAnsi"/>
          <w:sz w:val="24"/>
          <w:szCs w:val="24"/>
          <w:vertAlign w:val="superscript"/>
        </w:rPr>
        <w:t>[</w:t>
      </w:r>
      <w:r w:rsidR="004209A1" w:rsidRPr="004102AA">
        <w:rPr>
          <w:rFonts w:cstheme="minorHAnsi"/>
          <w:sz w:val="24"/>
          <w:szCs w:val="24"/>
          <w:vertAlign w:val="superscript"/>
        </w:rPr>
        <w:t>1</w:t>
      </w:r>
      <w:r w:rsidRPr="004102AA">
        <w:rPr>
          <w:rFonts w:cstheme="minorHAnsi"/>
          <w:sz w:val="24"/>
          <w:szCs w:val="24"/>
          <w:vertAlign w:val="superscript"/>
        </w:rPr>
        <w:t>]</w:t>
      </w:r>
      <w:r w:rsidRPr="004102AA">
        <w:rPr>
          <w:rFonts w:cstheme="minorHAnsi"/>
          <w:sz w:val="24"/>
          <w:szCs w:val="24"/>
        </w:rPr>
        <w:t>.</w:t>
      </w:r>
    </w:p>
    <w:p w14:paraId="78C019A5" w14:textId="768EC696" w:rsidR="002307E3" w:rsidRPr="004102AA" w:rsidRDefault="00FA3FE5" w:rsidP="002307E3">
      <w:pPr>
        <w:jc w:val="both"/>
        <w:rPr>
          <w:b/>
          <w:bCs/>
          <w:sz w:val="24"/>
          <w:szCs w:val="24"/>
        </w:rPr>
      </w:pPr>
      <w:r w:rsidRPr="004102AA">
        <w:rPr>
          <w:b/>
          <w:bCs/>
          <w:sz w:val="24"/>
          <w:szCs w:val="24"/>
        </w:rPr>
        <w:t xml:space="preserve">1.2 </w:t>
      </w:r>
      <w:r w:rsidR="002307E3" w:rsidRPr="004102AA">
        <w:rPr>
          <w:b/>
          <w:bCs/>
          <w:sz w:val="24"/>
          <w:szCs w:val="24"/>
        </w:rPr>
        <w:t>Whole transcriptome sequence data generation protocol</w:t>
      </w:r>
    </w:p>
    <w:p w14:paraId="2AD7BFD3" w14:textId="4D5364F7" w:rsidR="00650FA6" w:rsidRPr="004102AA" w:rsidRDefault="002307E3" w:rsidP="002307E3">
      <w:pPr>
        <w:jc w:val="both"/>
        <w:rPr>
          <w:sz w:val="24"/>
          <w:szCs w:val="24"/>
        </w:rPr>
      </w:pPr>
      <w:r w:rsidRPr="004102AA">
        <w:rPr>
          <w:sz w:val="24"/>
          <w:szCs w:val="24"/>
        </w:rPr>
        <w:t xml:space="preserve">Total RNA extraction from oropharyngeal </w:t>
      </w:r>
      <w:proofErr w:type="spellStart"/>
      <w:r w:rsidRPr="004102AA">
        <w:rPr>
          <w:sz w:val="24"/>
          <w:szCs w:val="24"/>
        </w:rPr>
        <w:t>tumor</w:t>
      </w:r>
      <w:proofErr w:type="spellEnd"/>
      <w:r w:rsidRPr="004102AA">
        <w:rPr>
          <w:sz w:val="24"/>
          <w:szCs w:val="24"/>
        </w:rPr>
        <w:t xml:space="preserve"> and adjacent normal tissue was performed using </w:t>
      </w:r>
      <w:proofErr w:type="spellStart"/>
      <w:r w:rsidRPr="004102AA">
        <w:rPr>
          <w:sz w:val="24"/>
          <w:szCs w:val="24"/>
        </w:rPr>
        <w:t>AllPrep</w:t>
      </w:r>
      <w:proofErr w:type="spellEnd"/>
      <w:r w:rsidRPr="004102AA">
        <w:rPr>
          <w:sz w:val="24"/>
          <w:szCs w:val="24"/>
        </w:rPr>
        <w:t xml:space="preserve"> DNA/RNA Mini Kit (Qiagen), which was followed by quality control and quantification of the isolated RNA by Agilent 2100 Bioanalyzer and </w:t>
      </w:r>
      <w:proofErr w:type="spellStart"/>
      <w:r w:rsidRPr="004102AA">
        <w:rPr>
          <w:sz w:val="24"/>
          <w:szCs w:val="24"/>
        </w:rPr>
        <w:t>NanoDrop</w:t>
      </w:r>
      <w:proofErr w:type="spellEnd"/>
      <w:r w:rsidRPr="004102AA">
        <w:rPr>
          <w:sz w:val="24"/>
          <w:szCs w:val="24"/>
        </w:rPr>
        <w:t xml:space="preserve"> 2000 (</w:t>
      </w:r>
      <w:proofErr w:type="spellStart"/>
      <w:r w:rsidRPr="004102AA">
        <w:rPr>
          <w:sz w:val="24"/>
          <w:szCs w:val="24"/>
        </w:rPr>
        <w:t>Thermo</w:t>
      </w:r>
      <w:proofErr w:type="spellEnd"/>
      <w:r w:rsidRPr="004102AA">
        <w:rPr>
          <w:sz w:val="24"/>
          <w:szCs w:val="24"/>
        </w:rPr>
        <w:t xml:space="preserve"> Fisher Scientific). RNA samples with OD 260/280 ratio ≥</w:t>
      </w:r>
      <w:r w:rsidR="00FD3FDD" w:rsidRPr="004102AA">
        <w:rPr>
          <w:sz w:val="24"/>
          <w:szCs w:val="24"/>
        </w:rPr>
        <w:t xml:space="preserve"> </w:t>
      </w:r>
      <w:r w:rsidRPr="004102AA">
        <w:rPr>
          <w:sz w:val="24"/>
          <w:szCs w:val="24"/>
        </w:rPr>
        <w:t>2 and RNA Integrity Number (RIN) ≥ 7 were selected for sequencing library preparation. Ribosomal RNA (rRNA) depletion from the selected whole RNA samples were performed using the Ribo-</w:t>
      </w:r>
      <w:proofErr w:type="spellStart"/>
      <w:r w:rsidRPr="004102AA">
        <w:rPr>
          <w:sz w:val="24"/>
          <w:szCs w:val="24"/>
        </w:rPr>
        <w:t>ZeroTM</w:t>
      </w:r>
      <w:proofErr w:type="spellEnd"/>
      <w:r w:rsidRPr="004102AA">
        <w:rPr>
          <w:sz w:val="24"/>
          <w:szCs w:val="24"/>
        </w:rPr>
        <w:t xml:space="preserve"> Magnetic Kit (Illumina). The purified RNA samples were used for preparation of sequencing libraries using </w:t>
      </w:r>
      <w:proofErr w:type="spellStart"/>
      <w:r w:rsidRPr="004102AA">
        <w:rPr>
          <w:sz w:val="24"/>
          <w:szCs w:val="24"/>
        </w:rPr>
        <w:t>TruSeq</w:t>
      </w:r>
      <w:proofErr w:type="spellEnd"/>
      <w:r w:rsidRPr="004102AA">
        <w:rPr>
          <w:sz w:val="24"/>
          <w:szCs w:val="24"/>
        </w:rPr>
        <w:t xml:space="preserve"> RNA Library Prep Kit v2 (Illumina). The sequencing libraries with unique barcodes prepared from each sample were pooled before loading in Illumina </w:t>
      </w:r>
      <w:proofErr w:type="spellStart"/>
      <w:r w:rsidRPr="004102AA">
        <w:rPr>
          <w:sz w:val="24"/>
          <w:szCs w:val="24"/>
        </w:rPr>
        <w:t>HiSeq</w:t>
      </w:r>
      <w:proofErr w:type="spellEnd"/>
      <w:r w:rsidRPr="004102AA">
        <w:rPr>
          <w:sz w:val="24"/>
          <w:szCs w:val="24"/>
        </w:rPr>
        <w:t xml:space="preserve"> – 2500 to generate 2 × 100 bp reads using Illumina </w:t>
      </w:r>
      <w:proofErr w:type="spellStart"/>
      <w:r w:rsidRPr="004102AA">
        <w:rPr>
          <w:sz w:val="24"/>
          <w:szCs w:val="24"/>
        </w:rPr>
        <w:t>TruSeq</w:t>
      </w:r>
      <w:proofErr w:type="spellEnd"/>
      <w:r w:rsidRPr="004102AA">
        <w:rPr>
          <w:sz w:val="24"/>
          <w:szCs w:val="24"/>
        </w:rPr>
        <w:t xml:space="preserve"> SBS V3 sequencing kit. </w:t>
      </w:r>
      <w:proofErr w:type="gramStart"/>
      <w:r w:rsidRPr="004102AA">
        <w:rPr>
          <w:sz w:val="24"/>
          <w:szCs w:val="24"/>
        </w:rPr>
        <w:t>Manufacturers’</w:t>
      </w:r>
      <w:proofErr w:type="gramEnd"/>
      <w:r w:rsidRPr="004102AA">
        <w:rPr>
          <w:sz w:val="24"/>
          <w:szCs w:val="24"/>
        </w:rPr>
        <w:t xml:space="preserve"> supplied protocols were followed for all the assays.</w:t>
      </w:r>
    </w:p>
    <w:p w14:paraId="4DF3347D" w14:textId="039BB795" w:rsidR="00B77E8D" w:rsidRPr="004102AA" w:rsidRDefault="00FA3FE5" w:rsidP="00B77E8D">
      <w:pPr>
        <w:jc w:val="both"/>
        <w:rPr>
          <w:b/>
          <w:bCs/>
          <w:sz w:val="24"/>
          <w:szCs w:val="24"/>
        </w:rPr>
      </w:pPr>
      <w:r w:rsidRPr="004102AA">
        <w:rPr>
          <w:b/>
          <w:bCs/>
          <w:sz w:val="24"/>
          <w:szCs w:val="24"/>
        </w:rPr>
        <w:t xml:space="preserve">1.3 </w:t>
      </w:r>
      <w:r w:rsidR="00B77E8D" w:rsidRPr="004102AA">
        <w:rPr>
          <w:b/>
          <w:bCs/>
          <w:sz w:val="24"/>
          <w:szCs w:val="24"/>
        </w:rPr>
        <w:t>Estimation of the power of the sample size</w:t>
      </w:r>
    </w:p>
    <w:p w14:paraId="0631798E" w14:textId="6F8D30B0" w:rsidR="00B77E8D" w:rsidRPr="004102AA" w:rsidRDefault="00B77E8D" w:rsidP="00B77E8D">
      <w:pPr>
        <w:jc w:val="both"/>
        <w:rPr>
          <w:sz w:val="24"/>
          <w:szCs w:val="24"/>
        </w:rPr>
      </w:pPr>
      <w:r w:rsidRPr="004102AA">
        <w:rPr>
          <w:sz w:val="24"/>
          <w:szCs w:val="24"/>
        </w:rPr>
        <w:t xml:space="preserve">The power estimation of the sample size in this study was performed by conducting a simulation analysis considering the 14 </w:t>
      </w:r>
      <w:r w:rsidR="00A460EA" w:rsidRPr="004102AA">
        <w:rPr>
          <w:sz w:val="24"/>
          <w:szCs w:val="24"/>
        </w:rPr>
        <w:t>tumour</w:t>
      </w:r>
      <w:r w:rsidRPr="004102AA">
        <w:rPr>
          <w:sz w:val="24"/>
          <w:szCs w:val="24"/>
        </w:rPr>
        <w:t xml:space="preserve"> and respective paired adjacent normal samples with 2000 iterations of the simulation for </w:t>
      </w:r>
      <w:proofErr w:type="spellStart"/>
      <w:r w:rsidRPr="004102AA">
        <w:rPr>
          <w:sz w:val="24"/>
          <w:szCs w:val="24"/>
        </w:rPr>
        <w:t>CpGs</w:t>
      </w:r>
      <w:proofErr w:type="spellEnd"/>
      <w:r w:rsidRPr="004102AA">
        <w:rPr>
          <w:sz w:val="24"/>
          <w:szCs w:val="24"/>
        </w:rPr>
        <w:t xml:space="preserve"> with different mean methylation (μ) - unmethylated </w:t>
      </w:r>
      <w:proofErr w:type="spellStart"/>
      <w:r w:rsidRPr="004102AA">
        <w:rPr>
          <w:sz w:val="24"/>
          <w:szCs w:val="24"/>
        </w:rPr>
        <w:t>CpGs</w:t>
      </w:r>
      <w:proofErr w:type="spellEnd"/>
      <w:r w:rsidRPr="004102AA">
        <w:rPr>
          <w:sz w:val="24"/>
          <w:szCs w:val="24"/>
        </w:rPr>
        <w:t xml:space="preserve"> (μ= 0.1), </w:t>
      </w:r>
      <w:proofErr w:type="spellStart"/>
      <w:r w:rsidRPr="004102AA">
        <w:rPr>
          <w:sz w:val="24"/>
          <w:szCs w:val="24"/>
        </w:rPr>
        <w:t>hemimethylated</w:t>
      </w:r>
      <w:proofErr w:type="spellEnd"/>
      <w:r w:rsidRPr="004102AA">
        <w:rPr>
          <w:sz w:val="24"/>
          <w:szCs w:val="24"/>
        </w:rPr>
        <w:t xml:space="preserve"> </w:t>
      </w:r>
      <w:proofErr w:type="spellStart"/>
      <w:r w:rsidRPr="004102AA">
        <w:rPr>
          <w:sz w:val="24"/>
          <w:szCs w:val="24"/>
        </w:rPr>
        <w:t>CpGs</w:t>
      </w:r>
      <w:proofErr w:type="spellEnd"/>
      <w:r w:rsidRPr="004102AA">
        <w:rPr>
          <w:sz w:val="24"/>
          <w:szCs w:val="24"/>
        </w:rPr>
        <w:t xml:space="preserve"> (μ = 0.5), and highly methylated </w:t>
      </w:r>
      <w:proofErr w:type="spellStart"/>
      <w:r w:rsidRPr="004102AA">
        <w:rPr>
          <w:sz w:val="24"/>
          <w:szCs w:val="24"/>
        </w:rPr>
        <w:t>CpGs</w:t>
      </w:r>
      <w:proofErr w:type="spellEnd"/>
      <w:r w:rsidRPr="004102AA">
        <w:rPr>
          <w:sz w:val="24"/>
          <w:szCs w:val="24"/>
        </w:rPr>
        <w:t xml:space="preserve"> (μ </w:t>
      </w:r>
      <w:r w:rsidRPr="004102AA">
        <w:rPr>
          <w:sz w:val="24"/>
          <w:szCs w:val="24"/>
        </w:rPr>
        <w:lastRenderedPageBreak/>
        <w:t xml:space="preserve">= 0.8). The beta distribution was considered across three precisions (ɸ) - low (ɸ = 20), intermediate (ɸ = 50), and high (ɸ= 100). Higher ɸ indicates lower variance and a higher chance of true positive signals. Beta values (ꞵ) were simulated from a Beta (α, β’) distribution parameterized by mean (μ) and precision (ɸ), where α = [μ </w:t>
      </w:r>
      <w:r w:rsidRPr="004102AA">
        <w:rPr>
          <w:rFonts w:ascii="Segoe UI Symbol" w:hAnsi="Segoe UI Symbol" w:cs="Segoe UI Symbol"/>
          <w:sz w:val="24"/>
          <w:szCs w:val="24"/>
        </w:rPr>
        <w:t>✕</w:t>
      </w:r>
      <w:r w:rsidRPr="004102AA">
        <w:rPr>
          <w:sz w:val="24"/>
          <w:szCs w:val="24"/>
        </w:rPr>
        <w:t xml:space="preserve"> ɸ] and β’ = [(1-μ) </w:t>
      </w:r>
      <w:r w:rsidRPr="004102AA">
        <w:rPr>
          <w:rFonts w:ascii="Segoe UI Symbol" w:hAnsi="Segoe UI Symbol" w:cs="Segoe UI Symbol"/>
          <w:sz w:val="24"/>
          <w:szCs w:val="24"/>
        </w:rPr>
        <w:t>✕</w:t>
      </w:r>
      <w:r w:rsidRPr="004102AA">
        <w:rPr>
          <w:sz w:val="24"/>
          <w:szCs w:val="24"/>
        </w:rPr>
        <w:t xml:space="preserve"> ɸ]. Delta Beta (Δꞵ) is the change in μ between </w:t>
      </w:r>
      <w:r w:rsidR="00A460EA" w:rsidRPr="004102AA">
        <w:rPr>
          <w:sz w:val="24"/>
          <w:szCs w:val="24"/>
        </w:rPr>
        <w:t>tumour</w:t>
      </w:r>
      <w:r w:rsidRPr="004102AA">
        <w:rPr>
          <w:sz w:val="24"/>
          <w:szCs w:val="24"/>
        </w:rPr>
        <w:t xml:space="preserve"> and paired normal samples. Positive Δ indicates hypermethylation in the </w:t>
      </w:r>
      <w:r w:rsidR="00A460EA" w:rsidRPr="004102AA">
        <w:rPr>
          <w:sz w:val="24"/>
          <w:szCs w:val="24"/>
        </w:rPr>
        <w:t>tumour</w:t>
      </w:r>
      <w:r w:rsidRPr="004102AA">
        <w:rPr>
          <w:sz w:val="24"/>
          <w:szCs w:val="24"/>
        </w:rPr>
        <w:t xml:space="preserve">, while negative Δ indicates hypomethylation in </w:t>
      </w:r>
      <w:r w:rsidR="00A460EA" w:rsidRPr="004102AA">
        <w:rPr>
          <w:sz w:val="24"/>
          <w:szCs w:val="24"/>
        </w:rPr>
        <w:t>tumour</w:t>
      </w:r>
      <w:r w:rsidRPr="004102AA">
        <w:rPr>
          <w:sz w:val="24"/>
          <w:szCs w:val="24"/>
        </w:rPr>
        <w:t xml:space="preserve"> samples. It was observed that for all kinds of </w:t>
      </w:r>
      <w:proofErr w:type="spellStart"/>
      <w:r w:rsidRPr="004102AA">
        <w:rPr>
          <w:sz w:val="24"/>
          <w:szCs w:val="24"/>
        </w:rPr>
        <w:t>CpGs</w:t>
      </w:r>
      <w:proofErr w:type="spellEnd"/>
      <w:r w:rsidRPr="004102AA">
        <w:rPr>
          <w:sz w:val="24"/>
          <w:szCs w:val="24"/>
        </w:rPr>
        <w:t xml:space="preserve"> (μ = 0.1, 0.5, 0.8) and all kinds of precisions (ɸ = 20, 50, 100), the sample size of this study was sufficient to capture the Δꞵ of more than ±0.2 (threshold of Δꞵ considered in the study for downstream analyses) with 100% confidence (empirical power = 1) (</w:t>
      </w:r>
      <w:bookmarkStart w:id="0" w:name="_Hlk215345828"/>
      <w:r w:rsidR="00EC0D13" w:rsidRPr="004102AA">
        <w:rPr>
          <w:sz w:val="24"/>
          <w:szCs w:val="24"/>
        </w:rPr>
        <w:t>Supplementary Fig S3</w:t>
      </w:r>
      <w:r w:rsidR="00F2378E" w:rsidRPr="004102AA">
        <w:rPr>
          <w:sz w:val="24"/>
          <w:szCs w:val="24"/>
        </w:rPr>
        <w:t>A</w:t>
      </w:r>
      <w:bookmarkEnd w:id="0"/>
      <w:r w:rsidRPr="004102AA">
        <w:rPr>
          <w:sz w:val="24"/>
          <w:szCs w:val="24"/>
        </w:rPr>
        <w:t>). Moreover, even for much lower Δꞵ, such as ±0.05, the sample size of this study could successfully detect true positive signals with more than 80% confidence (empirical power &gt; 0.8) (</w:t>
      </w:r>
      <w:r w:rsidR="00F2378E" w:rsidRPr="004102AA">
        <w:rPr>
          <w:sz w:val="24"/>
          <w:szCs w:val="24"/>
        </w:rPr>
        <w:t>Supplementary Fig S3A</w:t>
      </w:r>
      <w:r w:rsidRPr="004102AA">
        <w:rPr>
          <w:sz w:val="24"/>
          <w:szCs w:val="24"/>
        </w:rPr>
        <w:t xml:space="preserve">). </w:t>
      </w:r>
    </w:p>
    <w:p w14:paraId="3310DD68" w14:textId="66CD993B" w:rsidR="00B77E8D" w:rsidRPr="004102AA" w:rsidRDefault="00B77E8D" w:rsidP="00B77E8D">
      <w:pPr>
        <w:jc w:val="both"/>
        <w:rPr>
          <w:sz w:val="24"/>
          <w:szCs w:val="24"/>
        </w:rPr>
      </w:pPr>
      <w:r w:rsidRPr="004102AA">
        <w:rPr>
          <w:sz w:val="24"/>
          <w:szCs w:val="24"/>
        </w:rPr>
        <w:t xml:space="preserve">At Δꞵ as low as ±0.05 and Δꞵ ±0.2; this study design can successfully differentiate the beta distribution (expected skewness) of normal and </w:t>
      </w:r>
      <w:r w:rsidR="00A460EA" w:rsidRPr="004102AA">
        <w:rPr>
          <w:sz w:val="24"/>
          <w:szCs w:val="24"/>
        </w:rPr>
        <w:t>tumour</w:t>
      </w:r>
      <w:r w:rsidRPr="004102AA">
        <w:rPr>
          <w:sz w:val="24"/>
          <w:szCs w:val="24"/>
        </w:rPr>
        <w:t xml:space="preserve"> samples for intermediate (ɸ = 50) and high (ɸ= 100) precision beta values, and for all three kinds of </w:t>
      </w:r>
      <w:proofErr w:type="spellStart"/>
      <w:r w:rsidRPr="004102AA">
        <w:rPr>
          <w:sz w:val="24"/>
          <w:szCs w:val="24"/>
        </w:rPr>
        <w:t>CpGs</w:t>
      </w:r>
      <w:proofErr w:type="spellEnd"/>
      <w:r w:rsidRPr="004102AA">
        <w:rPr>
          <w:sz w:val="24"/>
          <w:szCs w:val="24"/>
        </w:rPr>
        <w:t>, emphasizing the robustness of the study design adopted (</w:t>
      </w:r>
      <w:r w:rsidR="00F2378E" w:rsidRPr="004102AA">
        <w:rPr>
          <w:sz w:val="24"/>
          <w:szCs w:val="24"/>
        </w:rPr>
        <w:t>Supplementary Fig S3</w:t>
      </w:r>
      <w:r w:rsidR="005968D6" w:rsidRPr="004102AA">
        <w:rPr>
          <w:sz w:val="24"/>
          <w:szCs w:val="24"/>
        </w:rPr>
        <w:t xml:space="preserve"> </w:t>
      </w:r>
      <w:r w:rsidR="005447A6" w:rsidRPr="004102AA">
        <w:rPr>
          <w:sz w:val="24"/>
          <w:szCs w:val="24"/>
        </w:rPr>
        <w:t>B,</w:t>
      </w:r>
      <w:r w:rsidR="005D0D8C" w:rsidRPr="004102AA">
        <w:rPr>
          <w:sz w:val="24"/>
          <w:szCs w:val="24"/>
        </w:rPr>
        <w:t xml:space="preserve"> </w:t>
      </w:r>
      <w:r w:rsidR="005447A6" w:rsidRPr="004102AA">
        <w:rPr>
          <w:sz w:val="24"/>
          <w:szCs w:val="24"/>
        </w:rPr>
        <w:t>C</w:t>
      </w:r>
      <w:r w:rsidRPr="004102AA">
        <w:rPr>
          <w:sz w:val="24"/>
          <w:szCs w:val="24"/>
        </w:rPr>
        <w:t>).</w:t>
      </w:r>
    </w:p>
    <w:p w14:paraId="290AA7B0" w14:textId="77777777" w:rsidR="00B77E8D" w:rsidRPr="004102AA" w:rsidRDefault="00B77E8D" w:rsidP="00B77E8D">
      <w:pPr>
        <w:jc w:val="both"/>
        <w:rPr>
          <w:sz w:val="24"/>
          <w:szCs w:val="24"/>
        </w:rPr>
      </w:pPr>
    </w:p>
    <w:p w14:paraId="18CFDAAA" w14:textId="646EA3D0" w:rsidR="00B77E8D" w:rsidRPr="004102AA" w:rsidRDefault="00FA3FE5" w:rsidP="00B77E8D">
      <w:pPr>
        <w:jc w:val="both"/>
        <w:rPr>
          <w:b/>
          <w:bCs/>
          <w:sz w:val="24"/>
          <w:szCs w:val="24"/>
        </w:rPr>
      </w:pPr>
      <w:r w:rsidRPr="004102AA">
        <w:rPr>
          <w:b/>
          <w:bCs/>
          <w:sz w:val="24"/>
          <w:szCs w:val="24"/>
        </w:rPr>
        <w:t xml:space="preserve">1.4 </w:t>
      </w:r>
      <w:r w:rsidR="00B77E8D" w:rsidRPr="004102AA">
        <w:rPr>
          <w:b/>
          <w:bCs/>
          <w:sz w:val="24"/>
          <w:szCs w:val="24"/>
        </w:rPr>
        <w:t xml:space="preserve">Detection of Human papillomavirus (HPV) in oropharyngeal </w:t>
      </w:r>
      <w:r w:rsidR="00A460EA" w:rsidRPr="004102AA">
        <w:rPr>
          <w:b/>
          <w:bCs/>
          <w:sz w:val="24"/>
          <w:szCs w:val="24"/>
        </w:rPr>
        <w:t>tumour</w:t>
      </w:r>
      <w:r w:rsidR="00B77E8D" w:rsidRPr="004102AA">
        <w:rPr>
          <w:b/>
          <w:bCs/>
          <w:sz w:val="24"/>
          <w:szCs w:val="24"/>
        </w:rPr>
        <w:t xml:space="preserve"> samples</w:t>
      </w:r>
    </w:p>
    <w:p w14:paraId="394D40E2" w14:textId="42799D72" w:rsidR="00B77E8D" w:rsidRPr="004102AA" w:rsidRDefault="00FA3FE5" w:rsidP="00B77E8D">
      <w:pPr>
        <w:jc w:val="both"/>
        <w:rPr>
          <w:b/>
          <w:bCs/>
          <w:sz w:val="24"/>
          <w:szCs w:val="24"/>
        </w:rPr>
      </w:pPr>
      <w:r w:rsidRPr="004102AA">
        <w:rPr>
          <w:b/>
          <w:bCs/>
          <w:sz w:val="24"/>
          <w:szCs w:val="24"/>
        </w:rPr>
        <w:t xml:space="preserve">1.4.1 </w:t>
      </w:r>
      <w:r w:rsidR="00B77E8D" w:rsidRPr="004102AA">
        <w:rPr>
          <w:b/>
          <w:bCs/>
          <w:sz w:val="24"/>
          <w:szCs w:val="24"/>
        </w:rPr>
        <w:t>PCR Amplification and HPV Genotyping</w:t>
      </w:r>
    </w:p>
    <w:p w14:paraId="63BEE043" w14:textId="2BE34C40" w:rsidR="00B77E8D" w:rsidRPr="004102AA" w:rsidRDefault="00B77E8D" w:rsidP="00B77E8D">
      <w:pPr>
        <w:jc w:val="both"/>
        <w:rPr>
          <w:sz w:val="24"/>
          <w:szCs w:val="24"/>
        </w:rPr>
      </w:pPr>
      <w:bookmarkStart w:id="1" w:name="_Hlk215339537"/>
      <w:r w:rsidRPr="004102AA">
        <w:rPr>
          <w:sz w:val="24"/>
          <w:szCs w:val="24"/>
        </w:rPr>
        <w:t>Human papillomavirus (HPV)</w:t>
      </w:r>
      <w:bookmarkEnd w:id="1"/>
      <w:r w:rsidRPr="004102AA">
        <w:rPr>
          <w:sz w:val="24"/>
          <w:szCs w:val="24"/>
        </w:rPr>
        <w:t xml:space="preserve"> detection and genotyping were performed using a nested multiplex PCR (NMPCR) assay targeting the E6/E7 gene region. Prior to amplification, the PCR workstation was disinfected using ultraviolet radiation for approximately 30 minutes to minimize the risk of contamination. Reagents including PCR buffer, </w:t>
      </w:r>
      <w:proofErr w:type="spellStart"/>
      <w:r w:rsidRPr="004102AA">
        <w:rPr>
          <w:sz w:val="24"/>
          <w:szCs w:val="24"/>
        </w:rPr>
        <w:t>MgCl</w:t>
      </w:r>
      <w:proofErr w:type="spellEnd"/>
      <w:r w:rsidRPr="004102AA">
        <w:rPr>
          <w:sz w:val="24"/>
          <w:szCs w:val="24"/>
        </w:rPr>
        <w:t xml:space="preserve">₂ solution, and nuclease-free water were thawed at room temperature, while primers, dNTP mix, and DNA samples were thawed on ice for ~30 minutes before experiment setup. Two primer cocktails were prepared: Primer Cocktail 1 for the outer PCR using consensus primers (GP-E6-3F, GP-E6-5B and GP-E6-6B) </w:t>
      </w:r>
      <w:r w:rsidRPr="004102AA">
        <w:rPr>
          <w:sz w:val="24"/>
          <w:szCs w:val="24"/>
          <w:vertAlign w:val="superscript"/>
        </w:rPr>
        <w:t>[</w:t>
      </w:r>
      <w:r w:rsidR="00A609D0" w:rsidRPr="004102AA">
        <w:rPr>
          <w:sz w:val="24"/>
          <w:szCs w:val="24"/>
          <w:vertAlign w:val="superscript"/>
        </w:rPr>
        <w:t>2</w:t>
      </w:r>
      <w:r w:rsidRPr="004102AA">
        <w:rPr>
          <w:sz w:val="24"/>
          <w:szCs w:val="24"/>
          <w:vertAlign w:val="superscript"/>
        </w:rPr>
        <w:t>]</w:t>
      </w:r>
      <w:r w:rsidRPr="004102AA">
        <w:rPr>
          <w:sz w:val="24"/>
          <w:szCs w:val="24"/>
        </w:rPr>
        <w:t xml:space="preserve">, and Primer Cocktail 2 for the inner NMPCR using HPV subtype-specific primers. A total reaction volume of 10 µL was prepared for both rounds of PCR. All samples were initially amplified using Primer Cocktail 1 under the HPV_E6/E7 consensus amplification program. The amplified products obtained from the first round served as the template for the inner NMPCR, which was carried out using Primer Cocktail 2 and the corresponding HPV subtype-specific amplification program. The amplicons obtained from the inner NMPCR were </w:t>
      </w:r>
      <w:r w:rsidR="001358AE" w:rsidRPr="004102AA">
        <w:rPr>
          <w:sz w:val="24"/>
          <w:szCs w:val="24"/>
        </w:rPr>
        <w:t>analysed</w:t>
      </w:r>
      <w:r w:rsidRPr="004102AA">
        <w:rPr>
          <w:sz w:val="24"/>
          <w:szCs w:val="24"/>
        </w:rPr>
        <w:t xml:space="preserve"> by 2% agarose gel electrophoresis using a 100 bp DNA ladder as a molecular size reference. HPV subtypes were identified based on their characteristic signature amplicon sizes.</w:t>
      </w:r>
    </w:p>
    <w:p w14:paraId="36B670A6" w14:textId="0E096C32" w:rsidR="00B77E8D" w:rsidRPr="004102AA" w:rsidRDefault="00FA3FE5" w:rsidP="00B77E8D">
      <w:pPr>
        <w:jc w:val="both"/>
        <w:rPr>
          <w:b/>
          <w:bCs/>
          <w:sz w:val="24"/>
          <w:szCs w:val="24"/>
        </w:rPr>
      </w:pPr>
      <w:r w:rsidRPr="004102AA">
        <w:rPr>
          <w:b/>
          <w:bCs/>
          <w:sz w:val="24"/>
          <w:szCs w:val="24"/>
        </w:rPr>
        <w:t xml:space="preserve">1.4.2 </w:t>
      </w:r>
      <w:r w:rsidR="00B77E8D" w:rsidRPr="004102AA">
        <w:rPr>
          <w:b/>
          <w:bCs/>
          <w:sz w:val="24"/>
          <w:szCs w:val="24"/>
        </w:rPr>
        <w:t>Detection of HPV from RNA Sequencing Reads</w:t>
      </w:r>
    </w:p>
    <w:p w14:paraId="100C5B3C" w14:textId="6A966DA8" w:rsidR="00B77E8D" w:rsidRPr="004102AA" w:rsidRDefault="00B77E8D" w:rsidP="00B77E8D">
      <w:pPr>
        <w:jc w:val="both"/>
        <w:rPr>
          <w:sz w:val="24"/>
          <w:szCs w:val="24"/>
        </w:rPr>
      </w:pPr>
      <w:r w:rsidRPr="004102AA">
        <w:rPr>
          <w:sz w:val="24"/>
          <w:szCs w:val="24"/>
        </w:rPr>
        <w:t xml:space="preserve">Human genome FASTA and annotation (GTF) were downloaded from GENCODE (GRCh37 / hg19 build). HPV-16 and HPV-18 complete genome FASTA and annotation (GFF3) files were obtained from NCBI / </w:t>
      </w:r>
      <w:proofErr w:type="spellStart"/>
      <w:r w:rsidRPr="004102AA">
        <w:rPr>
          <w:sz w:val="24"/>
          <w:szCs w:val="24"/>
        </w:rPr>
        <w:t>PaVE</w:t>
      </w:r>
      <w:proofErr w:type="spellEnd"/>
      <w:r w:rsidRPr="004102AA">
        <w:rPr>
          <w:sz w:val="24"/>
          <w:szCs w:val="24"/>
        </w:rPr>
        <w:t xml:space="preserve"> (the Papillomavirus Episteme). HPV GFF3 files were converted to GTF format with "</w:t>
      </w:r>
      <w:proofErr w:type="spellStart"/>
      <w:r w:rsidRPr="004102AA">
        <w:rPr>
          <w:sz w:val="24"/>
          <w:szCs w:val="24"/>
        </w:rPr>
        <w:t>gffread</w:t>
      </w:r>
      <w:proofErr w:type="spellEnd"/>
      <w:r w:rsidRPr="004102AA">
        <w:rPr>
          <w:sz w:val="24"/>
          <w:szCs w:val="24"/>
        </w:rPr>
        <w:t xml:space="preserve">" so that both human and viral annotations were available in GTF </w:t>
      </w:r>
      <w:r w:rsidRPr="004102AA">
        <w:rPr>
          <w:sz w:val="24"/>
          <w:szCs w:val="24"/>
        </w:rPr>
        <w:lastRenderedPageBreak/>
        <w:t xml:space="preserve">format for splice-junction incorporation into the STAR index. Human FASTA and the HPV FASTA sequences and additionally human GTF and the converted HPV GTFs were concatenated respectively into a single FASTA and GTF file so that the aligner treats human and viral sequences as part of the same reference. Genome index was built from the combined FASTA and GTF using STAR </w:t>
      </w:r>
      <w:r w:rsidRPr="004102AA">
        <w:rPr>
          <w:sz w:val="24"/>
          <w:szCs w:val="24"/>
          <w:vertAlign w:val="superscript"/>
        </w:rPr>
        <w:t>[</w:t>
      </w:r>
      <w:r w:rsidR="00A609D0" w:rsidRPr="004102AA">
        <w:rPr>
          <w:sz w:val="24"/>
          <w:szCs w:val="24"/>
          <w:vertAlign w:val="superscript"/>
        </w:rPr>
        <w:t>3</w:t>
      </w:r>
      <w:r w:rsidRPr="004102AA">
        <w:rPr>
          <w:sz w:val="24"/>
          <w:szCs w:val="24"/>
          <w:vertAlign w:val="superscript"/>
        </w:rPr>
        <w:t>].</w:t>
      </w:r>
      <w:r w:rsidRPr="004102AA">
        <w:rPr>
          <w:sz w:val="24"/>
          <w:szCs w:val="24"/>
        </w:rPr>
        <w:t xml:space="preserve"> A total of 16 </w:t>
      </w:r>
      <w:r w:rsidR="001358AE" w:rsidRPr="004102AA">
        <w:rPr>
          <w:sz w:val="24"/>
          <w:szCs w:val="24"/>
        </w:rPr>
        <w:t>tumour</w:t>
      </w:r>
      <w:r w:rsidRPr="004102AA">
        <w:rPr>
          <w:sz w:val="24"/>
          <w:szCs w:val="24"/>
        </w:rPr>
        <w:t xml:space="preserve"> RNA-</w:t>
      </w:r>
      <w:proofErr w:type="spellStart"/>
      <w:r w:rsidRPr="004102AA">
        <w:rPr>
          <w:sz w:val="24"/>
          <w:szCs w:val="24"/>
        </w:rPr>
        <w:t>seq</w:t>
      </w:r>
      <w:proofErr w:type="spellEnd"/>
      <w:r w:rsidRPr="004102AA">
        <w:rPr>
          <w:sz w:val="24"/>
          <w:szCs w:val="24"/>
        </w:rPr>
        <w:t xml:space="preserve"> samples (paired-end FASTQ files) were </w:t>
      </w:r>
      <w:proofErr w:type="spellStart"/>
      <w:r w:rsidRPr="004102AA">
        <w:rPr>
          <w:sz w:val="24"/>
          <w:szCs w:val="24"/>
        </w:rPr>
        <w:t>analyzed</w:t>
      </w:r>
      <w:proofErr w:type="spellEnd"/>
      <w:r w:rsidRPr="004102AA">
        <w:rPr>
          <w:sz w:val="24"/>
          <w:szCs w:val="24"/>
        </w:rPr>
        <w:t xml:space="preserve"> which included 14 oropharyngeal squamous cell carcinoma (OPSCC) samples and 2 cervical squamous cell carcinoma (CACX) </w:t>
      </w:r>
      <w:r w:rsidR="00476A5B" w:rsidRPr="004102AA">
        <w:rPr>
          <w:sz w:val="24"/>
          <w:szCs w:val="24"/>
        </w:rPr>
        <w:t>tumour</w:t>
      </w:r>
      <w:r w:rsidRPr="004102AA">
        <w:rPr>
          <w:sz w:val="24"/>
          <w:szCs w:val="24"/>
        </w:rPr>
        <w:t xml:space="preserve"> samples used as positive controls for HPV detection. Reads were aligned to the combined human + HPV reference using STAR with chimeric read detection enabled to identify reads spanning human–viral junctions (integration sites) or other fusion events. Downstream processing included chimeric junction counts - extraction of candidate human–HPV junctions from the chimeric output for validation and visualization, and counting reads per viral gene. Viral read quantification was performed from coordinate-sorted BAM files using </w:t>
      </w:r>
      <w:proofErr w:type="spellStart"/>
      <w:r w:rsidRPr="004102AA">
        <w:rPr>
          <w:sz w:val="24"/>
          <w:szCs w:val="24"/>
        </w:rPr>
        <w:t>HTSeq</w:t>
      </w:r>
      <w:proofErr w:type="spellEnd"/>
      <w:r w:rsidRPr="004102AA">
        <w:rPr>
          <w:sz w:val="24"/>
          <w:szCs w:val="24"/>
        </w:rPr>
        <w:t xml:space="preserve">-count </w:t>
      </w:r>
      <w:r w:rsidRPr="004102AA">
        <w:rPr>
          <w:sz w:val="24"/>
          <w:szCs w:val="24"/>
          <w:vertAlign w:val="superscript"/>
        </w:rPr>
        <w:t>[</w:t>
      </w:r>
      <w:r w:rsidR="00A609D0" w:rsidRPr="004102AA">
        <w:rPr>
          <w:sz w:val="24"/>
          <w:szCs w:val="24"/>
          <w:vertAlign w:val="superscript"/>
        </w:rPr>
        <w:t>4</w:t>
      </w:r>
      <w:r w:rsidRPr="004102AA">
        <w:rPr>
          <w:sz w:val="24"/>
          <w:szCs w:val="24"/>
          <w:vertAlign w:val="superscript"/>
        </w:rPr>
        <w:t>]</w:t>
      </w:r>
      <w:r w:rsidRPr="004102AA">
        <w:rPr>
          <w:sz w:val="24"/>
          <w:szCs w:val="24"/>
        </w:rPr>
        <w:t>. Read counting was carried out against the corresponding GENCODE human genome annotation.</w:t>
      </w:r>
    </w:p>
    <w:p w14:paraId="7DB6D303" w14:textId="3E2D91C3" w:rsidR="00B77E8D" w:rsidRPr="004102AA" w:rsidRDefault="00B77E8D" w:rsidP="00B77E8D">
      <w:pPr>
        <w:jc w:val="both"/>
        <w:rPr>
          <w:sz w:val="24"/>
          <w:szCs w:val="24"/>
        </w:rPr>
      </w:pPr>
      <w:r w:rsidRPr="004102AA">
        <w:rPr>
          <w:sz w:val="24"/>
          <w:szCs w:val="24"/>
        </w:rPr>
        <w:t>From the NMPCRs a 457bp amplicon representing HPV 16 subtype had been observed only for Positive control. Thus, OPSCC samples were either HPV negative or had &lt;5.56 HPV copies (</w:t>
      </w:r>
      <w:r w:rsidR="00C774BF" w:rsidRPr="004102AA">
        <w:rPr>
          <w:sz w:val="24"/>
          <w:szCs w:val="24"/>
        </w:rPr>
        <w:t>Supplementary Fig S2</w:t>
      </w:r>
      <w:r w:rsidRPr="004102AA">
        <w:rPr>
          <w:sz w:val="24"/>
          <w:szCs w:val="24"/>
        </w:rPr>
        <w:t>). It was inferred from the RNA-</w:t>
      </w:r>
      <w:proofErr w:type="spellStart"/>
      <w:r w:rsidRPr="004102AA">
        <w:rPr>
          <w:sz w:val="24"/>
          <w:szCs w:val="24"/>
        </w:rPr>
        <w:t>seq</w:t>
      </w:r>
      <w:proofErr w:type="spellEnd"/>
      <w:r w:rsidRPr="004102AA">
        <w:rPr>
          <w:sz w:val="24"/>
          <w:szCs w:val="24"/>
        </w:rPr>
        <w:t xml:space="preserve"> data that none of the OPSCC samples contained HPV reads where as </w:t>
      </w:r>
      <w:proofErr w:type="spellStart"/>
      <w:r w:rsidRPr="004102AA">
        <w:rPr>
          <w:sz w:val="24"/>
          <w:szCs w:val="24"/>
        </w:rPr>
        <w:t>CaCx</w:t>
      </w:r>
      <w:proofErr w:type="spellEnd"/>
      <w:r w:rsidRPr="004102AA">
        <w:rPr>
          <w:sz w:val="24"/>
          <w:szCs w:val="24"/>
        </w:rPr>
        <w:t xml:space="preserve"> samples (positive control) contained significant amount of HPV-16 reads and additionally these samples had 30 and 54 human-HPV chimeric reads respectively (</w:t>
      </w:r>
      <w:r w:rsidR="00AE4BF1" w:rsidRPr="004102AA">
        <w:rPr>
          <w:sz w:val="24"/>
          <w:szCs w:val="24"/>
        </w:rPr>
        <w:t>Supplementary_Table_S2</w:t>
      </w:r>
      <w:r w:rsidRPr="004102AA">
        <w:rPr>
          <w:sz w:val="24"/>
          <w:szCs w:val="24"/>
        </w:rPr>
        <w:t>).</w:t>
      </w:r>
    </w:p>
    <w:p w14:paraId="2794FBEB" w14:textId="77777777" w:rsidR="00E70DA3" w:rsidRPr="004102AA" w:rsidRDefault="00E70DA3" w:rsidP="008C5A9C">
      <w:pPr>
        <w:jc w:val="both"/>
        <w:rPr>
          <w:sz w:val="24"/>
          <w:szCs w:val="24"/>
        </w:rPr>
      </w:pPr>
    </w:p>
    <w:p w14:paraId="6EFC0311" w14:textId="2335E50D" w:rsidR="002307E3" w:rsidRPr="004102AA" w:rsidRDefault="003B6263" w:rsidP="008C5A9C">
      <w:pPr>
        <w:jc w:val="both"/>
        <w:rPr>
          <w:b/>
          <w:bCs/>
          <w:sz w:val="24"/>
          <w:szCs w:val="24"/>
        </w:rPr>
      </w:pPr>
      <w:r w:rsidRPr="004102AA">
        <w:rPr>
          <w:b/>
          <w:bCs/>
          <w:sz w:val="24"/>
          <w:szCs w:val="24"/>
        </w:rPr>
        <w:t xml:space="preserve">1.5 </w:t>
      </w:r>
      <w:r w:rsidR="008C5A9C" w:rsidRPr="004102AA">
        <w:rPr>
          <w:b/>
          <w:bCs/>
          <w:sz w:val="24"/>
          <w:szCs w:val="24"/>
        </w:rPr>
        <w:t xml:space="preserve">Comparison </w:t>
      </w:r>
      <w:r w:rsidR="003E2172" w:rsidRPr="004102AA">
        <w:rPr>
          <w:b/>
          <w:bCs/>
          <w:sz w:val="24"/>
          <w:szCs w:val="24"/>
        </w:rPr>
        <w:t>w</w:t>
      </w:r>
      <w:r w:rsidR="008C5A9C" w:rsidRPr="004102AA">
        <w:rPr>
          <w:b/>
          <w:bCs/>
          <w:sz w:val="24"/>
          <w:szCs w:val="24"/>
        </w:rPr>
        <w:t>ith TCGA Data</w:t>
      </w:r>
    </w:p>
    <w:p w14:paraId="56A7DB16" w14:textId="509F9DEF" w:rsidR="003D3941" w:rsidRPr="004102AA" w:rsidRDefault="008C5A9C" w:rsidP="008C5A9C">
      <w:pPr>
        <w:jc w:val="both"/>
        <w:rPr>
          <w:sz w:val="24"/>
          <w:szCs w:val="24"/>
        </w:rPr>
      </w:pPr>
      <w:r w:rsidRPr="004102AA">
        <w:rPr>
          <w:sz w:val="24"/>
          <w:szCs w:val="24"/>
        </w:rPr>
        <w:t xml:space="preserve">Publicly available TCGA HNSCC data set includes data from all the anatomical subsites of HNSCC. </w:t>
      </w:r>
      <w:r w:rsidR="00DA1BE8" w:rsidRPr="004102AA">
        <w:rPr>
          <w:sz w:val="24"/>
          <w:szCs w:val="24"/>
        </w:rPr>
        <w:t>G</w:t>
      </w:r>
      <w:r w:rsidRPr="004102AA">
        <w:rPr>
          <w:sz w:val="24"/>
          <w:szCs w:val="24"/>
        </w:rPr>
        <w:t xml:space="preserve">enebody specific DNA methylation status in OPSCC tissues from our data set was </w:t>
      </w:r>
      <w:r w:rsidR="00DA1BE8" w:rsidRPr="004102AA">
        <w:rPr>
          <w:sz w:val="24"/>
          <w:szCs w:val="24"/>
        </w:rPr>
        <w:t>validated</w:t>
      </w:r>
      <w:r w:rsidRPr="004102AA">
        <w:rPr>
          <w:sz w:val="24"/>
          <w:szCs w:val="24"/>
        </w:rPr>
        <w:t xml:space="preserve"> considering the data pertaining to 78 OPSCC patients in the TCGA dataset (raw .IDAT files </w:t>
      </w:r>
      <w:r w:rsidR="005F0B32" w:rsidRPr="004102AA">
        <w:rPr>
          <w:sz w:val="24"/>
          <w:szCs w:val="24"/>
        </w:rPr>
        <w:t xml:space="preserve">were downloaded </w:t>
      </w:r>
      <w:r w:rsidRPr="004102AA">
        <w:rPr>
          <w:sz w:val="24"/>
          <w:szCs w:val="24"/>
        </w:rPr>
        <w:t xml:space="preserve">from the GDC Legacy Archive). The IDAT files of OPSCC TCGA data were processed following our DNA methylation data analysis pipeline and β values were calculated. Further, Spearman’s rank correlation was calculated between the β values </w:t>
      </w:r>
      <w:r w:rsidR="000D75F0" w:rsidRPr="004102AA">
        <w:rPr>
          <w:sz w:val="24"/>
          <w:szCs w:val="24"/>
        </w:rPr>
        <w:t xml:space="preserve">in </w:t>
      </w:r>
      <w:proofErr w:type="spellStart"/>
      <w:r w:rsidR="000D75F0" w:rsidRPr="004102AA">
        <w:rPr>
          <w:sz w:val="24"/>
          <w:szCs w:val="24"/>
        </w:rPr>
        <w:t>tumor</w:t>
      </w:r>
      <w:proofErr w:type="spellEnd"/>
      <w:r w:rsidR="000D75F0" w:rsidRPr="004102AA">
        <w:rPr>
          <w:sz w:val="24"/>
          <w:szCs w:val="24"/>
        </w:rPr>
        <w:t xml:space="preserve"> </w:t>
      </w:r>
      <w:r w:rsidRPr="004102AA">
        <w:rPr>
          <w:sz w:val="24"/>
          <w:szCs w:val="24"/>
        </w:rPr>
        <w:t>of our data (N=24) and TCGA data (N=78) for 4566 hypermethylated and 1875 hypomethylated genebody specific DMPs. In both cases significant strong positive correlation (Spearman’s rank correlation ρ = 0.89; p-value &lt; 2.2 × 10</w:t>
      </w:r>
      <w:r w:rsidRPr="004102AA">
        <w:rPr>
          <w:sz w:val="24"/>
          <w:szCs w:val="24"/>
          <w:vertAlign w:val="superscript"/>
        </w:rPr>
        <w:t>–16</w:t>
      </w:r>
      <w:r w:rsidRPr="004102AA">
        <w:rPr>
          <w:sz w:val="24"/>
          <w:szCs w:val="24"/>
        </w:rPr>
        <w:t xml:space="preserve"> for hypermethylated DMPs and ρ = 0.9; p-value &lt; 2.2 × 10</w:t>
      </w:r>
      <w:r w:rsidRPr="004102AA">
        <w:rPr>
          <w:sz w:val="24"/>
          <w:szCs w:val="24"/>
          <w:vertAlign w:val="superscript"/>
        </w:rPr>
        <w:t>–16</w:t>
      </w:r>
      <w:r w:rsidRPr="004102AA">
        <w:rPr>
          <w:sz w:val="24"/>
          <w:szCs w:val="24"/>
        </w:rPr>
        <w:t xml:space="preserve"> for hypomethylated DMPs) (Supplementary Figure</w:t>
      </w:r>
      <w:r w:rsidR="00201181" w:rsidRPr="004102AA">
        <w:rPr>
          <w:sz w:val="24"/>
          <w:szCs w:val="24"/>
        </w:rPr>
        <w:t xml:space="preserve"> S</w:t>
      </w:r>
      <w:r w:rsidR="009F1EDD" w:rsidRPr="004102AA">
        <w:rPr>
          <w:sz w:val="24"/>
          <w:szCs w:val="24"/>
        </w:rPr>
        <w:t>7</w:t>
      </w:r>
      <w:r w:rsidR="00BD625C" w:rsidRPr="004102AA">
        <w:rPr>
          <w:sz w:val="24"/>
          <w:szCs w:val="24"/>
        </w:rPr>
        <w:t>A-D</w:t>
      </w:r>
      <w:r w:rsidRPr="004102AA">
        <w:rPr>
          <w:sz w:val="24"/>
          <w:szCs w:val="24"/>
        </w:rPr>
        <w:t>) was inferred. Unsupervised hierarchical clustering and heatmap (Supplementary Figure</w:t>
      </w:r>
      <w:r w:rsidR="00547EC1" w:rsidRPr="004102AA">
        <w:rPr>
          <w:sz w:val="24"/>
          <w:szCs w:val="24"/>
        </w:rPr>
        <w:t xml:space="preserve"> S</w:t>
      </w:r>
      <w:r w:rsidR="009F1EDD" w:rsidRPr="004102AA">
        <w:rPr>
          <w:sz w:val="24"/>
          <w:szCs w:val="24"/>
        </w:rPr>
        <w:t>7</w:t>
      </w:r>
      <w:r w:rsidR="00547EC1" w:rsidRPr="004102AA">
        <w:rPr>
          <w:sz w:val="24"/>
          <w:szCs w:val="24"/>
        </w:rPr>
        <w:t>E</w:t>
      </w:r>
      <w:r w:rsidRPr="004102AA">
        <w:rPr>
          <w:sz w:val="24"/>
          <w:szCs w:val="24"/>
        </w:rPr>
        <w:t xml:space="preserve">) of log normalized FPKM values of 14 pairs of </w:t>
      </w:r>
      <w:r w:rsidR="007A1CA4" w:rsidRPr="004102AA">
        <w:rPr>
          <w:sz w:val="24"/>
          <w:szCs w:val="24"/>
        </w:rPr>
        <w:t>tumour</w:t>
      </w:r>
      <w:r w:rsidRPr="004102AA">
        <w:rPr>
          <w:sz w:val="24"/>
          <w:szCs w:val="24"/>
        </w:rPr>
        <w:t xml:space="preserve"> and adjacent normal tissues from our data and 78 OPSCC TCGA data of the DEGs (N=1538) revealed two major cluster - cluster I of normal samples and cluster II of our and TCGA data </w:t>
      </w:r>
      <w:r w:rsidR="007A1CA4" w:rsidRPr="004102AA">
        <w:rPr>
          <w:sz w:val="24"/>
          <w:szCs w:val="24"/>
        </w:rPr>
        <w:t>tumour</w:t>
      </w:r>
      <w:r w:rsidRPr="004102AA">
        <w:rPr>
          <w:sz w:val="24"/>
          <w:szCs w:val="24"/>
        </w:rPr>
        <w:t xml:space="preserve"> samples. Further the cluster II divided into two sub-cluster of our and TCGA </w:t>
      </w:r>
      <w:r w:rsidR="007A1CA4" w:rsidRPr="004102AA">
        <w:rPr>
          <w:sz w:val="24"/>
          <w:szCs w:val="24"/>
        </w:rPr>
        <w:t>tumour</w:t>
      </w:r>
      <w:r w:rsidRPr="004102AA">
        <w:rPr>
          <w:sz w:val="24"/>
          <w:szCs w:val="24"/>
        </w:rPr>
        <w:t xml:space="preserve"> data respectively that explains certain degree of similarly in the gene expression profile between TCGA and our data.</w:t>
      </w:r>
    </w:p>
    <w:p w14:paraId="5210100B" w14:textId="04712738" w:rsidR="0012183A" w:rsidRPr="004102AA" w:rsidRDefault="00D0297B" w:rsidP="00D0297B">
      <w:pPr>
        <w:jc w:val="both"/>
        <w:rPr>
          <w:sz w:val="24"/>
          <w:szCs w:val="24"/>
        </w:rPr>
      </w:pPr>
      <w:r w:rsidRPr="004102AA">
        <w:rPr>
          <w:sz w:val="24"/>
          <w:szCs w:val="24"/>
        </w:rPr>
        <w:t xml:space="preserve">The evaluation of </w:t>
      </w:r>
      <w:bookmarkStart w:id="2" w:name="_Hlk215344595"/>
      <w:r w:rsidRPr="004102AA">
        <w:rPr>
          <w:sz w:val="24"/>
          <w:szCs w:val="24"/>
        </w:rPr>
        <w:t xml:space="preserve">methylation and gene-expression profiles of the key genes TDO2 and KYNU demonstrated that both genes are significantly hypermethylated and upregulated in the OPSCC samples of </w:t>
      </w:r>
      <w:r w:rsidR="001236EE" w:rsidRPr="004102AA">
        <w:rPr>
          <w:sz w:val="24"/>
          <w:szCs w:val="24"/>
        </w:rPr>
        <w:t>our</w:t>
      </w:r>
      <w:r w:rsidRPr="004102AA">
        <w:rPr>
          <w:sz w:val="24"/>
          <w:szCs w:val="24"/>
        </w:rPr>
        <w:t xml:space="preserve"> cohort compared with TCGA-OPSCC samples, irrespective of HPV status</w:t>
      </w:r>
      <w:bookmarkEnd w:id="2"/>
      <w:r w:rsidRPr="004102AA">
        <w:rPr>
          <w:sz w:val="24"/>
          <w:szCs w:val="24"/>
        </w:rPr>
        <w:t xml:space="preserve">. </w:t>
      </w:r>
      <w:r w:rsidRPr="004102AA">
        <w:rPr>
          <w:sz w:val="24"/>
          <w:szCs w:val="24"/>
        </w:rPr>
        <w:lastRenderedPageBreak/>
        <w:t>For TDO2, the methylation differences (Δβ) observed were 0.22 (p = 4.7×10⁻⁵) and 0.21 (p = 1.8×10⁻⁶) relative to HPV-negative and HPV-positive TCGA-OPSCC samples, respectively. Similarly, methylation changes for KYNU were 0.11 (p = 0.013) and 0.20 (p = 0.0005) for the corresponding comparison groups. Statistical significance of methylation differences was assessed using the Wilcoxon rank-sum test. At the transcript level, TDO2 showed more than a two-fold upregulation in our OPSCC cohort compared with both HPV-negative (</w:t>
      </w:r>
      <w:proofErr w:type="spellStart"/>
      <w:r w:rsidRPr="004102AA">
        <w:rPr>
          <w:sz w:val="24"/>
          <w:szCs w:val="24"/>
        </w:rPr>
        <w:t>log₂FC</w:t>
      </w:r>
      <w:proofErr w:type="spellEnd"/>
      <w:r w:rsidRPr="004102AA">
        <w:rPr>
          <w:sz w:val="24"/>
          <w:szCs w:val="24"/>
        </w:rPr>
        <w:t xml:space="preserve"> = 1.54, p = 0.0003) and HPV-positive (</w:t>
      </w:r>
      <w:proofErr w:type="spellStart"/>
      <w:r w:rsidRPr="004102AA">
        <w:rPr>
          <w:sz w:val="24"/>
          <w:szCs w:val="24"/>
        </w:rPr>
        <w:t>log₂FC</w:t>
      </w:r>
      <w:proofErr w:type="spellEnd"/>
      <w:r w:rsidRPr="004102AA">
        <w:rPr>
          <w:sz w:val="24"/>
          <w:szCs w:val="24"/>
        </w:rPr>
        <w:t xml:space="preserve"> = 1.82, p = 2.8×10⁻⁵) TCGA-OPSCC samples. KYNU exhibited a more than six-fold increase in expression relative to HPV-negative (</w:t>
      </w:r>
      <w:proofErr w:type="spellStart"/>
      <w:r w:rsidRPr="004102AA">
        <w:rPr>
          <w:sz w:val="24"/>
          <w:szCs w:val="24"/>
        </w:rPr>
        <w:t>log₂FC</w:t>
      </w:r>
      <w:proofErr w:type="spellEnd"/>
      <w:r w:rsidRPr="004102AA">
        <w:rPr>
          <w:sz w:val="24"/>
          <w:szCs w:val="24"/>
        </w:rPr>
        <w:t xml:space="preserve"> = 3.5, p = 6.7×10⁻⁹) and HPV-positive (</w:t>
      </w:r>
      <w:proofErr w:type="spellStart"/>
      <w:r w:rsidRPr="004102AA">
        <w:rPr>
          <w:sz w:val="24"/>
          <w:szCs w:val="24"/>
        </w:rPr>
        <w:t>log₂FC</w:t>
      </w:r>
      <w:proofErr w:type="spellEnd"/>
      <w:r w:rsidRPr="004102AA">
        <w:rPr>
          <w:sz w:val="24"/>
          <w:szCs w:val="24"/>
        </w:rPr>
        <w:t xml:space="preserve"> = 3.4, p = 4.2×10⁻⁸) TCGA-OPSCC samples. Differential expression significance was assessed using unpaired t-tests</w:t>
      </w:r>
      <w:r w:rsidR="001236EE" w:rsidRPr="004102AA">
        <w:rPr>
          <w:sz w:val="24"/>
          <w:szCs w:val="24"/>
        </w:rPr>
        <w:t xml:space="preserve"> (</w:t>
      </w:r>
      <w:r w:rsidR="00630A15" w:rsidRPr="004102AA">
        <w:rPr>
          <w:sz w:val="24"/>
          <w:szCs w:val="24"/>
        </w:rPr>
        <w:t>Supplementary Fig S8</w:t>
      </w:r>
      <w:r w:rsidR="001236EE" w:rsidRPr="004102AA">
        <w:rPr>
          <w:sz w:val="24"/>
          <w:szCs w:val="24"/>
        </w:rPr>
        <w:t>)</w:t>
      </w:r>
      <w:r w:rsidRPr="004102AA">
        <w:rPr>
          <w:sz w:val="24"/>
          <w:szCs w:val="24"/>
        </w:rPr>
        <w:t>.</w:t>
      </w:r>
    </w:p>
    <w:p w14:paraId="75B44481" w14:textId="77777777" w:rsidR="002E5C48" w:rsidRPr="004102AA" w:rsidRDefault="002E5C48" w:rsidP="008C5A9C">
      <w:pPr>
        <w:jc w:val="both"/>
        <w:rPr>
          <w:sz w:val="24"/>
          <w:szCs w:val="24"/>
        </w:rPr>
      </w:pPr>
    </w:p>
    <w:p w14:paraId="23F16C53" w14:textId="587D0120" w:rsidR="002E5C48" w:rsidRPr="004102AA" w:rsidRDefault="003B6263" w:rsidP="002E5C48">
      <w:pPr>
        <w:jc w:val="both"/>
        <w:rPr>
          <w:b/>
          <w:bCs/>
          <w:sz w:val="24"/>
          <w:szCs w:val="24"/>
        </w:rPr>
      </w:pPr>
      <w:r w:rsidRPr="004102AA">
        <w:rPr>
          <w:b/>
          <w:bCs/>
          <w:sz w:val="24"/>
          <w:szCs w:val="24"/>
        </w:rPr>
        <w:t xml:space="preserve">1.6 </w:t>
      </w:r>
      <w:r w:rsidR="002E5C48" w:rsidRPr="004102AA">
        <w:rPr>
          <w:b/>
          <w:bCs/>
          <w:sz w:val="24"/>
          <w:szCs w:val="24"/>
        </w:rPr>
        <w:t xml:space="preserve">Impact of age and gender in </w:t>
      </w:r>
      <w:r w:rsidR="00231A21" w:rsidRPr="004102AA">
        <w:rPr>
          <w:b/>
          <w:bCs/>
          <w:sz w:val="24"/>
          <w:szCs w:val="24"/>
        </w:rPr>
        <w:t xml:space="preserve">genebody specific </w:t>
      </w:r>
      <w:r w:rsidR="002E5C48" w:rsidRPr="004102AA">
        <w:rPr>
          <w:b/>
          <w:bCs/>
          <w:sz w:val="24"/>
          <w:szCs w:val="24"/>
        </w:rPr>
        <w:t>methylation changes in OPSCC tissues</w:t>
      </w:r>
    </w:p>
    <w:p w14:paraId="7B1BF1AE" w14:textId="3CC701BF" w:rsidR="002E5C48" w:rsidRPr="004102AA" w:rsidRDefault="002E5C48" w:rsidP="002E5C48">
      <w:pPr>
        <w:jc w:val="both"/>
        <w:rPr>
          <w:sz w:val="24"/>
          <w:szCs w:val="24"/>
        </w:rPr>
      </w:pPr>
      <w:r w:rsidRPr="004102AA">
        <w:rPr>
          <w:sz w:val="24"/>
          <w:szCs w:val="24"/>
        </w:rPr>
        <w:t xml:space="preserve">To explore the effect of patients age and gender on genebody specific methylation changes in tumour tissues, Chi-square test was performed between cluster identity of patients [CIP] (Figure 1C) with age and gender respectively. None of them were </w:t>
      </w:r>
      <w:r w:rsidR="00B15A8C" w:rsidRPr="004102AA">
        <w:rPr>
          <w:sz w:val="24"/>
          <w:szCs w:val="24"/>
        </w:rPr>
        <w:t>found</w:t>
      </w:r>
      <w:r w:rsidRPr="004102AA">
        <w:rPr>
          <w:sz w:val="24"/>
          <w:szCs w:val="24"/>
        </w:rPr>
        <w:t xml:space="preserve"> to be significant (CIP vs age quartile p-value = 0.5942 and CIP vs gender p-value = 0.5942). Further, to increase the robustness of the inferences by increasing sample size, along with discovery set patients validation set patients were considered (N=24). For all twenty-four patients</w:t>
      </w:r>
      <w:r w:rsidR="00B15A8C" w:rsidRPr="004102AA">
        <w:rPr>
          <w:sz w:val="24"/>
          <w:szCs w:val="24"/>
        </w:rPr>
        <w:t>,</w:t>
      </w:r>
      <w:r w:rsidRPr="004102AA">
        <w:rPr>
          <w:sz w:val="24"/>
          <w:szCs w:val="24"/>
        </w:rPr>
        <w:t xml:space="preserve"> methylation index score (MIS) was calculated</w:t>
      </w:r>
      <w:r w:rsidR="0039615F" w:rsidRPr="004102AA">
        <w:rPr>
          <w:sz w:val="24"/>
          <w:szCs w:val="24"/>
        </w:rPr>
        <w:t xml:space="preserve"> which was </w:t>
      </w:r>
      <w:r w:rsidR="006D35A3" w:rsidRPr="004102AA">
        <w:rPr>
          <w:sz w:val="24"/>
          <w:szCs w:val="24"/>
        </w:rPr>
        <w:t xml:space="preserve">summation of Z-scores </w:t>
      </w:r>
      <w:r w:rsidR="006E3717" w:rsidRPr="004102AA">
        <w:rPr>
          <w:sz w:val="24"/>
          <w:szCs w:val="24"/>
        </w:rPr>
        <w:t>of all DMPs of a particular sample.</w:t>
      </w:r>
      <w:r w:rsidR="006D35A3" w:rsidRPr="004102AA">
        <w:rPr>
          <w:sz w:val="24"/>
          <w:szCs w:val="24"/>
        </w:rPr>
        <w:t xml:space="preserve"> </w:t>
      </w:r>
      <w:r w:rsidR="000436D2" w:rsidRPr="004102AA">
        <w:rPr>
          <w:sz w:val="24"/>
          <w:szCs w:val="24"/>
        </w:rPr>
        <w:t xml:space="preserve">Here, Z-score </w:t>
      </w:r>
      <w:r w:rsidR="005C74F0" w:rsidRPr="004102AA">
        <w:rPr>
          <w:sz w:val="24"/>
          <w:szCs w:val="24"/>
        </w:rPr>
        <w:t>for each</w:t>
      </w:r>
      <w:r w:rsidR="000436D2" w:rsidRPr="004102AA">
        <w:rPr>
          <w:sz w:val="24"/>
          <w:szCs w:val="24"/>
        </w:rPr>
        <w:t xml:space="preserve"> </w:t>
      </w:r>
      <w:r w:rsidR="005F4CC3" w:rsidRPr="004102AA">
        <w:rPr>
          <w:sz w:val="24"/>
          <w:szCs w:val="24"/>
        </w:rPr>
        <w:t>DMP was calculated as</w:t>
      </w:r>
      <w:r w:rsidR="005C74F0" w:rsidRPr="004102AA">
        <w:rPr>
          <w:sz w:val="24"/>
          <w:szCs w:val="24"/>
        </w:rPr>
        <w:t xml:space="preserve"> -</w:t>
      </w:r>
      <w:r w:rsidR="005F4CC3" w:rsidRPr="004102AA">
        <w:rPr>
          <w:sz w:val="24"/>
          <w:szCs w:val="24"/>
        </w:rPr>
        <w:t xml:space="preserve"> </w:t>
      </w:r>
      <w:r w:rsidRPr="004102AA">
        <w:rPr>
          <w:sz w:val="24"/>
          <w:szCs w:val="24"/>
        </w:rPr>
        <w:t>(methylation level of each genebody DMP – mean value of methylation levels)/SD of methylation levels. Then sum of the Z-score of 5014 genebody DMPs were calculated giving one single value for each sample</w:t>
      </w:r>
      <w:r w:rsidR="00B15A8C" w:rsidRPr="004102AA">
        <w:rPr>
          <w:sz w:val="24"/>
          <w:szCs w:val="24"/>
        </w:rPr>
        <w:t xml:space="preserve"> </w:t>
      </w:r>
      <w:r w:rsidRPr="004102AA">
        <w:rPr>
          <w:sz w:val="24"/>
          <w:szCs w:val="24"/>
          <w:vertAlign w:val="superscript"/>
        </w:rPr>
        <w:t>[</w:t>
      </w:r>
      <w:r w:rsidR="00197C79" w:rsidRPr="004102AA">
        <w:rPr>
          <w:sz w:val="24"/>
          <w:szCs w:val="24"/>
          <w:vertAlign w:val="superscript"/>
        </w:rPr>
        <w:t>5</w:t>
      </w:r>
      <w:r w:rsidRPr="004102AA">
        <w:rPr>
          <w:sz w:val="24"/>
          <w:szCs w:val="24"/>
          <w:vertAlign w:val="superscript"/>
        </w:rPr>
        <w:t>]</w:t>
      </w:r>
      <w:r w:rsidR="00A71A65" w:rsidRPr="004102AA">
        <w:rPr>
          <w:sz w:val="24"/>
          <w:szCs w:val="24"/>
          <w:vertAlign w:val="superscript"/>
        </w:rPr>
        <w:t xml:space="preserve"> </w:t>
      </w:r>
      <w:r w:rsidR="00A71A65" w:rsidRPr="004102AA">
        <w:rPr>
          <w:sz w:val="24"/>
          <w:szCs w:val="24"/>
        </w:rPr>
        <w:t>(</w:t>
      </w:r>
      <w:r w:rsidR="00AB764D" w:rsidRPr="004102AA">
        <w:rPr>
          <w:sz w:val="24"/>
          <w:szCs w:val="24"/>
        </w:rPr>
        <w:t>Supplementary_Table_S</w:t>
      </w:r>
      <w:r w:rsidR="005078D2" w:rsidRPr="004102AA">
        <w:rPr>
          <w:sz w:val="24"/>
          <w:szCs w:val="24"/>
        </w:rPr>
        <w:t>8</w:t>
      </w:r>
      <w:r w:rsidR="00A71A65" w:rsidRPr="004102AA">
        <w:rPr>
          <w:sz w:val="24"/>
          <w:szCs w:val="24"/>
        </w:rPr>
        <w:t>)</w:t>
      </w:r>
      <w:r w:rsidRPr="004102AA">
        <w:rPr>
          <w:sz w:val="24"/>
          <w:szCs w:val="24"/>
        </w:rPr>
        <w:t>. Simple linear regression analysis was performed between MIS with age</w:t>
      </w:r>
      <w:r w:rsidR="000D0D87" w:rsidRPr="004102AA">
        <w:rPr>
          <w:sz w:val="24"/>
          <w:szCs w:val="24"/>
        </w:rPr>
        <w:t>,</w:t>
      </w:r>
      <w:r w:rsidRPr="004102AA">
        <w:rPr>
          <w:sz w:val="24"/>
          <w:szCs w:val="24"/>
        </w:rPr>
        <w:t xml:space="preserve"> gender</w:t>
      </w:r>
      <w:r w:rsidR="000D0D87" w:rsidRPr="004102AA">
        <w:rPr>
          <w:sz w:val="24"/>
          <w:szCs w:val="24"/>
        </w:rPr>
        <w:t xml:space="preserve"> and tumour grade</w:t>
      </w:r>
      <w:r w:rsidRPr="004102AA">
        <w:rPr>
          <w:sz w:val="24"/>
          <w:szCs w:val="24"/>
        </w:rPr>
        <w:t xml:space="preserve"> respectively but none </w:t>
      </w:r>
      <w:r w:rsidR="0052036A" w:rsidRPr="004102AA">
        <w:rPr>
          <w:sz w:val="24"/>
          <w:szCs w:val="24"/>
        </w:rPr>
        <w:t xml:space="preserve">of them </w:t>
      </w:r>
      <w:r w:rsidR="00B15A8C" w:rsidRPr="004102AA">
        <w:rPr>
          <w:sz w:val="24"/>
          <w:szCs w:val="24"/>
        </w:rPr>
        <w:t>were satisfied</w:t>
      </w:r>
      <w:r w:rsidRPr="004102AA">
        <w:rPr>
          <w:sz w:val="24"/>
          <w:szCs w:val="24"/>
        </w:rPr>
        <w:t xml:space="preserve"> the significance </w:t>
      </w:r>
      <w:r w:rsidR="00B15A8C" w:rsidRPr="004102AA">
        <w:rPr>
          <w:sz w:val="24"/>
          <w:szCs w:val="24"/>
        </w:rPr>
        <w:t>level</w:t>
      </w:r>
      <w:r w:rsidRPr="004102AA">
        <w:rPr>
          <w:sz w:val="24"/>
          <w:szCs w:val="24"/>
        </w:rPr>
        <w:t xml:space="preserve"> </w:t>
      </w:r>
      <w:r w:rsidR="0052036A" w:rsidRPr="004102AA">
        <w:rPr>
          <w:sz w:val="24"/>
          <w:szCs w:val="24"/>
        </w:rPr>
        <w:t xml:space="preserve">of </w:t>
      </w:r>
      <w:r w:rsidRPr="004102AA">
        <w:rPr>
          <w:sz w:val="24"/>
          <w:szCs w:val="24"/>
        </w:rPr>
        <w:t>p value &lt; 0.05 (MIS vs age p-value = 0.6964</w:t>
      </w:r>
      <w:r w:rsidR="00A76204" w:rsidRPr="004102AA">
        <w:rPr>
          <w:sz w:val="24"/>
          <w:szCs w:val="24"/>
        </w:rPr>
        <w:t xml:space="preserve">, </w:t>
      </w:r>
      <w:r w:rsidRPr="004102AA">
        <w:rPr>
          <w:sz w:val="24"/>
          <w:szCs w:val="24"/>
        </w:rPr>
        <w:t>MIS vs gender p-value = 0.4579</w:t>
      </w:r>
      <w:r w:rsidR="00A76204" w:rsidRPr="004102AA">
        <w:rPr>
          <w:sz w:val="24"/>
          <w:szCs w:val="24"/>
        </w:rPr>
        <w:t xml:space="preserve"> and MIS vs tumour grade p-value = </w:t>
      </w:r>
      <w:r w:rsidR="006B00BD" w:rsidRPr="004102AA">
        <w:rPr>
          <w:sz w:val="24"/>
          <w:szCs w:val="24"/>
        </w:rPr>
        <w:t>0.6175</w:t>
      </w:r>
      <w:r w:rsidRPr="004102AA">
        <w:rPr>
          <w:sz w:val="24"/>
          <w:szCs w:val="24"/>
        </w:rPr>
        <w:t>). Thus, it could be concluded that age</w:t>
      </w:r>
      <w:r w:rsidR="002E3648" w:rsidRPr="004102AA">
        <w:rPr>
          <w:sz w:val="24"/>
          <w:szCs w:val="24"/>
        </w:rPr>
        <w:t xml:space="preserve">, </w:t>
      </w:r>
      <w:r w:rsidRPr="004102AA">
        <w:rPr>
          <w:sz w:val="24"/>
          <w:szCs w:val="24"/>
        </w:rPr>
        <w:t>gender</w:t>
      </w:r>
      <w:r w:rsidR="002E3648" w:rsidRPr="004102AA">
        <w:rPr>
          <w:sz w:val="24"/>
          <w:szCs w:val="24"/>
        </w:rPr>
        <w:t xml:space="preserve"> and tumour grade </w:t>
      </w:r>
      <w:r w:rsidR="0052036A" w:rsidRPr="004102AA">
        <w:rPr>
          <w:sz w:val="24"/>
          <w:szCs w:val="24"/>
        </w:rPr>
        <w:t>have</w:t>
      </w:r>
      <w:r w:rsidRPr="004102AA">
        <w:rPr>
          <w:sz w:val="24"/>
          <w:szCs w:val="24"/>
        </w:rPr>
        <w:t xml:space="preserve"> no effect on DNA methylation alterations in genebodies</w:t>
      </w:r>
      <w:r w:rsidR="0052036A" w:rsidRPr="004102AA">
        <w:rPr>
          <w:sz w:val="24"/>
          <w:szCs w:val="24"/>
        </w:rPr>
        <w:t xml:space="preserve"> in OPSCC tissues</w:t>
      </w:r>
      <w:r w:rsidRPr="004102AA">
        <w:rPr>
          <w:sz w:val="24"/>
          <w:szCs w:val="24"/>
        </w:rPr>
        <w:t>.</w:t>
      </w:r>
    </w:p>
    <w:p w14:paraId="20175F7B" w14:textId="77777777" w:rsidR="00672614" w:rsidRPr="004102AA" w:rsidRDefault="00672614" w:rsidP="008C5A9C">
      <w:pPr>
        <w:jc w:val="both"/>
        <w:rPr>
          <w:sz w:val="24"/>
          <w:szCs w:val="24"/>
        </w:rPr>
      </w:pPr>
    </w:p>
    <w:p w14:paraId="2B68D55E" w14:textId="5EEB50F9" w:rsidR="005D27DE" w:rsidRPr="004102AA" w:rsidRDefault="003B6263" w:rsidP="005D27DE">
      <w:pPr>
        <w:rPr>
          <w:b/>
          <w:bCs/>
          <w:sz w:val="24"/>
          <w:szCs w:val="24"/>
        </w:rPr>
      </w:pPr>
      <w:r w:rsidRPr="004102AA">
        <w:rPr>
          <w:b/>
          <w:bCs/>
          <w:sz w:val="24"/>
          <w:szCs w:val="24"/>
        </w:rPr>
        <w:t xml:space="preserve">1.7 </w:t>
      </w:r>
      <w:r w:rsidR="005D27DE" w:rsidRPr="004102AA">
        <w:rPr>
          <w:b/>
          <w:bCs/>
          <w:sz w:val="24"/>
          <w:szCs w:val="24"/>
        </w:rPr>
        <w:t>Concurrent DNA methylation in gene promoter and genebody</w:t>
      </w:r>
    </w:p>
    <w:p w14:paraId="0BEA88B4" w14:textId="79A044F5" w:rsidR="002E5C48" w:rsidRPr="004102AA" w:rsidRDefault="005D27DE" w:rsidP="005D27DE">
      <w:pPr>
        <w:jc w:val="both"/>
        <w:rPr>
          <w:sz w:val="24"/>
          <w:szCs w:val="24"/>
        </w:rPr>
      </w:pPr>
      <w:r w:rsidRPr="004102AA">
        <w:rPr>
          <w:sz w:val="24"/>
          <w:szCs w:val="24"/>
        </w:rPr>
        <w:t xml:space="preserve">Promoter and genebody methylation </w:t>
      </w:r>
      <w:r w:rsidR="008D2EB7" w:rsidRPr="004102AA">
        <w:rPr>
          <w:sz w:val="24"/>
          <w:szCs w:val="24"/>
        </w:rPr>
        <w:t>have</w:t>
      </w:r>
      <w:r w:rsidRPr="004102AA">
        <w:rPr>
          <w:sz w:val="24"/>
          <w:szCs w:val="24"/>
        </w:rPr>
        <w:t xml:space="preserve"> a paradoxical effect on gene expression. In this study genes having genebody methylation which is devoid of any promoter methylation and has a positive correlation with gene expression has been identified (n=137). Additionally, there were genes (N=117) which had concurrent methylation alternations in both promoter and genebody with significant changes in gene expression (</w:t>
      </w:r>
      <w:r w:rsidR="00256747" w:rsidRPr="004102AA">
        <w:rPr>
          <w:sz w:val="24"/>
          <w:szCs w:val="24"/>
        </w:rPr>
        <w:t>Supplementary_Table_S9</w:t>
      </w:r>
      <w:r w:rsidRPr="004102AA">
        <w:rPr>
          <w:sz w:val="24"/>
          <w:szCs w:val="24"/>
        </w:rPr>
        <w:t xml:space="preserve">). The tripartite effect of methylation - gene expression alteration identified in ~ 5.12% (N=6) genes which had promoter hypermethylation and genebody hypomethylation with downregulation of genes along with ~48% (N=56) genes that showed hypermethylation in both promoter and genebody with downregulation of genes. Additionally, ~38.5% (N=45) of genes were upregulated due to dual hypomethylation in promoter and genebody and only ~8.5% (N=10) had promoter hypomethylation and genebody hypermethylation with gene downregulation. </w:t>
      </w:r>
      <w:r w:rsidRPr="004102AA">
        <w:rPr>
          <w:sz w:val="24"/>
          <w:szCs w:val="24"/>
        </w:rPr>
        <w:lastRenderedPageBreak/>
        <w:t xml:space="preserve">Notable cancer associated genes identified were </w:t>
      </w:r>
      <w:r w:rsidRPr="004102AA">
        <w:rPr>
          <w:i/>
          <w:iCs/>
          <w:sz w:val="24"/>
          <w:szCs w:val="24"/>
        </w:rPr>
        <w:t>JAK3, LAG3</w:t>
      </w:r>
      <w:r w:rsidRPr="004102AA">
        <w:rPr>
          <w:sz w:val="24"/>
          <w:szCs w:val="24"/>
        </w:rPr>
        <w:t xml:space="preserve"> which are upregulated whereas </w:t>
      </w:r>
      <w:r w:rsidRPr="004102AA">
        <w:rPr>
          <w:i/>
          <w:iCs/>
          <w:sz w:val="24"/>
          <w:szCs w:val="24"/>
        </w:rPr>
        <w:t>KRT3, KRT5, ALDH3A1</w:t>
      </w:r>
      <w:r w:rsidRPr="004102AA">
        <w:rPr>
          <w:sz w:val="24"/>
          <w:szCs w:val="24"/>
        </w:rPr>
        <w:t xml:space="preserve"> were shown downregulation with dual methylation alteration in promoter and genebody.</w:t>
      </w:r>
    </w:p>
    <w:p w14:paraId="4D2D2A62" w14:textId="77777777" w:rsidR="00C15D2F" w:rsidRPr="004102AA" w:rsidRDefault="00C15D2F" w:rsidP="00672614">
      <w:pPr>
        <w:rPr>
          <w:b/>
          <w:bCs/>
          <w:sz w:val="28"/>
          <w:szCs w:val="28"/>
        </w:rPr>
      </w:pPr>
    </w:p>
    <w:p w14:paraId="6C021681" w14:textId="6B83183D" w:rsidR="004C3E9B" w:rsidRPr="004102AA" w:rsidRDefault="004C3E9B" w:rsidP="004C3E9B">
      <w:pPr>
        <w:jc w:val="both"/>
        <w:rPr>
          <w:b/>
          <w:bCs/>
          <w:sz w:val="24"/>
          <w:szCs w:val="24"/>
        </w:rPr>
      </w:pPr>
      <w:r w:rsidRPr="004102AA">
        <w:rPr>
          <w:b/>
          <w:bCs/>
          <w:sz w:val="24"/>
          <w:szCs w:val="24"/>
        </w:rPr>
        <w:t>Supplementary Table</w:t>
      </w:r>
      <w:r w:rsidR="00A044E7" w:rsidRPr="004102AA">
        <w:rPr>
          <w:b/>
          <w:bCs/>
          <w:sz w:val="24"/>
          <w:szCs w:val="24"/>
        </w:rPr>
        <w:t xml:space="preserve"> S1</w:t>
      </w:r>
      <w:r w:rsidRPr="004102AA">
        <w:rPr>
          <w:b/>
          <w:bCs/>
          <w:sz w:val="24"/>
          <w:szCs w:val="24"/>
        </w:rPr>
        <w:t xml:space="preserve">: </w:t>
      </w:r>
      <w:r w:rsidR="00514509" w:rsidRPr="004102AA">
        <w:rPr>
          <w:b/>
          <w:bCs/>
          <w:sz w:val="24"/>
          <w:szCs w:val="24"/>
        </w:rPr>
        <w:t>C</w:t>
      </w:r>
      <w:r w:rsidRPr="004102AA">
        <w:rPr>
          <w:b/>
          <w:bCs/>
          <w:sz w:val="24"/>
          <w:szCs w:val="24"/>
        </w:rPr>
        <w:t>linical characteristics of the discovery and validation set</w:t>
      </w:r>
      <w:r w:rsidR="00514509" w:rsidRPr="004102AA">
        <w:rPr>
          <w:b/>
          <w:bCs/>
          <w:sz w:val="24"/>
          <w:szCs w:val="24"/>
        </w:rPr>
        <w:t xml:space="preserve"> patients</w:t>
      </w:r>
    </w:p>
    <w:tbl>
      <w:tblPr>
        <w:tblW w:w="9370" w:type="dxa"/>
        <w:tblLook w:val="04A0" w:firstRow="1" w:lastRow="0" w:firstColumn="1" w:lastColumn="0" w:noHBand="0" w:noVBand="1"/>
      </w:tblPr>
      <w:tblGrid>
        <w:gridCol w:w="3794"/>
        <w:gridCol w:w="2572"/>
        <w:gridCol w:w="2681"/>
        <w:gridCol w:w="323"/>
      </w:tblGrid>
      <w:tr w:rsidR="00C17D3A" w:rsidRPr="004102AA" w14:paraId="1D8FAA6B" w14:textId="77777777" w:rsidTr="00AB00A2">
        <w:trPr>
          <w:gridAfter w:val="1"/>
          <w:wAfter w:w="323" w:type="dxa"/>
          <w:trHeight w:val="631"/>
        </w:trPr>
        <w:tc>
          <w:tcPr>
            <w:tcW w:w="3794" w:type="dxa"/>
            <w:vMerge w:val="restart"/>
            <w:tcBorders>
              <w:top w:val="single" w:sz="4" w:space="0" w:color="auto"/>
              <w:left w:val="single" w:sz="4" w:space="0" w:color="auto"/>
              <w:bottom w:val="single" w:sz="4" w:space="0" w:color="auto"/>
              <w:right w:val="single" w:sz="4" w:space="0" w:color="auto"/>
            </w:tcBorders>
            <w:noWrap/>
            <w:vAlign w:val="center"/>
            <w:hideMark/>
          </w:tcPr>
          <w:p w14:paraId="40051F31" w14:textId="77777777" w:rsidR="00C17D3A" w:rsidRPr="004102AA" w:rsidRDefault="00C17D3A" w:rsidP="00AB00A2">
            <w:pPr>
              <w:spacing w:after="0" w:line="240" w:lineRule="auto"/>
              <w:jc w:val="center"/>
              <w:rPr>
                <w:rFonts w:ascii="Calibri" w:eastAsia="Times New Roman" w:hAnsi="Calibri" w:cs="Calibri"/>
                <w:b/>
                <w:bCs/>
                <w:color w:val="222222"/>
                <w:kern w:val="0"/>
                <w:lang w:eastAsia="en-IN"/>
                <w14:ligatures w14:val="none"/>
              </w:rPr>
            </w:pPr>
            <w:r w:rsidRPr="004102AA">
              <w:rPr>
                <w:rFonts w:ascii="Calibri" w:eastAsia="Times New Roman" w:hAnsi="Calibri" w:cs="Calibri"/>
                <w:b/>
                <w:bCs/>
                <w:color w:val="222222"/>
                <w:kern w:val="0"/>
                <w:lang w:eastAsia="en-IN"/>
                <w14:ligatures w14:val="none"/>
              </w:rPr>
              <w:t>Characteristics</w:t>
            </w:r>
          </w:p>
        </w:tc>
        <w:tc>
          <w:tcPr>
            <w:tcW w:w="525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F8A73F8" w14:textId="77777777" w:rsidR="00C17D3A" w:rsidRPr="004102AA" w:rsidRDefault="00C17D3A" w:rsidP="00AB00A2">
            <w:pPr>
              <w:spacing w:after="0" w:line="240" w:lineRule="auto"/>
              <w:jc w:val="center"/>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Patient information</w:t>
            </w:r>
          </w:p>
        </w:tc>
      </w:tr>
      <w:tr w:rsidR="00C17D3A" w:rsidRPr="004102AA" w14:paraId="1E1206AD" w14:textId="77777777" w:rsidTr="00AB00A2">
        <w:trPr>
          <w:trHeight w:val="446"/>
        </w:trPr>
        <w:tc>
          <w:tcPr>
            <w:tcW w:w="3794" w:type="dxa"/>
            <w:vMerge/>
            <w:tcBorders>
              <w:top w:val="single" w:sz="4" w:space="0" w:color="auto"/>
              <w:left w:val="single" w:sz="4" w:space="0" w:color="auto"/>
              <w:bottom w:val="single" w:sz="4" w:space="0" w:color="auto"/>
              <w:right w:val="single" w:sz="4" w:space="0" w:color="auto"/>
            </w:tcBorders>
            <w:vAlign w:val="center"/>
            <w:hideMark/>
          </w:tcPr>
          <w:p w14:paraId="2B897CA0" w14:textId="77777777" w:rsidR="00C17D3A" w:rsidRPr="004102AA" w:rsidRDefault="00C17D3A" w:rsidP="00AB00A2">
            <w:pPr>
              <w:spacing w:after="0" w:line="240" w:lineRule="auto"/>
              <w:rPr>
                <w:rFonts w:ascii="Calibri" w:eastAsia="Times New Roman" w:hAnsi="Calibri" w:cs="Calibri"/>
                <w:b/>
                <w:bCs/>
                <w:color w:val="222222"/>
                <w:kern w:val="0"/>
                <w:sz w:val="20"/>
                <w:szCs w:val="20"/>
                <w:lang w:eastAsia="en-IN"/>
                <w14:ligatures w14:val="none"/>
              </w:rPr>
            </w:pPr>
          </w:p>
        </w:tc>
        <w:tc>
          <w:tcPr>
            <w:tcW w:w="5253" w:type="dxa"/>
            <w:gridSpan w:val="2"/>
            <w:vMerge/>
            <w:tcBorders>
              <w:top w:val="single" w:sz="4" w:space="0" w:color="auto"/>
              <w:left w:val="single" w:sz="4" w:space="0" w:color="auto"/>
              <w:bottom w:val="single" w:sz="4" w:space="0" w:color="auto"/>
              <w:right w:val="single" w:sz="4" w:space="0" w:color="auto"/>
            </w:tcBorders>
            <w:vAlign w:val="center"/>
            <w:hideMark/>
          </w:tcPr>
          <w:p w14:paraId="547ED0FA"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p>
        </w:tc>
        <w:tc>
          <w:tcPr>
            <w:tcW w:w="323" w:type="dxa"/>
            <w:tcBorders>
              <w:top w:val="nil"/>
              <w:left w:val="nil"/>
              <w:bottom w:val="nil"/>
              <w:right w:val="nil"/>
            </w:tcBorders>
            <w:noWrap/>
            <w:vAlign w:val="bottom"/>
            <w:hideMark/>
          </w:tcPr>
          <w:p w14:paraId="2023F245" w14:textId="77777777" w:rsidR="00C17D3A" w:rsidRPr="004102AA" w:rsidRDefault="00C17D3A" w:rsidP="00AB00A2">
            <w:pPr>
              <w:spacing w:after="0" w:line="240" w:lineRule="auto"/>
              <w:jc w:val="center"/>
              <w:rPr>
                <w:rFonts w:ascii="Calibri" w:eastAsia="Times New Roman" w:hAnsi="Calibri" w:cs="Calibri"/>
                <w:b/>
                <w:bCs/>
                <w:color w:val="000000"/>
                <w:kern w:val="0"/>
                <w:lang w:eastAsia="en-IN"/>
                <w14:ligatures w14:val="none"/>
              </w:rPr>
            </w:pPr>
          </w:p>
        </w:tc>
      </w:tr>
      <w:tr w:rsidR="00C17D3A" w:rsidRPr="004102AA" w14:paraId="55B6AD0C" w14:textId="77777777" w:rsidTr="00AB00A2">
        <w:trPr>
          <w:trHeight w:val="446"/>
        </w:trPr>
        <w:tc>
          <w:tcPr>
            <w:tcW w:w="3794" w:type="dxa"/>
            <w:tcBorders>
              <w:top w:val="nil"/>
              <w:left w:val="single" w:sz="4" w:space="0" w:color="auto"/>
              <w:bottom w:val="single" w:sz="4" w:space="0" w:color="auto"/>
              <w:right w:val="single" w:sz="4" w:space="0" w:color="auto"/>
            </w:tcBorders>
            <w:noWrap/>
            <w:vAlign w:val="bottom"/>
            <w:hideMark/>
          </w:tcPr>
          <w:p w14:paraId="3496EADF" w14:textId="77777777" w:rsidR="00C17D3A" w:rsidRPr="004102AA" w:rsidRDefault="00C17D3A" w:rsidP="00AB00A2">
            <w:pPr>
              <w:spacing w:after="0" w:line="240" w:lineRule="auto"/>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 </w:t>
            </w:r>
          </w:p>
        </w:tc>
        <w:tc>
          <w:tcPr>
            <w:tcW w:w="2572" w:type="dxa"/>
            <w:tcBorders>
              <w:top w:val="nil"/>
              <w:left w:val="nil"/>
              <w:bottom w:val="single" w:sz="4" w:space="0" w:color="auto"/>
              <w:right w:val="single" w:sz="4" w:space="0" w:color="auto"/>
            </w:tcBorders>
            <w:noWrap/>
            <w:vAlign w:val="center"/>
            <w:hideMark/>
          </w:tcPr>
          <w:p w14:paraId="1CBD468E" w14:textId="77777777" w:rsidR="00C17D3A" w:rsidRPr="004102AA" w:rsidRDefault="00C17D3A" w:rsidP="00AB00A2">
            <w:pPr>
              <w:spacing w:after="0" w:line="240" w:lineRule="auto"/>
              <w:jc w:val="center"/>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Discovery set</w:t>
            </w:r>
          </w:p>
        </w:tc>
        <w:tc>
          <w:tcPr>
            <w:tcW w:w="2680" w:type="dxa"/>
            <w:tcBorders>
              <w:top w:val="nil"/>
              <w:left w:val="nil"/>
              <w:bottom w:val="single" w:sz="4" w:space="0" w:color="auto"/>
              <w:right w:val="single" w:sz="4" w:space="0" w:color="auto"/>
            </w:tcBorders>
            <w:noWrap/>
            <w:vAlign w:val="center"/>
            <w:hideMark/>
          </w:tcPr>
          <w:p w14:paraId="24486B63" w14:textId="77777777" w:rsidR="00C17D3A" w:rsidRPr="004102AA" w:rsidRDefault="00C17D3A" w:rsidP="00AB00A2">
            <w:pPr>
              <w:spacing w:after="0" w:line="240" w:lineRule="auto"/>
              <w:jc w:val="center"/>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Validation set</w:t>
            </w:r>
          </w:p>
        </w:tc>
        <w:tc>
          <w:tcPr>
            <w:tcW w:w="323" w:type="dxa"/>
            <w:vAlign w:val="center"/>
            <w:hideMark/>
          </w:tcPr>
          <w:p w14:paraId="094C787B"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5B32AC55"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5C197F32"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Total patients</w:t>
            </w:r>
          </w:p>
        </w:tc>
        <w:tc>
          <w:tcPr>
            <w:tcW w:w="2572" w:type="dxa"/>
            <w:tcBorders>
              <w:top w:val="nil"/>
              <w:left w:val="nil"/>
              <w:bottom w:val="single" w:sz="4" w:space="0" w:color="auto"/>
              <w:right w:val="single" w:sz="4" w:space="0" w:color="auto"/>
            </w:tcBorders>
            <w:noWrap/>
            <w:vAlign w:val="center"/>
            <w:hideMark/>
          </w:tcPr>
          <w:p w14:paraId="59319933"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14</w:t>
            </w:r>
          </w:p>
        </w:tc>
        <w:tc>
          <w:tcPr>
            <w:tcW w:w="2680" w:type="dxa"/>
            <w:tcBorders>
              <w:top w:val="nil"/>
              <w:left w:val="nil"/>
              <w:bottom w:val="single" w:sz="4" w:space="0" w:color="auto"/>
              <w:right w:val="single" w:sz="4" w:space="0" w:color="auto"/>
            </w:tcBorders>
            <w:noWrap/>
            <w:vAlign w:val="center"/>
            <w:hideMark/>
          </w:tcPr>
          <w:p w14:paraId="5ECF12EA"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10</w:t>
            </w:r>
          </w:p>
        </w:tc>
        <w:tc>
          <w:tcPr>
            <w:tcW w:w="323" w:type="dxa"/>
            <w:vAlign w:val="center"/>
            <w:hideMark/>
          </w:tcPr>
          <w:p w14:paraId="49158F99"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0288B895"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420A2B38"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Disease/ Normal</w:t>
            </w:r>
          </w:p>
        </w:tc>
        <w:tc>
          <w:tcPr>
            <w:tcW w:w="2572" w:type="dxa"/>
            <w:tcBorders>
              <w:top w:val="nil"/>
              <w:left w:val="nil"/>
              <w:bottom w:val="single" w:sz="4" w:space="0" w:color="auto"/>
              <w:right w:val="single" w:sz="4" w:space="0" w:color="auto"/>
            </w:tcBorders>
            <w:noWrap/>
            <w:vAlign w:val="center"/>
            <w:hideMark/>
          </w:tcPr>
          <w:p w14:paraId="1B28E43B"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14/ 14</w:t>
            </w:r>
          </w:p>
        </w:tc>
        <w:tc>
          <w:tcPr>
            <w:tcW w:w="2680" w:type="dxa"/>
            <w:tcBorders>
              <w:top w:val="nil"/>
              <w:left w:val="nil"/>
              <w:bottom w:val="single" w:sz="4" w:space="0" w:color="auto"/>
              <w:right w:val="single" w:sz="4" w:space="0" w:color="auto"/>
            </w:tcBorders>
            <w:noWrap/>
            <w:vAlign w:val="center"/>
            <w:hideMark/>
          </w:tcPr>
          <w:p w14:paraId="0AC85998"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10 Tumour</w:t>
            </w:r>
          </w:p>
        </w:tc>
        <w:tc>
          <w:tcPr>
            <w:tcW w:w="323" w:type="dxa"/>
            <w:vAlign w:val="center"/>
            <w:hideMark/>
          </w:tcPr>
          <w:p w14:paraId="4321CB80"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4441E46A"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521DDFC1"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Age range (in years)</w:t>
            </w:r>
          </w:p>
        </w:tc>
        <w:tc>
          <w:tcPr>
            <w:tcW w:w="2572" w:type="dxa"/>
            <w:tcBorders>
              <w:top w:val="nil"/>
              <w:left w:val="nil"/>
              <w:bottom w:val="single" w:sz="4" w:space="0" w:color="auto"/>
              <w:right w:val="single" w:sz="4" w:space="0" w:color="auto"/>
            </w:tcBorders>
            <w:noWrap/>
            <w:vAlign w:val="center"/>
            <w:hideMark/>
          </w:tcPr>
          <w:p w14:paraId="5F1DCEB9"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34-73</w:t>
            </w:r>
          </w:p>
        </w:tc>
        <w:tc>
          <w:tcPr>
            <w:tcW w:w="2680" w:type="dxa"/>
            <w:tcBorders>
              <w:top w:val="nil"/>
              <w:left w:val="nil"/>
              <w:bottom w:val="single" w:sz="4" w:space="0" w:color="auto"/>
              <w:right w:val="single" w:sz="4" w:space="0" w:color="auto"/>
            </w:tcBorders>
            <w:noWrap/>
            <w:vAlign w:val="center"/>
            <w:hideMark/>
          </w:tcPr>
          <w:p w14:paraId="1590775C"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34-72</w:t>
            </w:r>
          </w:p>
        </w:tc>
        <w:tc>
          <w:tcPr>
            <w:tcW w:w="323" w:type="dxa"/>
            <w:vAlign w:val="center"/>
            <w:hideMark/>
          </w:tcPr>
          <w:p w14:paraId="623FCA54"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21E583B5"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2EE47F90"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Mean age (SD) (in years)</w:t>
            </w:r>
          </w:p>
        </w:tc>
        <w:tc>
          <w:tcPr>
            <w:tcW w:w="2572" w:type="dxa"/>
            <w:tcBorders>
              <w:top w:val="nil"/>
              <w:left w:val="nil"/>
              <w:bottom w:val="single" w:sz="4" w:space="0" w:color="auto"/>
              <w:right w:val="single" w:sz="4" w:space="0" w:color="auto"/>
            </w:tcBorders>
            <w:noWrap/>
            <w:vAlign w:val="center"/>
            <w:hideMark/>
          </w:tcPr>
          <w:p w14:paraId="0EFE94FA"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52.76 (13.45)</w:t>
            </w:r>
          </w:p>
        </w:tc>
        <w:tc>
          <w:tcPr>
            <w:tcW w:w="2680" w:type="dxa"/>
            <w:tcBorders>
              <w:top w:val="nil"/>
              <w:left w:val="nil"/>
              <w:bottom w:val="single" w:sz="4" w:space="0" w:color="auto"/>
              <w:right w:val="single" w:sz="4" w:space="0" w:color="auto"/>
            </w:tcBorders>
            <w:noWrap/>
            <w:vAlign w:val="center"/>
            <w:hideMark/>
          </w:tcPr>
          <w:p w14:paraId="57A5F03E"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51.9 (14.42)</w:t>
            </w:r>
          </w:p>
        </w:tc>
        <w:tc>
          <w:tcPr>
            <w:tcW w:w="323" w:type="dxa"/>
            <w:vAlign w:val="center"/>
            <w:hideMark/>
          </w:tcPr>
          <w:p w14:paraId="13FE67EC"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1EF42789"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7CFA685A"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No. of males/females</w:t>
            </w:r>
          </w:p>
        </w:tc>
        <w:tc>
          <w:tcPr>
            <w:tcW w:w="2572" w:type="dxa"/>
            <w:tcBorders>
              <w:top w:val="nil"/>
              <w:left w:val="nil"/>
              <w:bottom w:val="single" w:sz="4" w:space="0" w:color="auto"/>
              <w:right w:val="single" w:sz="4" w:space="0" w:color="auto"/>
            </w:tcBorders>
            <w:noWrap/>
            <w:vAlign w:val="center"/>
            <w:hideMark/>
          </w:tcPr>
          <w:p w14:paraId="2D824E57"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10/ 3</w:t>
            </w:r>
          </w:p>
        </w:tc>
        <w:tc>
          <w:tcPr>
            <w:tcW w:w="2680" w:type="dxa"/>
            <w:tcBorders>
              <w:top w:val="nil"/>
              <w:left w:val="nil"/>
              <w:bottom w:val="single" w:sz="4" w:space="0" w:color="auto"/>
              <w:right w:val="single" w:sz="4" w:space="0" w:color="auto"/>
            </w:tcBorders>
            <w:noWrap/>
            <w:vAlign w:val="center"/>
            <w:hideMark/>
          </w:tcPr>
          <w:p w14:paraId="7B042D01"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8/ 2</w:t>
            </w:r>
          </w:p>
        </w:tc>
        <w:tc>
          <w:tcPr>
            <w:tcW w:w="323" w:type="dxa"/>
            <w:vAlign w:val="center"/>
            <w:hideMark/>
          </w:tcPr>
          <w:p w14:paraId="6A3F718D"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7EAEAABC"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179D692C"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HPV: positive/negative</w:t>
            </w:r>
          </w:p>
        </w:tc>
        <w:tc>
          <w:tcPr>
            <w:tcW w:w="5253" w:type="dxa"/>
            <w:gridSpan w:val="2"/>
            <w:tcBorders>
              <w:top w:val="single" w:sz="4" w:space="0" w:color="auto"/>
              <w:left w:val="nil"/>
              <w:bottom w:val="single" w:sz="4" w:space="0" w:color="auto"/>
              <w:right w:val="single" w:sz="4" w:space="0" w:color="auto"/>
            </w:tcBorders>
            <w:noWrap/>
            <w:vAlign w:val="center"/>
            <w:hideMark/>
          </w:tcPr>
          <w:p w14:paraId="0CD86B85"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All Tumours HPV Negative</w:t>
            </w:r>
          </w:p>
        </w:tc>
        <w:tc>
          <w:tcPr>
            <w:tcW w:w="323" w:type="dxa"/>
            <w:vAlign w:val="center"/>
            <w:hideMark/>
          </w:tcPr>
          <w:p w14:paraId="65A17913"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7FF3DCA3"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0DD8F087"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Tumour Grade</w:t>
            </w:r>
          </w:p>
        </w:tc>
        <w:tc>
          <w:tcPr>
            <w:tcW w:w="2572" w:type="dxa"/>
            <w:tcBorders>
              <w:top w:val="nil"/>
              <w:left w:val="nil"/>
              <w:bottom w:val="single" w:sz="4" w:space="0" w:color="auto"/>
              <w:right w:val="single" w:sz="4" w:space="0" w:color="auto"/>
            </w:tcBorders>
            <w:noWrap/>
            <w:vAlign w:val="center"/>
            <w:hideMark/>
          </w:tcPr>
          <w:p w14:paraId="569012D4"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 </w:t>
            </w:r>
          </w:p>
        </w:tc>
        <w:tc>
          <w:tcPr>
            <w:tcW w:w="2680" w:type="dxa"/>
            <w:tcBorders>
              <w:top w:val="nil"/>
              <w:left w:val="nil"/>
              <w:bottom w:val="single" w:sz="4" w:space="0" w:color="auto"/>
              <w:right w:val="single" w:sz="4" w:space="0" w:color="auto"/>
            </w:tcBorders>
            <w:noWrap/>
            <w:vAlign w:val="center"/>
            <w:hideMark/>
          </w:tcPr>
          <w:p w14:paraId="702F3A29"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 </w:t>
            </w:r>
          </w:p>
        </w:tc>
        <w:tc>
          <w:tcPr>
            <w:tcW w:w="323" w:type="dxa"/>
            <w:vAlign w:val="center"/>
            <w:hideMark/>
          </w:tcPr>
          <w:p w14:paraId="5ED72D5B"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1F756884"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49645E96"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 xml:space="preserve">           Grade 1</w:t>
            </w:r>
          </w:p>
        </w:tc>
        <w:tc>
          <w:tcPr>
            <w:tcW w:w="2572" w:type="dxa"/>
            <w:tcBorders>
              <w:top w:val="nil"/>
              <w:left w:val="nil"/>
              <w:bottom w:val="single" w:sz="4" w:space="0" w:color="auto"/>
              <w:right w:val="single" w:sz="4" w:space="0" w:color="auto"/>
            </w:tcBorders>
            <w:noWrap/>
            <w:vAlign w:val="center"/>
            <w:hideMark/>
          </w:tcPr>
          <w:p w14:paraId="2A8D869F"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2</w:t>
            </w:r>
          </w:p>
        </w:tc>
        <w:tc>
          <w:tcPr>
            <w:tcW w:w="2680" w:type="dxa"/>
            <w:tcBorders>
              <w:top w:val="nil"/>
              <w:left w:val="nil"/>
              <w:bottom w:val="single" w:sz="4" w:space="0" w:color="auto"/>
              <w:right w:val="single" w:sz="4" w:space="0" w:color="auto"/>
            </w:tcBorders>
            <w:noWrap/>
            <w:vAlign w:val="center"/>
            <w:hideMark/>
          </w:tcPr>
          <w:p w14:paraId="12724B58"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2</w:t>
            </w:r>
          </w:p>
        </w:tc>
        <w:tc>
          <w:tcPr>
            <w:tcW w:w="323" w:type="dxa"/>
            <w:vAlign w:val="center"/>
            <w:hideMark/>
          </w:tcPr>
          <w:p w14:paraId="45C130AE"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5AD97681"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7637599B"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 xml:space="preserve">           Grade 2</w:t>
            </w:r>
          </w:p>
        </w:tc>
        <w:tc>
          <w:tcPr>
            <w:tcW w:w="2572" w:type="dxa"/>
            <w:tcBorders>
              <w:top w:val="nil"/>
              <w:left w:val="nil"/>
              <w:bottom w:val="single" w:sz="4" w:space="0" w:color="auto"/>
              <w:right w:val="single" w:sz="4" w:space="0" w:color="auto"/>
            </w:tcBorders>
            <w:noWrap/>
            <w:vAlign w:val="center"/>
            <w:hideMark/>
          </w:tcPr>
          <w:p w14:paraId="44757E5A"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5</w:t>
            </w:r>
          </w:p>
        </w:tc>
        <w:tc>
          <w:tcPr>
            <w:tcW w:w="2680" w:type="dxa"/>
            <w:tcBorders>
              <w:top w:val="nil"/>
              <w:left w:val="nil"/>
              <w:bottom w:val="single" w:sz="4" w:space="0" w:color="auto"/>
              <w:right w:val="single" w:sz="4" w:space="0" w:color="auto"/>
            </w:tcBorders>
            <w:noWrap/>
            <w:vAlign w:val="center"/>
            <w:hideMark/>
          </w:tcPr>
          <w:p w14:paraId="6A7D2406"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3</w:t>
            </w:r>
          </w:p>
        </w:tc>
        <w:tc>
          <w:tcPr>
            <w:tcW w:w="323" w:type="dxa"/>
            <w:vAlign w:val="center"/>
            <w:hideMark/>
          </w:tcPr>
          <w:p w14:paraId="5DDBF882"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r w:rsidR="00C17D3A" w:rsidRPr="004102AA" w14:paraId="39A157F5" w14:textId="77777777" w:rsidTr="00AB00A2">
        <w:trPr>
          <w:trHeight w:val="446"/>
        </w:trPr>
        <w:tc>
          <w:tcPr>
            <w:tcW w:w="3794" w:type="dxa"/>
            <w:tcBorders>
              <w:top w:val="nil"/>
              <w:left w:val="single" w:sz="4" w:space="0" w:color="auto"/>
              <w:bottom w:val="single" w:sz="4" w:space="0" w:color="auto"/>
              <w:right w:val="single" w:sz="4" w:space="0" w:color="auto"/>
            </w:tcBorders>
            <w:noWrap/>
            <w:vAlign w:val="center"/>
            <w:hideMark/>
          </w:tcPr>
          <w:p w14:paraId="63A4268D" w14:textId="77777777" w:rsidR="00C17D3A" w:rsidRPr="004102AA" w:rsidRDefault="00C17D3A" w:rsidP="00AB00A2">
            <w:pPr>
              <w:spacing w:after="0" w:line="240" w:lineRule="auto"/>
              <w:rPr>
                <w:rFonts w:ascii="Calibri" w:eastAsia="Times New Roman" w:hAnsi="Calibri" w:cs="Calibri"/>
                <w:b/>
                <w:bCs/>
                <w:color w:val="000000"/>
                <w:kern w:val="0"/>
                <w:lang w:eastAsia="en-IN"/>
                <w14:ligatures w14:val="none"/>
              </w:rPr>
            </w:pPr>
            <w:r w:rsidRPr="004102AA">
              <w:rPr>
                <w:rFonts w:ascii="Calibri" w:eastAsia="Times New Roman" w:hAnsi="Calibri" w:cs="Calibri"/>
                <w:b/>
                <w:bCs/>
                <w:color w:val="000000"/>
                <w:kern w:val="0"/>
                <w:lang w:eastAsia="en-IN"/>
                <w14:ligatures w14:val="none"/>
              </w:rPr>
              <w:t xml:space="preserve">           Grade 3</w:t>
            </w:r>
          </w:p>
        </w:tc>
        <w:tc>
          <w:tcPr>
            <w:tcW w:w="2572" w:type="dxa"/>
            <w:tcBorders>
              <w:top w:val="nil"/>
              <w:left w:val="nil"/>
              <w:bottom w:val="single" w:sz="4" w:space="0" w:color="auto"/>
              <w:right w:val="single" w:sz="4" w:space="0" w:color="auto"/>
            </w:tcBorders>
            <w:noWrap/>
            <w:vAlign w:val="center"/>
            <w:hideMark/>
          </w:tcPr>
          <w:p w14:paraId="2B67DA72"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4</w:t>
            </w:r>
          </w:p>
        </w:tc>
        <w:tc>
          <w:tcPr>
            <w:tcW w:w="2680" w:type="dxa"/>
            <w:tcBorders>
              <w:top w:val="nil"/>
              <w:left w:val="nil"/>
              <w:bottom w:val="single" w:sz="4" w:space="0" w:color="auto"/>
              <w:right w:val="single" w:sz="4" w:space="0" w:color="auto"/>
            </w:tcBorders>
            <w:noWrap/>
            <w:vAlign w:val="center"/>
            <w:hideMark/>
          </w:tcPr>
          <w:p w14:paraId="4A341E7B" w14:textId="77777777" w:rsidR="00C17D3A" w:rsidRPr="004102AA" w:rsidRDefault="00C17D3A" w:rsidP="00AB00A2">
            <w:pPr>
              <w:spacing w:after="0" w:line="240" w:lineRule="auto"/>
              <w:jc w:val="center"/>
              <w:rPr>
                <w:rFonts w:ascii="Calibri" w:eastAsia="Times New Roman" w:hAnsi="Calibri" w:cs="Calibri"/>
                <w:color w:val="000000"/>
                <w:kern w:val="0"/>
                <w:lang w:eastAsia="en-IN"/>
                <w14:ligatures w14:val="none"/>
              </w:rPr>
            </w:pPr>
            <w:r w:rsidRPr="004102AA">
              <w:rPr>
                <w:rFonts w:ascii="Calibri" w:eastAsia="Times New Roman" w:hAnsi="Calibri" w:cs="Calibri"/>
                <w:color w:val="000000"/>
                <w:kern w:val="0"/>
                <w:lang w:eastAsia="en-IN"/>
                <w14:ligatures w14:val="none"/>
              </w:rPr>
              <w:t>4</w:t>
            </w:r>
          </w:p>
        </w:tc>
        <w:tc>
          <w:tcPr>
            <w:tcW w:w="323" w:type="dxa"/>
            <w:vAlign w:val="center"/>
            <w:hideMark/>
          </w:tcPr>
          <w:p w14:paraId="4C823112" w14:textId="77777777" w:rsidR="00C17D3A" w:rsidRPr="004102AA" w:rsidRDefault="00C17D3A" w:rsidP="00AB00A2">
            <w:pPr>
              <w:spacing w:after="0" w:line="240" w:lineRule="auto"/>
              <w:rPr>
                <w:rFonts w:ascii="Times New Roman" w:eastAsia="Times New Roman" w:hAnsi="Times New Roman" w:cs="Times New Roman"/>
                <w:kern w:val="0"/>
                <w:sz w:val="20"/>
                <w:szCs w:val="20"/>
                <w:lang w:eastAsia="en-IN"/>
                <w14:ligatures w14:val="none"/>
              </w:rPr>
            </w:pPr>
          </w:p>
        </w:tc>
      </w:tr>
    </w:tbl>
    <w:p w14:paraId="47131FBB" w14:textId="77777777" w:rsidR="004C3E9B" w:rsidRPr="004102AA" w:rsidRDefault="004C3E9B" w:rsidP="00672614">
      <w:pPr>
        <w:rPr>
          <w:b/>
          <w:bCs/>
          <w:sz w:val="24"/>
          <w:szCs w:val="24"/>
        </w:rPr>
      </w:pPr>
    </w:p>
    <w:p w14:paraId="135E3A55" w14:textId="77777777" w:rsidR="004C3E9B" w:rsidRPr="004102AA" w:rsidRDefault="004C3E9B" w:rsidP="00672614">
      <w:pPr>
        <w:rPr>
          <w:b/>
          <w:bCs/>
          <w:sz w:val="28"/>
          <w:szCs w:val="28"/>
        </w:rPr>
      </w:pPr>
    </w:p>
    <w:p w14:paraId="52F1E871" w14:textId="77777777" w:rsidR="00C15D2F" w:rsidRPr="004102AA" w:rsidRDefault="00C15D2F" w:rsidP="00672614">
      <w:pPr>
        <w:rPr>
          <w:b/>
          <w:bCs/>
          <w:sz w:val="28"/>
          <w:szCs w:val="28"/>
        </w:rPr>
      </w:pPr>
    </w:p>
    <w:p w14:paraId="4E5C4B2A" w14:textId="77777777" w:rsidR="00C17D3A" w:rsidRPr="004102AA" w:rsidRDefault="00C17D3A" w:rsidP="00672614">
      <w:pPr>
        <w:rPr>
          <w:b/>
          <w:bCs/>
          <w:sz w:val="28"/>
          <w:szCs w:val="28"/>
        </w:rPr>
      </w:pPr>
    </w:p>
    <w:p w14:paraId="6764643C" w14:textId="77777777" w:rsidR="00C17D3A" w:rsidRPr="004102AA" w:rsidRDefault="00C17D3A" w:rsidP="00672614">
      <w:pPr>
        <w:rPr>
          <w:b/>
          <w:bCs/>
          <w:sz w:val="28"/>
          <w:szCs w:val="28"/>
        </w:rPr>
      </w:pPr>
    </w:p>
    <w:p w14:paraId="1ADAF8E7" w14:textId="77777777" w:rsidR="00C17D3A" w:rsidRPr="004102AA" w:rsidRDefault="00C17D3A" w:rsidP="00672614">
      <w:pPr>
        <w:rPr>
          <w:b/>
          <w:bCs/>
          <w:sz w:val="28"/>
          <w:szCs w:val="28"/>
        </w:rPr>
      </w:pPr>
    </w:p>
    <w:p w14:paraId="49DE07C6" w14:textId="77777777" w:rsidR="00C17D3A" w:rsidRPr="004102AA" w:rsidRDefault="00C17D3A" w:rsidP="00672614">
      <w:pPr>
        <w:rPr>
          <w:b/>
          <w:bCs/>
          <w:sz w:val="28"/>
          <w:szCs w:val="28"/>
        </w:rPr>
      </w:pPr>
    </w:p>
    <w:p w14:paraId="6F06CE25" w14:textId="77777777" w:rsidR="00C17D3A" w:rsidRPr="004102AA" w:rsidRDefault="00C17D3A" w:rsidP="00672614">
      <w:pPr>
        <w:rPr>
          <w:b/>
          <w:bCs/>
          <w:sz w:val="28"/>
          <w:szCs w:val="28"/>
        </w:rPr>
      </w:pPr>
    </w:p>
    <w:p w14:paraId="16CC3EDD" w14:textId="77777777" w:rsidR="00C17D3A" w:rsidRPr="004102AA" w:rsidRDefault="00C17D3A" w:rsidP="00672614">
      <w:pPr>
        <w:rPr>
          <w:b/>
          <w:bCs/>
          <w:sz w:val="28"/>
          <w:szCs w:val="28"/>
        </w:rPr>
      </w:pPr>
    </w:p>
    <w:p w14:paraId="3A0324FF" w14:textId="77777777" w:rsidR="00C17D3A" w:rsidRPr="004102AA" w:rsidRDefault="00C17D3A" w:rsidP="00672614">
      <w:pPr>
        <w:rPr>
          <w:b/>
          <w:bCs/>
          <w:sz w:val="28"/>
          <w:szCs w:val="28"/>
        </w:rPr>
      </w:pPr>
    </w:p>
    <w:p w14:paraId="488D8B38" w14:textId="77777777" w:rsidR="00C17D3A" w:rsidRPr="004102AA" w:rsidRDefault="00C17D3A" w:rsidP="00672614">
      <w:pPr>
        <w:rPr>
          <w:b/>
          <w:bCs/>
          <w:sz w:val="28"/>
          <w:szCs w:val="28"/>
        </w:rPr>
      </w:pPr>
    </w:p>
    <w:p w14:paraId="75568845" w14:textId="2985B4A1" w:rsidR="009B58F1" w:rsidRPr="004102AA" w:rsidRDefault="004B66C1" w:rsidP="00672614">
      <w:pPr>
        <w:rPr>
          <w:b/>
          <w:bCs/>
          <w:sz w:val="28"/>
          <w:szCs w:val="28"/>
        </w:rPr>
      </w:pPr>
      <w:r w:rsidRPr="004102AA">
        <w:rPr>
          <w:b/>
          <w:bCs/>
          <w:noProof/>
          <w:sz w:val="28"/>
          <w:szCs w:val="28"/>
        </w:rPr>
        <w:lastRenderedPageBreak/>
        <w:drawing>
          <wp:anchor distT="0" distB="0" distL="114300" distR="114300" simplePos="0" relativeHeight="251658240" behindDoc="0" locked="0" layoutInCell="1" allowOverlap="1" wp14:anchorId="61E63B85" wp14:editId="33503CE3">
            <wp:simplePos x="0" y="0"/>
            <wp:positionH relativeFrom="column">
              <wp:posOffset>-781050</wp:posOffset>
            </wp:positionH>
            <wp:positionV relativeFrom="paragraph">
              <wp:posOffset>330200</wp:posOffset>
            </wp:positionV>
            <wp:extent cx="7247255" cy="4076700"/>
            <wp:effectExtent l="0" t="0" r="0" b="0"/>
            <wp:wrapSquare wrapText="bothSides"/>
            <wp:docPr id="2110383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83709" name="Picture 2110383709"/>
                    <pic:cNvPicPr/>
                  </pic:nvPicPr>
                  <pic:blipFill>
                    <a:blip r:embed="rId6">
                      <a:extLst>
                        <a:ext uri="{28A0092B-C50C-407E-A947-70E740481C1C}">
                          <a14:useLocalDpi xmlns:a14="http://schemas.microsoft.com/office/drawing/2010/main" val="0"/>
                        </a:ext>
                      </a:extLst>
                    </a:blip>
                    <a:stretch>
                      <a:fillRect/>
                    </a:stretch>
                  </pic:blipFill>
                  <pic:spPr>
                    <a:xfrm>
                      <a:off x="0" y="0"/>
                      <a:ext cx="7247255" cy="4076700"/>
                    </a:xfrm>
                    <a:prstGeom prst="rect">
                      <a:avLst/>
                    </a:prstGeom>
                  </pic:spPr>
                </pic:pic>
              </a:graphicData>
            </a:graphic>
            <wp14:sizeRelH relativeFrom="margin">
              <wp14:pctWidth>0</wp14:pctWidth>
            </wp14:sizeRelH>
            <wp14:sizeRelV relativeFrom="margin">
              <wp14:pctHeight>0</wp14:pctHeight>
            </wp14:sizeRelV>
          </wp:anchor>
        </w:drawing>
      </w:r>
      <w:r w:rsidR="00672614" w:rsidRPr="004102AA">
        <w:rPr>
          <w:b/>
          <w:bCs/>
          <w:sz w:val="28"/>
          <w:szCs w:val="28"/>
        </w:rPr>
        <w:t>Supplementary Figures</w:t>
      </w:r>
    </w:p>
    <w:p w14:paraId="3499BB18" w14:textId="325879B4" w:rsidR="00DB5D47" w:rsidRPr="004102AA" w:rsidRDefault="00087204" w:rsidP="00672614">
      <w:pPr>
        <w:rPr>
          <w:sz w:val="24"/>
          <w:szCs w:val="24"/>
        </w:rPr>
      </w:pPr>
      <w:r w:rsidRPr="004102AA">
        <w:rPr>
          <w:b/>
          <w:bCs/>
          <w:sz w:val="24"/>
          <w:szCs w:val="24"/>
        </w:rPr>
        <w:t>Supplementary Fig S1:</w:t>
      </w:r>
      <w:r w:rsidR="005C4DEB" w:rsidRPr="004102AA">
        <w:rPr>
          <w:b/>
          <w:bCs/>
          <w:sz w:val="24"/>
          <w:szCs w:val="24"/>
        </w:rPr>
        <w:t xml:space="preserve"> </w:t>
      </w:r>
      <w:r w:rsidR="005C4DEB" w:rsidRPr="004102AA">
        <w:rPr>
          <w:sz w:val="24"/>
          <w:szCs w:val="24"/>
        </w:rPr>
        <w:t>Illustrat</w:t>
      </w:r>
      <w:r w:rsidR="00834032" w:rsidRPr="004102AA">
        <w:rPr>
          <w:sz w:val="24"/>
          <w:szCs w:val="24"/>
        </w:rPr>
        <w:t>ive</w:t>
      </w:r>
      <w:r w:rsidR="005C4DEB" w:rsidRPr="004102AA">
        <w:rPr>
          <w:sz w:val="24"/>
          <w:szCs w:val="24"/>
        </w:rPr>
        <w:t xml:space="preserve"> flowchart </w:t>
      </w:r>
      <w:r w:rsidR="005C020F" w:rsidRPr="004102AA">
        <w:rPr>
          <w:sz w:val="24"/>
          <w:szCs w:val="24"/>
        </w:rPr>
        <w:t>of</w:t>
      </w:r>
      <w:r w:rsidR="005C4DEB" w:rsidRPr="004102AA">
        <w:rPr>
          <w:sz w:val="24"/>
          <w:szCs w:val="24"/>
        </w:rPr>
        <w:t xml:space="preserve"> patient/sample inclusion, exclusion, and cohort allocation</w:t>
      </w:r>
    </w:p>
    <w:p w14:paraId="1152A40E" w14:textId="77777777" w:rsidR="0008283F" w:rsidRPr="004102AA" w:rsidRDefault="0008283F" w:rsidP="00672614">
      <w:pPr>
        <w:rPr>
          <w:sz w:val="24"/>
          <w:szCs w:val="24"/>
        </w:rPr>
      </w:pPr>
    </w:p>
    <w:p w14:paraId="1D22AA92" w14:textId="77777777" w:rsidR="0008283F" w:rsidRPr="004102AA" w:rsidRDefault="0008283F" w:rsidP="00672614">
      <w:pPr>
        <w:rPr>
          <w:sz w:val="24"/>
          <w:szCs w:val="24"/>
        </w:rPr>
      </w:pPr>
    </w:p>
    <w:p w14:paraId="679E0966" w14:textId="77777777" w:rsidR="0008283F" w:rsidRPr="004102AA" w:rsidRDefault="0008283F" w:rsidP="00672614">
      <w:pPr>
        <w:rPr>
          <w:b/>
          <w:bCs/>
          <w:sz w:val="24"/>
          <w:szCs w:val="24"/>
        </w:rPr>
      </w:pPr>
    </w:p>
    <w:p w14:paraId="54FB3DF2" w14:textId="7407D2DC" w:rsidR="00E57828" w:rsidRPr="004102AA" w:rsidRDefault="009B58F1" w:rsidP="00AD2A89">
      <w:pPr>
        <w:jc w:val="both"/>
        <w:rPr>
          <w:sz w:val="24"/>
          <w:szCs w:val="24"/>
        </w:rPr>
      </w:pPr>
      <w:r w:rsidRPr="004102AA">
        <w:rPr>
          <w:b/>
          <w:bCs/>
          <w:noProof/>
          <w:sz w:val="28"/>
          <w:szCs w:val="28"/>
        </w:rPr>
        <w:lastRenderedPageBreak/>
        <w:drawing>
          <wp:inline distT="0" distB="0" distL="0" distR="0" wp14:anchorId="7F506509" wp14:editId="5E671A74">
            <wp:extent cx="5731510" cy="2962910"/>
            <wp:effectExtent l="0" t="0" r="2540" b="8890"/>
            <wp:docPr id="874112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12691" name="Picture 8741126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962910"/>
                    </a:xfrm>
                    <a:prstGeom prst="rect">
                      <a:avLst/>
                    </a:prstGeom>
                  </pic:spPr>
                </pic:pic>
              </a:graphicData>
            </a:graphic>
          </wp:inline>
        </w:drawing>
      </w:r>
      <w:bookmarkStart w:id="3" w:name="_Hlk215251680"/>
      <w:r w:rsidR="00E57828" w:rsidRPr="004102AA">
        <w:rPr>
          <w:b/>
          <w:bCs/>
          <w:sz w:val="24"/>
          <w:szCs w:val="24"/>
        </w:rPr>
        <w:t>Supplementary Fig S</w:t>
      </w:r>
      <w:r w:rsidR="00087204" w:rsidRPr="004102AA">
        <w:rPr>
          <w:b/>
          <w:bCs/>
          <w:sz w:val="24"/>
          <w:szCs w:val="24"/>
        </w:rPr>
        <w:t>2</w:t>
      </w:r>
      <w:r w:rsidR="00E57828" w:rsidRPr="004102AA">
        <w:rPr>
          <w:b/>
          <w:bCs/>
          <w:sz w:val="24"/>
          <w:szCs w:val="24"/>
        </w:rPr>
        <w:t>:</w:t>
      </w:r>
      <w:r w:rsidR="005A0A76" w:rsidRPr="004102AA">
        <w:rPr>
          <w:b/>
          <w:bCs/>
          <w:sz w:val="24"/>
          <w:szCs w:val="24"/>
        </w:rPr>
        <w:t xml:space="preserve"> </w:t>
      </w:r>
      <w:r w:rsidR="005A0A76" w:rsidRPr="004102AA">
        <w:rPr>
          <w:sz w:val="24"/>
          <w:szCs w:val="24"/>
        </w:rPr>
        <w:t xml:space="preserve">Detection and genotyping </w:t>
      </w:r>
      <w:r w:rsidR="007F0159" w:rsidRPr="004102AA">
        <w:rPr>
          <w:sz w:val="24"/>
          <w:szCs w:val="24"/>
        </w:rPr>
        <w:t>Human papillomavirus (HPV)</w:t>
      </w:r>
      <w:r w:rsidR="005A0A76" w:rsidRPr="004102AA">
        <w:rPr>
          <w:sz w:val="24"/>
          <w:szCs w:val="24"/>
        </w:rPr>
        <w:t xml:space="preserve"> by Nested Multiplex PCR</w:t>
      </w:r>
      <w:r w:rsidR="009E1D38" w:rsidRPr="004102AA">
        <w:rPr>
          <w:sz w:val="24"/>
          <w:szCs w:val="24"/>
        </w:rPr>
        <w:t xml:space="preserve">. The gel images </w:t>
      </w:r>
      <w:r w:rsidR="00202005" w:rsidRPr="004102AA">
        <w:rPr>
          <w:sz w:val="24"/>
          <w:szCs w:val="24"/>
        </w:rPr>
        <w:t>reveal</w:t>
      </w:r>
      <w:r w:rsidR="003A2BDC" w:rsidRPr="004102AA">
        <w:rPr>
          <w:sz w:val="24"/>
          <w:szCs w:val="24"/>
        </w:rPr>
        <w:t>ed</w:t>
      </w:r>
      <w:r w:rsidR="009E1D38" w:rsidRPr="004102AA">
        <w:rPr>
          <w:sz w:val="24"/>
          <w:szCs w:val="24"/>
        </w:rPr>
        <w:t xml:space="preserve"> (A-C)</w:t>
      </w:r>
      <w:r w:rsidR="007F0159" w:rsidRPr="004102AA">
        <w:rPr>
          <w:sz w:val="24"/>
          <w:szCs w:val="24"/>
        </w:rPr>
        <w:t xml:space="preserve"> </w:t>
      </w:r>
      <w:r w:rsidR="009E1D38" w:rsidRPr="004102AA">
        <w:rPr>
          <w:sz w:val="24"/>
          <w:szCs w:val="24"/>
        </w:rPr>
        <w:t>that</w:t>
      </w:r>
      <w:r w:rsidR="000F08DE" w:rsidRPr="004102AA">
        <w:rPr>
          <w:sz w:val="24"/>
          <w:szCs w:val="24"/>
        </w:rPr>
        <w:t xml:space="preserve"> LANE-1</w:t>
      </w:r>
      <w:r w:rsidR="003A2BDC" w:rsidRPr="004102AA">
        <w:rPr>
          <w:sz w:val="24"/>
          <w:szCs w:val="24"/>
        </w:rPr>
        <w:t>, LANE-2 and</w:t>
      </w:r>
      <w:r w:rsidR="004E43B5" w:rsidRPr="004102AA">
        <w:rPr>
          <w:sz w:val="24"/>
          <w:szCs w:val="24"/>
        </w:rPr>
        <w:t xml:space="preserve"> LANE-4 had</w:t>
      </w:r>
      <w:r w:rsidR="000F08DE" w:rsidRPr="004102AA">
        <w:rPr>
          <w:sz w:val="24"/>
          <w:szCs w:val="24"/>
        </w:rPr>
        <w:t xml:space="preserve"> 100bp ladder,</w:t>
      </w:r>
      <w:r w:rsidR="004E43B5" w:rsidRPr="004102AA">
        <w:rPr>
          <w:sz w:val="24"/>
          <w:szCs w:val="24"/>
        </w:rPr>
        <w:t xml:space="preserve"> </w:t>
      </w:r>
      <w:r w:rsidR="000F08DE" w:rsidRPr="004102AA">
        <w:rPr>
          <w:sz w:val="24"/>
          <w:szCs w:val="24"/>
        </w:rPr>
        <w:t>negative control</w:t>
      </w:r>
      <w:r w:rsidR="004E43B5" w:rsidRPr="004102AA">
        <w:rPr>
          <w:sz w:val="24"/>
          <w:szCs w:val="24"/>
        </w:rPr>
        <w:t xml:space="preserve"> and</w:t>
      </w:r>
      <w:r w:rsidR="000F08DE" w:rsidRPr="004102AA">
        <w:rPr>
          <w:sz w:val="24"/>
          <w:szCs w:val="24"/>
        </w:rPr>
        <w:t xml:space="preserve"> 5.56copies of HPV</w:t>
      </w:r>
      <w:r w:rsidR="002A5F77" w:rsidRPr="004102AA">
        <w:rPr>
          <w:sz w:val="24"/>
          <w:szCs w:val="24"/>
        </w:rPr>
        <w:t xml:space="preserve"> </w:t>
      </w:r>
      <w:r w:rsidR="000F08DE" w:rsidRPr="004102AA">
        <w:rPr>
          <w:sz w:val="24"/>
          <w:szCs w:val="24"/>
        </w:rPr>
        <w:t>(</w:t>
      </w:r>
      <w:proofErr w:type="spellStart"/>
      <w:r w:rsidR="000F08DE" w:rsidRPr="004102AA">
        <w:rPr>
          <w:i/>
          <w:iCs/>
          <w:sz w:val="24"/>
          <w:szCs w:val="24"/>
        </w:rPr>
        <w:t>SiHa</w:t>
      </w:r>
      <w:proofErr w:type="spellEnd"/>
      <w:r w:rsidR="000F08DE" w:rsidRPr="004102AA">
        <w:rPr>
          <w:sz w:val="24"/>
          <w:szCs w:val="24"/>
        </w:rPr>
        <w:t xml:space="preserve"> DNA - Positive control)</w:t>
      </w:r>
      <w:r w:rsidR="004E43B5" w:rsidRPr="004102AA">
        <w:rPr>
          <w:sz w:val="24"/>
          <w:szCs w:val="24"/>
        </w:rPr>
        <w:t xml:space="preserve"> respectively. </w:t>
      </w:r>
      <w:r w:rsidR="00F92425" w:rsidRPr="004102AA">
        <w:rPr>
          <w:sz w:val="24"/>
          <w:szCs w:val="24"/>
        </w:rPr>
        <w:t xml:space="preserve">(A) </w:t>
      </w:r>
      <w:r w:rsidR="00627B26" w:rsidRPr="004102AA">
        <w:rPr>
          <w:sz w:val="24"/>
          <w:szCs w:val="24"/>
        </w:rPr>
        <w:t>LANE-6 – LANE-13</w:t>
      </w:r>
      <w:r w:rsidR="00F92425" w:rsidRPr="004102AA">
        <w:rPr>
          <w:sz w:val="24"/>
          <w:szCs w:val="24"/>
        </w:rPr>
        <w:t xml:space="preserve">, (B) </w:t>
      </w:r>
      <w:r w:rsidR="00344FE1" w:rsidRPr="004102AA">
        <w:rPr>
          <w:sz w:val="24"/>
          <w:szCs w:val="24"/>
        </w:rPr>
        <w:t xml:space="preserve">LANE-6 – LANE-14 and (C) </w:t>
      </w:r>
      <w:r w:rsidR="00C94467" w:rsidRPr="004102AA">
        <w:rPr>
          <w:sz w:val="24"/>
          <w:szCs w:val="24"/>
        </w:rPr>
        <w:t xml:space="preserve">LANE-5 – LANE-14 </w:t>
      </w:r>
      <w:r w:rsidR="00402C41" w:rsidRPr="004102AA">
        <w:rPr>
          <w:sz w:val="24"/>
          <w:szCs w:val="24"/>
        </w:rPr>
        <w:t xml:space="preserve">provided with </w:t>
      </w:r>
      <w:r w:rsidR="009E0490" w:rsidRPr="004102AA">
        <w:rPr>
          <w:sz w:val="24"/>
          <w:szCs w:val="24"/>
        </w:rPr>
        <w:t>20ng/ul DNA samples from OPSCC tissues.</w:t>
      </w:r>
      <w:r w:rsidR="00AC0788" w:rsidRPr="004102AA">
        <w:rPr>
          <w:sz w:val="24"/>
          <w:szCs w:val="24"/>
        </w:rPr>
        <w:t xml:space="preserve"> A 457bp amplicon representing HPV 16 subtype has been observed only for Positive control in </w:t>
      </w:r>
      <w:r w:rsidR="001971B1" w:rsidRPr="004102AA">
        <w:rPr>
          <w:sz w:val="24"/>
          <w:szCs w:val="24"/>
        </w:rPr>
        <w:t>LANE-</w:t>
      </w:r>
      <w:r w:rsidR="00AC0788" w:rsidRPr="004102AA">
        <w:rPr>
          <w:sz w:val="24"/>
          <w:szCs w:val="24"/>
        </w:rPr>
        <w:t>4</w:t>
      </w:r>
      <w:r w:rsidR="00666C83" w:rsidRPr="004102AA">
        <w:rPr>
          <w:sz w:val="24"/>
          <w:szCs w:val="24"/>
        </w:rPr>
        <w:t xml:space="preserve"> </w:t>
      </w:r>
      <w:r w:rsidR="00A51D1C" w:rsidRPr="004102AA">
        <w:rPr>
          <w:sz w:val="24"/>
          <w:szCs w:val="24"/>
        </w:rPr>
        <w:t>clearly explaining that t</w:t>
      </w:r>
      <w:r w:rsidR="00AC0788" w:rsidRPr="004102AA">
        <w:rPr>
          <w:sz w:val="24"/>
          <w:szCs w:val="24"/>
        </w:rPr>
        <w:t>he OPSCC samples were either HPV negative or has &lt;5.56 HPV copies</w:t>
      </w:r>
      <w:r w:rsidR="00307F90" w:rsidRPr="004102AA">
        <w:rPr>
          <w:sz w:val="24"/>
          <w:szCs w:val="24"/>
        </w:rPr>
        <w:t>.</w:t>
      </w:r>
      <w:bookmarkEnd w:id="3"/>
    </w:p>
    <w:p w14:paraId="0EFF9C3C" w14:textId="77777777" w:rsidR="003A51B6" w:rsidRPr="004102AA" w:rsidRDefault="003A51B6" w:rsidP="00672614">
      <w:pPr>
        <w:rPr>
          <w:sz w:val="24"/>
          <w:szCs w:val="24"/>
        </w:rPr>
      </w:pPr>
    </w:p>
    <w:p w14:paraId="0BDF8F50" w14:textId="77777777" w:rsidR="003A51B6" w:rsidRPr="004102AA" w:rsidRDefault="003A51B6" w:rsidP="00672614">
      <w:pPr>
        <w:rPr>
          <w:sz w:val="24"/>
          <w:szCs w:val="24"/>
        </w:rPr>
      </w:pPr>
    </w:p>
    <w:p w14:paraId="2B87CB80" w14:textId="77777777" w:rsidR="003A51B6" w:rsidRPr="004102AA" w:rsidRDefault="003A51B6" w:rsidP="00672614">
      <w:pPr>
        <w:rPr>
          <w:sz w:val="24"/>
          <w:szCs w:val="24"/>
        </w:rPr>
      </w:pPr>
    </w:p>
    <w:p w14:paraId="15AD1CDB" w14:textId="77777777" w:rsidR="003A51B6" w:rsidRPr="004102AA" w:rsidRDefault="003A51B6" w:rsidP="00672614">
      <w:pPr>
        <w:rPr>
          <w:sz w:val="24"/>
          <w:szCs w:val="24"/>
        </w:rPr>
      </w:pPr>
    </w:p>
    <w:p w14:paraId="69D8EC86" w14:textId="67AA0B43" w:rsidR="00E57828" w:rsidRPr="004102AA" w:rsidRDefault="00FD42AE" w:rsidP="004067F0">
      <w:pPr>
        <w:jc w:val="both"/>
        <w:rPr>
          <w:b/>
          <w:bCs/>
          <w:sz w:val="28"/>
          <w:szCs w:val="28"/>
        </w:rPr>
      </w:pPr>
      <w:r w:rsidRPr="004102AA">
        <w:rPr>
          <w:b/>
          <w:bCs/>
          <w:noProof/>
          <w:sz w:val="28"/>
          <w:szCs w:val="28"/>
        </w:rPr>
        <w:lastRenderedPageBreak/>
        <w:drawing>
          <wp:inline distT="0" distB="0" distL="0" distR="0" wp14:anchorId="7F5EFC44" wp14:editId="5921234E">
            <wp:extent cx="5731510" cy="3407410"/>
            <wp:effectExtent l="0" t="0" r="2540" b="2540"/>
            <wp:docPr id="492425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425215" name="Picture 4924252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407410"/>
                    </a:xfrm>
                    <a:prstGeom prst="rect">
                      <a:avLst/>
                    </a:prstGeom>
                  </pic:spPr>
                </pic:pic>
              </a:graphicData>
            </a:graphic>
          </wp:inline>
        </w:drawing>
      </w:r>
      <w:r w:rsidR="00E57828" w:rsidRPr="004102AA">
        <w:rPr>
          <w:b/>
          <w:bCs/>
          <w:sz w:val="24"/>
          <w:szCs w:val="24"/>
        </w:rPr>
        <w:t>Supplementary Fig S</w:t>
      </w:r>
      <w:r w:rsidR="00087204" w:rsidRPr="004102AA">
        <w:rPr>
          <w:b/>
          <w:bCs/>
          <w:sz w:val="24"/>
          <w:szCs w:val="24"/>
        </w:rPr>
        <w:t>3</w:t>
      </w:r>
      <w:r w:rsidR="00E57828" w:rsidRPr="004102AA">
        <w:rPr>
          <w:b/>
          <w:bCs/>
          <w:sz w:val="24"/>
          <w:szCs w:val="24"/>
        </w:rPr>
        <w:t>:</w:t>
      </w:r>
      <w:r w:rsidR="00EA41AF" w:rsidRPr="004102AA">
        <w:rPr>
          <w:b/>
          <w:bCs/>
          <w:sz w:val="24"/>
          <w:szCs w:val="24"/>
        </w:rPr>
        <w:t xml:space="preserve"> </w:t>
      </w:r>
      <w:r w:rsidR="00EA41AF" w:rsidRPr="004102AA">
        <w:rPr>
          <w:sz w:val="24"/>
          <w:szCs w:val="24"/>
        </w:rPr>
        <w:t>Power estimation of the sample size</w:t>
      </w:r>
      <w:r w:rsidR="00E97F60" w:rsidRPr="004102AA">
        <w:rPr>
          <w:sz w:val="24"/>
          <w:szCs w:val="24"/>
        </w:rPr>
        <w:t>.</w:t>
      </w:r>
      <w:r w:rsidR="003A6CC4" w:rsidRPr="004102AA">
        <w:rPr>
          <w:sz w:val="24"/>
          <w:szCs w:val="24"/>
        </w:rPr>
        <w:t xml:space="preserve"> (A) 2000 iterations of simulation considering 14 </w:t>
      </w:r>
      <w:r w:rsidR="008F5ED9" w:rsidRPr="004102AA">
        <w:rPr>
          <w:sz w:val="24"/>
          <w:szCs w:val="24"/>
        </w:rPr>
        <w:t xml:space="preserve">paired </w:t>
      </w:r>
      <w:r w:rsidR="003A6CC4" w:rsidRPr="004102AA">
        <w:rPr>
          <w:sz w:val="24"/>
          <w:szCs w:val="24"/>
        </w:rPr>
        <w:t xml:space="preserve">tumour and adjacent normal samples with the </w:t>
      </w:r>
      <w:proofErr w:type="spellStart"/>
      <w:r w:rsidR="003A6CC4" w:rsidRPr="004102AA">
        <w:rPr>
          <w:sz w:val="24"/>
          <w:szCs w:val="24"/>
        </w:rPr>
        <w:t>CpGs</w:t>
      </w:r>
      <w:proofErr w:type="spellEnd"/>
      <w:r w:rsidR="003A6CC4" w:rsidRPr="004102AA">
        <w:rPr>
          <w:sz w:val="24"/>
          <w:szCs w:val="24"/>
        </w:rPr>
        <w:t xml:space="preserve"> with different mean methylation (μ</w:t>
      </w:r>
      <w:r w:rsidR="006D77F1" w:rsidRPr="004102AA">
        <w:rPr>
          <w:sz w:val="24"/>
          <w:szCs w:val="24"/>
        </w:rPr>
        <w:t>) levels</w:t>
      </w:r>
      <w:r w:rsidR="001B3993" w:rsidRPr="004102AA">
        <w:rPr>
          <w:sz w:val="24"/>
          <w:szCs w:val="24"/>
        </w:rPr>
        <w:t xml:space="preserve"> </w:t>
      </w:r>
      <w:r w:rsidR="003A51B6" w:rsidRPr="004102AA">
        <w:rPr>
          <w:sz w:val="24"/>
          <w:szCs w:val="24"/>
        </w:rPr>
        <w:t xml:space="preserve">revealed that all kinds of </w:t>
      </w:r>
      <w:proofErr w:type="spellStart"/>
      <w:r w:rsidR="003A51B6" w:rsidRPr="004102AA">
        <w:rPr>
          <w:sz w:val="24"/>
          <w:szCs w:val="24"/>
        </w:rPr>
        <w:t>CpGs</w:t>
      </w:r>
      <w:proofErr w:type="spellEnd"/>
      <w:r w:rsidR="003A51B6" w:rsidRPr="004102AA">
        <w:rPr>
          <w:sz w:val="24"/>
          <w:szCs w:val="24"/>
        </w:rPr>
        <w:t xml:space="preserve"> (μ = 0.1, 0.5, 0.8) </w:t>
      </w:r>
      <w:r w:rsidR="003F2524" w:rsidRPr="004102AA">
        <w:rPr>
          <w:sz w:val="24"/>
          <w:szCs w:val="24"/>
        </w:rPr>
        <w:t>at</w:t>
      </w:r>
      <w:r w:rsidR="003A51B6" w:rsidRPr="004102AA">
        <w:rPr>
          <w:sz w:val="24"/>
          <w:szCs w:val="24"/>
        </w:rPr>
        <w:t xml:space="preserve"> all kinds of precisions (ɸ = 20, 50, 100), the sample size of this study was sufficient to capture the Δꞵ of more than ±0.2 with 100% confidence</w:t>
      </w:r>
      <w:r w:rsidR="003F2524" w:rsidRPr="004102AA">
        <w:rPr>
          <w:sz w:val="24"/>
          <w:szCs w:val="24"/>
        </w:rPr>
        <w:t>.</w:t>
      </w:r>
      <w:r w:rsidR="00A448ED" w:rsidRPr="004102AA">
        <w:rPr>
          <w:sz w:val="24"/>
          <w:szCs w:val="24"/>
        </w:rPr>
        <w:t xml:space="preserve"> At Δꞵ ±0.05 </w:t>
      </w:r>
      <w:r w:rsidR="001E2909" w:rsidRPr="004102AA">
        <w:rPr>
          <w:sz w:val="24"/>
          <w:szCs w:val="24"/>
        </w:rPr>
        <w:t xml:space="preserve">(B) </w:t>
      </w:r>
      <w:r w:rsidR="00A448ED" w:rsidRPr="004102AA">
        <w:rPr>
          <w:sz w:val="24"/>
          <w:szCs w:val="24"/>
        </w:rPr>
        <w:t>and Δꞵ ±0.2</w:t>
      </w:r>
      <w:r w:rsidR="001E2909" w:rsidRPr="004102AA">
        <w:rPr>
          <w:sz w:val="24"/>
          <w:szCs w:val="24"/>
        </w:rPr>
        <w:t xml:space="preserve"> (C) </w:t>
      </w:r>
      <w:r w:rsidR="00A448ED" w:rsidRPr="004102AA">
        <w:rPr>
          <w:sz w:val="24"/>
          <w:szCs w:val="24"/>
        </w:rPr>
        <w:t>th</w:t>
      </w:r>
      <w:r w:rsidR="006F5851" w:rsidRPr="004102AA">
        <w:rPr>
          <w:sz w:val="24"/>
          <w:szCs w:val="24"/>
        </w:rPr>
        <w:t>e</w:t>
      </w:r>
      <w:r w:rsidR="00A448ED" w:rsidRPr="004102AA">
        <w:rPr>
          <w:sz w:val="24"/>
          <w:szCs w:val="24"/>
        </w:rPr>
        <w:t xml:space="preserve"> study design successfully </w:t>
      </w:r>
      <w:r w:rsidR="00684D13" w:rsidRPr="004102AA">
        <w:rPr>
          <w:sz w:val="24"/>
          <w:szCs w:val="24"/>
        </w:rPr>
        <w:t>differentiates</w:t>
      </w:r>
      <w:r w:rsidR="00A448ED" w:rsidRPr="004102AA">
        <w:rPr>
          <w:sz w:val="24"/>
          <w:szCs w:val="24"/>
        </w:rPr>
        <w:t xml:space="preserve"> the beta distribution of normal and tumour samples for intermediate (ɸ = 50) and high (ɸ= 100) precision</w:t>
      </w:r>
      <w:r w:rsidR="00C30E1F" w:rsidRPr="004102AA">
        <w:rPr>
          <w:sz w:val="24"/>
          <w:szCs w:val="24"/>
        </w:rPr>
        <w:t>.</w:t>
      </w:r>
    </w:p>
    <w:p w14:paraId="1B743F01" w14:textId="2A7FF826" w:rsidR="009B58F1" w:rsidRPr="004102AA" w:rsidRDefault="006A02FF" w:rsidP="003B5CFD">
      <w:pPr>
        <w:jc w:val="both"/>
        <w:rPr>
          <w:b/>
          <w:bCs/>
          <w:sz w:val="24"/>
          <w:szCs w:val="24"/>
        </w:rPr>
      </w:pPr>
      <w:r w:rsidRPr="004102AA">
        <w:rPr>
          <w:b/>
          <w:bCs/>
          <w:noProof/>
          <w:sz w:val="24"/>
          <w:szCs w:val="24"/>
        </w:rPr>
        <w:drawing>
          <wp:inline distT="0" distB="0" distL="0" distR="0" wp14:anchorId="767B656A" wp14:editId="473CF68F">
            <wp:extent cx="5731510" cy="2962910"/>
            <wp:effectExtent l="0" t="0" r="2540" b="8890"/>
            <wp:docPr id="671186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86112" name="Picture 671186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962910"/>
                    </a:xfrm>
                    <a:prstGeom prst="rect">
                      <a:avLst/>
                    </a:prstGeom>
                  </pic:spPr>
                </pic:pic>
              </a:graphicData>
            </a:graphic>
          </wp:inline>
        </w:drawing>
      </w:r>
      <w:r w:rsidRPr="004102AA">
        <w:rPr>
          <w:b/>
          <w:bCs/>
          <w:sz w:val="24"/>
          <w:szCs w:val="24"/>
        </w:rPr>
        <w:t>Supplementary Fig S</w:t>
      </w:r>
      <w:r w:rsidR="00087204" w:rsidRPr="004102AA">
        <w:rPr>
          <w:b/>
          <w:bCs/>
          <w:sz w:val="24"/>
          <w:szCs w:val="24"/>
        </w:rPr>
        <w:t>4</w:t>
      </w:r>
      <w:r w:rsidRPr="004102AA">
        <w:rPr>
          <w:b/>
          <w:bCs/>
          <w:sz w:val="24"/>
          <w:szCs w:val="24"/>
        </w:rPr>
        <w:t>:</w:t>
      </w:r>
      <w:r w:rsidR="003378A7" w:rsidRPr="004102AA">
        <w:rPr>
          <w:b/>
          <w:bCs/>
          <w:sz w:val="24"/>
          <w:szCs w:val="24"/>
        </w:rPr>
        <w:t xml:space="preserve"> </w:t>
      </w:r>
      <w:r w:rsidR="00200D12" w:rsidRPr="004102AA">
        <w:rPr>
          <w:sz w:val="24"/>
          <w:szCs w:val="24"/>
        </w:rPr>
        <w:t xml:space="preserve">Principal </w:t>
      </w:r>
      <w:r w:rsidR="00CD35B3" w:rsidRPr="004102AA">
        <w:rPr>
          <w:sz w:val="24"/>
          <w:szCs w:val="24"/>
        </w:rPr>
        <w:t xml:space="preserve">component analysis </w:t>
      </w:r>
      <w:r w:rsidR="00730D18" w:rsidRPr="004102AA">
        <w:rPr>
          <w:sz w:val="24"/>
          <w:szCs w:val="24"/>
        </w:rPr>
        <w:t xml:space="preserve">(PCA) </w:t>
      </w:r>
      <w:r w:rsidR="007531B5" w:rsidRPr="004102AA">
        <w:rPr>
          <w:sz w:val="24"/>
          <w:szCs w:val="24"/>
        </w:rPr>
        <w:t>on</w:t>
      </w:r>
      <w:r w:rsidR="00FD54A4" w:rsidRPr="004102AA">
        <w:rPr>
          <w:sz w:val="24"/>
          <w:szCs w:val="24"/>
        </w:rPr>
        <w:t xml:space="preserve"> </w:t>
      </w:r>
      <w:r w:rsidR="000A3476" w:rsidRPr="004102AA">
        <w:rPr>
          <w:sz w:val="24"/>
          <w:szCs w:val="24"/>
        </w:rPr>
        <w:t>all normalized</w:t>
      </w:r>
      <w:r w:rsidR="007531B5" w:rsidRPr="004102AA">
        <w:rPr>
          <w:sz w:val="24"/>
          <w:szCs w:val="24"/>
        </w:rPr>
        <w:t xml:space="preserve"> beta (ꞵ) values</w:t>
      </w:r>
      <w:r w:rsidR="00CE7553" w:rsidRPr="004102AA">
        <w:rPr>
          <w:sz w:val="24"/>
          <w:szCs w:val="24"/>
        </w:rPr>
        <w:t xml:space="preserve"> of</w:t>
      </w:r>
      <w:r w:rsidR="00B56D0E" w:rsidRPr="004102AA">
        <w:rPr>
          <w:sz w:val="24"/>
          <w:szCs w:val="24"/>
        </w:rPr>
        <w:t xml:space="preserve"> </w:t>
      </w:r>
      <w:r w:rsidR="00C443A1" w:rsidRPr="004102AA">
        <w:rPr>
          <w:sz w:val="24"/>
          <w:szCs w:val="24"/>
        </w:rPr>
        <w:t xml:space="preserve">detection p-value cut-off satisfied CpG probes (N = </w:t>
      </w:r>
      <w:r w:rsidR="00002EED" w:rsidRPr="004102AA">
        <w:rPr>
          <w:sz w:val="24"/>
          <w:szCs w:val="24"/>
        </w:rPr>
        <w:t>~450k</w:t>
      </w:r>
      <w:r w:rsidR="00C443A1" w:rsidRPr="004102AA">
        <w:rPr>
          <w:sz w:val="24"/>
          <w:szCs w:val="24"/>
        </w:rPr>
        <w:t xml:space="preserve">) </w:t>
      </w:r>
      <w:r w:rsidR="00CE7553" w:rsidRPr="004102AA">
        <w:rPr>
          <w:sz w:val="24"/>
          <w:szCs w:val="24"/>
        </w:rPr>
        <w:t xml:space="preserve">from 14 paired tumour and adjacent normal </w:t>
      </w:r>
      <w:r w:rsidR="00EE3E62" w:rsidRPr="004102AA">
        <w:rPr>
          <w:sz w:val="24"/>
          <w:szCs w:val="24"/>
        </w:rPr>
        <w:t xml:space="preserve">tissues and 10 only OPSCC tissues </w:t>
      </w:r>
      <w:r w:rsidR="00957BD3" w:rsidRPr="004102AA">
        <w:rPr>
          <w:sz w:val="24"/>
          <w:szCs w:val="24"/>
        </w:rPr>
        <w:t>which ran on two sepa</w:t>
      </w:r>
      <w:r w:rsidR="00C35C80" w:rsidRPr="004102AA">
        <w:rPr>
          <w:sz w:val="24"/>
          <w:szCs w:val="24"/>
        </w:rPr>
        <w:t xml:space="preserve">rate batches respectively </w:t>
      </w:r>
      <w:r w:rsidR="00C479D6" w:rsidRPr="004102AA">
        <w:rPr>
          <w:sz w:val="24"/>
          <w:szCs w:val="24"/>
        </w:rPr>
        <w:t>revealed that variation ob</w:t>
      </w:r>
      <w:r w:rsidR="00213359" w:rsidRPr="004102AA">
        <w:rPr>
          <w:sz w:val="24"/>
          <w:szCs w:val="24"/>
        </w:rPr>
        <w:t xml:space="preserve">served not due to batch effect (B) but only </w:t>
      </w:r>
      <w:r w:rsidR="005449DA" w:rsidRPr="004102AA">
        <w:rPr>
          <w:sz w:val="24"/>
          <w:szCs w:val="24"/>
        </w:rPr>
        <w:t xml:space="preserve">due to </w:t>
      </w:r>
      <w:r w:rsidR="005F5F5C" w:rsidRPr="004102AA">
        <w:rPr>
          <w:sz w:val="24"/>
          <w:szCs w:val="24"/>
        </w:rPr>
        <w:lastRenderedPageBreak/>
        <w:t xml:space="preserve">tumour and normal </w:t>
      </w:r>
      <w:r w:rsidR="00610190" w:rsidRPr="004102AA">
        <w:rPr>
          <w:sz w:val="24"/>
          <w:szCs w:val="24"/>
        </w:rPr>
        <w:t>samples</w:t>
      </w:r>
      <w:r w:rsidR="00D82114" w:rsidRPr="004102AA">
        <w:rPr>
          <w:sz w:val="24"/>
          <w:szCs w:val="24"/>
        </w:rPr>
        <w:t xml:space="preserve"> inherent distinct molecular </w:t>
      </w:r>
      <w:r w:rsidR="00F50D77" w:rsidRPr="004102AA">
        <w:rPr>
          <w:sz w:val="24"/>
          <w:szCs w:val="24"/>
        </w:rPr>
        <w:t>signatures in terms of DNA methylation</w:t>
      </w:r>
      <w:r w:rsidR="005F5F5C" w:rsidRPr="004102AA">
        <w:rPr>
          <w:sz w:val="24"/>
          <w:szCs w:val="24"/>
        </w:rPr>
        <w:t xml:space="preserve">. Hence </w:t>
      </w:r>
      <w:r w:rsidR="00730D18" w:rsidRPr="004102AA">
        <w:rPr>
          <w:sz w:val="24"/>
          <w:szCs w:val="24"/>
        </w:rPr>
        <w:t>no batch effect observed</w:t>
      </w:r>
      <w:r w:rsidR="003B5CFD" w:rsidRPr="004102AA">
        <w:rPr>
          <w:sz w:val="24"/>
          <w:szCs w:val="24"/>
        </w:rPr>
        <w:t>.</w:t>
      </w:r>
    </w:p>
    <w:p w14:paraId="40970BA8" w14:textId="12D95116" w:rsidR="00224BB3" w:rsidRPr="004102AA" w:rsidRDefault="00224BB3" w:rsidP="00672614">
      <w:pPr>
        <w:rPr>
          <w:b/>
          <w:bCs/>
          <w:sz w:val="24"/>
          <w:szCs w:val="24"/>
        </w:rPr>
      </w:pPr>
      <w:r w:rsidRPr="004102AA">
        <w:rPr>
          <w:b/>
          <w:bCs/>
          <w:noProof/>
          <w:sz w:val="24"/>
          <w:szCs w:val="24"/>
        </w:rPr>
        <w:drawing>
          <wp:inline distT="0" distB="0" distL="0" distR="0" wp14:anchorId="3608754F" wp14:editId="39FF4A14">
            <wp:extent cx="5731510" cy="2549525"/>
            <wp:effectExtent l="0" t="0" r="2540" b="3175"/>
            <wp:docPr id="2092548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48902" name=""/>
                    <pic:cNvPicPr/>
                  </pic:nvPicPr>
                  <pic:blipFill>
                    <a:blip r:embed="rId10"/>
                    <a:stretch>
                      <a:fillRect/>
                    </a:stretch>
                  </pic:blipFill>
                  <pic:spPr>
                    <a:xfrm>
                      <a:off x="0" y="0"/>
                      <a:ext cx="5731510" cy="2549525"/>
                    </a:xfrm>
                    <a:prstGeom prst="rect">
                      <a:avLst/>
                    </a:prstGeom>
                  </pic:spPr>
                </pic:pic>
              </a:graphicData>
            </a:graphic>
          </wp:inline>
        </w:drawing>
      </w:r>
    </w:p>
    <w:p w14:paraId="03FC0266" w14:textId="77777777" w:rsidR="00224BB3" w:rsidRPr="004102AA" w:rsidRDefault="00224BB3" w:rsidP="00672614">
      <w:pPr>
        <w:rPr>
          <w:b/>
          <w:bCs/>
          <w:sz w:val="24"/>
          <w:szCs w:val="24"/>
        </w:rPr>
      </w:pPr>
    </w:p>
    <w:p w14:paraId="3D20121C" w14:textId="2EACAC76" w:rsidR="00F86A60" w:rsidRPr="004102AA" w:rsidRDefault="00D06BA1" w:rsidP="00D06BA1">
      <w:pPr>
        <w:jc w:val="both"/>
        <w:rPr>
          <w:sz w:val="24"/>
          <w:szCs w:val="24"/>
        </w:rPr>
      </w:pPr>
      <w:r w:rsidRPr="004102AA">
        <w:rPr>
          <w:b/>
          <w:bCs/>
          <w:sz w:val="24"/>
          <w:szCs w:val="24"/>
        </w:rPr>
        <w:t xml:space="preserve">Supplementary Fig </w:t>
      </w:r>
      <w:r w:rsidR="00F86A60" w:rsidRPr="004102AA">
        <w:rPr>
          <w:b/>
          <w:bCs/>
          <w:sz w:val="24"/>
          <w:szCs w:val="24"/>
        </w:rPr>
        <w:t>S</w:t>
      </w:r>
      <w:r w:rsidR="00087204" w:rsidRPr="004102AA">
        <w:rPr>
          <w:b/>
          <w:bCs/>
          <w:sz w:val="24"/>
          <w:szCs w:val="24"/>
        </w:rPr>
        <w:t>5</w:t>
      </w:r>
      <w:r w:rsidRPr="004102AA">
        <w:rPr>
          <w:b/>
          <w:bCs/>
          <w:sz w:val="24"/>
          <w:szCs w:val="24"/>
        </w:rPr>
        <w:t>:</w:t>
      </w:r>
      <w:r w:rsidRPr="004102AA">
        <w:rPr>
          <w:sz w:val="24"/>
          <w:szCs w:val="24"/>
        </w:rPr>
        <w:t xml:space="preserve"> Genebody specific DNA methylation profile of OPSCC tissues validated in independent set of tumour tissues of same cancer. </w:t>
      </w:r>
      <w:r w:rsidR="0082462B" w:rsidRPr="004102AA">
        <w:rPr>
          <w:sz w:val="24"/>
          <w:szCs w:val="24"/>
        </w:rPr>
        <w:t xml:space="preserve">(A) </w:t>
      </w:r>
      <w:r w:rsidRPr="004102AA">
        <w:rPr>
          <w:sz w:val="24"/>
          <w:szCs w:val="24"/>
        </w:rPr>
        <w:t>Tumour β values of 6,641 DMPs of discovery set (N=14) showed significantly strong correlation (Spearman ρ = 0.86 and P-value &lt; 2.2e-</w:t>
      </w:r>
      <w:r w:rsidRPr="004102AA">
        <w:rPr>
          <w:sz w:val="24"/>
          <w:szCs w:val="24"/>
          <w:vertAlign w:val="superscript"/>
        </w:rPr>
        <w:t>16</w:t>
      </w:r>
      <w:r w:rsidRPr="004102AA">
        <w:rPr>
          <w:sz w:val="24"/>
          <w:szCs w:val="24"/>
        </w:rPr>
        <w:t>) with that of the β values of same in validation set (N=10).</w:t>
      </w:r>
      <w:r w:rsidR="0082462B" w:rsidRPr="004102AA">
        <w:rPr>
          <w:sz w:val="24"/>
          <w:szCs w:val="24"/>
        </w:rPr>
        <w:t xml:space="preserve"> (B) The density scatter plot depicts CpG loci density in particular value position</w:t>
      </w:r>
      <w:r w:rsidR="00F86A60" w:rsidRPr="004102AA">
        <w:rPr>
          <w:sz w:val="24"/>
          <w:szCs w:val="24"/>
        </w:rPr>
        <w:t>.</w:t>
      </w:r>
    </w:p>
    <w:p w14:paraId="1267984A" w14:textId="3E66B049" w:rsidR="00F86A60" w:rsidRPr="004102AA" w:rsidRDefault="00D20B57" w:rsidP="00D06BA1">
      <w:pPr>
        <w:jc w:val="both"/>
        <w:rPr>
          <w:sz w:val="24"/>
          <w:szCs w:val="24"/>
        </w:rPr>
      </w:pPr>
      <w:r w:rsidRPr="004102AA">
        <w:rPr>
          <w:noProof/>
          <w:sz w:val="24"/>
          <w:szCs w:val="24"/>
        </w:rPr>
        <w:drawing>
          <wp:inline distT="0" distB="0" distL="0" distR="0" wp14:anchorId="0485C2AE" wp14:editId="077FA0C1">
            <wp:extent cx="5731510" cy="3259455"/>
            <wp:effectExtent l="0" t="0" r="2540" b="0"/>
            <wp:docPr id="14769424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42406" name="Picture 14769424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259455"/>
                    </a:xfrm>
                    <a:prstGeom prst="rect">
                      <a:avLst/>
                    </a:prstGeom>
                  </pic:spPr>
                </pic:pic>
              </a:graphicData>
            </a:graphic>
          </wp:inline>
        </w:drawing>
      </w:r>
    </w:p>
    <w:p w14:paraId="58D6AC25" w14:textId="35BF172A" w:rsidR="00D20B57" w:rsidRPr="004102AA" w:rsidRDefault="00D20B57" w:rsidP="00913482">
      <w:pPr>
        <w:jc w:val="both"/>
        <w:rPr>
          <w:b/>
          <w:bCs/>
          <w:sz w:val="24"/>
          <w:szCs w:val="24"/>
        </w:rPr>
      </w:pPr>
      <w:r w:rsidRPr="004102AA">
        <w:rPr>
          <w:b/>
          <w:bCs/>
          <w:sz w:val="24"/>
          <w:szCs w:val="24"/>
        </w:rPr>
        <w:t>Supplementary Fig S</w:t>
      </w:r>
      <w:r w:rsidR="00087204" w:rsidRPr="004102AA">
        <w:rPr>
          <w:b/>
          <w:bCs/>
          <w:sz w:val="24"/>
          <w:szCs w:val="24"/>
        </w:rPr>
        <w:t>6</w:t>
      </w:r>
      <w:r w:rsidRPr="004102AA">
        <w:rPr>
          <w:b/>
          <w:bCs/>
          <w:sz w:val="24"/>
          <w:szCs w:val="24"/>
        </w:rPr>
        <w:t>:</w:t>
      </w:r>
      <w:r w:rsidR="00040922" w:rsidRPr="004102AA">
        <w:rPr>
          <w:b/>
          <w:bCs/>
          <w:sz w:val="24"/>
          <w:szCs w:val="24"/>
        </w:rPr>
        <w:t xml:space="preserve"> </w:t>
      </w:r>
      <w:r w:rsidR="008624F6" w:rsidRPr="004102AA">
        <w:rPr>
          <w:sz w:val="24"/>
          <w:szCs w:val="24"/>
        </w:rPr>
        <w:t xml:space="preserve">Scatter plot </w:t>
      </w:r>
      <w:r w:rsidR="00AB65EB" w:rsidRPr="004102AA">
        <w:rPr>
          <w:sz w:val="24"/>
          <w:szCs w:val="24"/>
        </w:rPr>
        <w:t xml:space="preserve">of immune cell proportion (x-axis) </w:t>
      </w:r>
      <w:r w:rsidR="0024257B" w:rsidRPr="004102AA">
        <w:rPr>
          <w:sz w:val="24"/>
          <w:szCs w:val="24"/>
        </w:rPr>
        <w:t xml:space="preserve">and age (y-axis) with </w:t>
      </w:r>
      <w:r w:rsidR="001F51C0" w:rsidRPr="004102AA">
        <w:rPr>
          <w:sz w:val="24"/>
          <w:szCs w:val="24"/>
        </w:rPr>
        <w:t xml:space="preserve">best-fit </w:t>
      </w:r>
      <w:r w:rsidR="00040922" w:rsidRPr="004102AA">
        <w:rPr>
          <w:sz w:val="24"/>
          <w:szCs w:val="24"/>
        </w:rPr>
        <w:t xml:space="preserve">regression </w:t>
      </w:r>
      <w:r w:rsidR="0024257B" w:rsidRPr="004102AA">
        <w:rPr>
          <w:sz w:val="24"/>
          <w:szCs w:val="24"/>
        </w:rPr>
        <w:t xml:space="preserve">line </w:t>
      </w:r>
      <w:r w:rsidR="00040922" w:rsidRPr="004102AA">
        <w:rPr>
          <w:sz w:val="24"/>
          <w:szCs w:val="24"/>
        </w:rPr>
        <w:t>revealed that the patients’ age has a significant effect on the differential proportions of cytotoxic CD8+ T cells (intercept: 0.1594, slope: –0.004484</w:t>
      </w:r>
      <w:r w:rsidR="006414E1" w:rsidRPr="004102AA">
        <w:rPr>
          <w:sz w:val="24"/>
          <w:szCs w:val="24"/>
        </w:rPr>
        <w:t>) (A)</w:t>
      </w:r>
      <w:r w:rsidR="00040922" w:rsidRPr="004102AA">
        <w:rPr>
          <w:sz w:val="24"/>
          <w:szCs w:val="24"/>
        </w:rPr>
        <w:t xml:space="preserve"> and neutrophils (intercept: -0.179874, slope: 0.005015)</w:t>
      </w:r>
      <w:r w:rsidR="006414E1" w:rsidRPr="004102AA">
        <w:rPr>
          <w:sz w:val="24"/>
          <w:szCs w:val="24"/>
        </w:rPr>
        <w:t xml:space="preserve"> (B)</w:t>
      </w:r>
      <w:r w:rsidR="00040922" w:rsidRPr="004102AA">
        <w:rPr>
          <w:sz w:val="24"/>
          <w:szCs w:val="24"/>
        </w:rPr>
        <w:t xml:space="preserve"> in tumour tissues respectively</w:t>
      </w:r>
      <w:r w:rsidR="006414E1" w:rsidRPr="004102AA">
        <w:rPr>
          <w:sz w:val="24"/>
          <w:szCs w:val="24"/>
        </w:rPr>
        <w:t>.</w:t>
      </w:r>
    </w:p>
    <w:p w14:paraId="48D995FD" w14:textId="77777777" w:rsidR="00CB526B" w:rsidRPr="004102AA" w:rsidRDefault="00CB526B" w:rsidP="00D06BA1">
      <w:pPr>
        <w:jc w:val="both"/>
        <w:rPr>
          <w:sz w:val="24"/>
          <w:szCs w:val="24"/>
        </w:rPr>
      </w:pPr>
    </w:p>
    <w:p w14:paraId="3F2ADE81" w14:textId="50D0B62E" w:rsidR="00224BB3" w:rsidRPr="004102AA" w:rsidRDefault="00224BB3" w:rsidP="00672614">
      <w:pPr>
        <w:rPr>
          <w:b/>
          <w:bCs/>
          <w:sz w:val="24"/>
          <w:szCs w:val="24"/>
        </w:rPr>
      </w:pPr>
      <w:r w:rsidRPr="004102AA">
        <w:rPr>
          <w:b/>
          <w:bCs/>
          <w:noProof/>
          <w:sz w:val="24"/>
          <w:szCs w:val="24"/>
        </w:rPr>
        <w:drawing>
          <wp:inline distT="0" distB="0" distL="0" distR="0" wp14:anchorId="71E9E577" wp14:editId="7080199B">
            <wp:extent cx="5731510" cy="3087682"/>
            <wp:effectExtent l="0" t="0" r="2540" b="0"/>
            <wp:docPr id="193758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85123" name=""/>
                    <pic:cNvPicPr/>
                  </pic:nvPicPr>
                  <pic:blipFill>
                    <a:blip r:embed="rId12"/>
                    <a:stretch>
                      <a:fillRect/>
                    </a:stretch>
                  </pic:blipFill>
                  <pic:spPr>
                    <a:xfrm>
                      <a:off x="0" y="0"/>
                      <a:ext cx="5731510" cy="3087682"/>
                    </a:xfrm>
                    <a:prstGeom prst="rect">
                      <a:avLst/>
                    </a:prstGeom>
                  </pic:spPr>
                </pic:pic>
              </a:graphicData>
            </a:graphic>
          </wp:inline>
        </w:drawing>
      </w:r>
    </w:p>
    <w:p w14:paraId="14AEDB89" w14:textId="16FE9FC1" w:rsidR="007F5596" w:rsidRPr="004102AA" w:rsidRDefault="004E13F7" w:rsidP="004E13F7">
      <w:pPr>
        <w:jc w:val="both"/>
        <w:rPr>
          <w:sz w:val="24"/>
          <w:szCs w:val="24"/>
        </w:rPr>
      </w:pPr>
      <w:r w:rsidRPr="004102AA">
        <w:rPr>
          <w:b/>
          <w:bCs/>
          <w:sz w:val="24"/>
          <w:szCs w:val="24"/>
        </w:rPr>
        <w:t xml:space="preserve">Supplementary Fig </w:t>
      </w:r>
      <w:r w:rsidR="00D20B57" w:rsidRPr="004102AA">
        <w:rPr>
          <w:b/>
          <w:bCs/>
          <w:sz w:val="24"/>
          <w:szCs w:val="24"/>
        </w:rPr>
        <w:t>S</w:t>
      </w:r>
      <w:r w:rsidR="00087204" w:rsidRPr="004102AA">
        <w:rPr>
          <w:b/>
          <w:bCs/>
          <w:sz w:val="24"/>
          <w:szCs w:val="24"/>
        </w:rPr>
        <w:t>7</w:t>
      </w:r>
      <w:r w:rsidRPr="004102AA">
        <w:rPr>
          <w:b/>
          <w:bCs/>
          <w:sz w:val="24"/>
          <w:szCs w:val="24"/>
        </w:rPr>
        <w:t xml:space="preserve">: </w:t>
      </w:r>
      <w:r w:rsidRPr="004102AA">
        <w:rPr>
          <w:sz w:val="24"/>
          <w:szCs w:val="24"/>
        </w:rPr>
        <w:t xml:space="preserve">Scatter plots of average β values in </w:t>
      </w:r>
      <w:proofErr w:type="spellStart"/>
      <w:r w:rsidRPr="004102AA">
        <w:rPr>
          <w:sz w:val="24"/>
          <w:szCs w:val="24"/>
        </w:rPr>
        <w:t>tumor</w:t>
      </w:r>
      <w:proofErr w:type="spellEnd"/>
      <w:r w:rsidRPr="004102AA">
        <w:rPr>
          <w:sz w:val="24"/>
          <w:szCs w:val="24"/>
        </w:rPr>
        <w:t xml:space="preserve"> of 24 OPSCC patients from North Eastern Indian states and publicly available 78 OPSCC patients from TCGA-HNSCC cohort considering genebody specific (A) 4566 hypermethylated and (C) 1875 hypomethylated DMPs revealed significant strong correlation (</w:t>
      </w:r>
      <w:r w:rsidRPr="004102AA">
        <w:rPr>
          <w:i/>
          <w:iCs/>
          <w:sz w:val="24"/>
          <w:szCs w:val="24"/>
        </w:rPr>
        <w:t>ρ</w:t>
      </w:r>
      <w:r w:rsidRPr="004102AA">
        <w:rPr>
          <w:sz w:val="24"/>
          <w:szCs w:val="24"/>
        </w:rPr>
        <w:t xml:space="preserve"> = 0.8; p-value &lt; 2.2x10</w:t>
      </w:r>
      <w:r w:rsidRPr="004102AA">
        <w:rPr>
          <w:sz w:val="24"/>
          <w:szCs w:val="24"/>
          <w:vertAlign w:val="superscript"/>
        </w:rPr>
        <w:t>−16</w:t>
      </w:r>
      <w:r w:rsidRPr="004102AA">
        <w:rPr>
          <w:sz w:val="24"/>
          <w:szCs w:val="24"/>
        </w:rPr>
        <w:t xml:space="preserve"> and </w:t>
      </w:r>
      <w:r w:rsidRPr="004102AA">
        <w:rPr>
          <w:i/>
          <w:iCs/>
          <w:sz w:val="24"/>
          <w:szCs w:val="24"/>
        </w:rPr>
        <w:t>ρ</w:t>
      </w:r>
      <w:r w:rsidRPr="004102AA">
        <w:rPr>
          <w:sz w:val="24"/>
          <w:szCs w:val="24"/>
        </w:rPr>
        <w:t xml:space="preserve"> = 0.9; p-value &lt; 2.2x10</w:t>
      </w:r>
      <w:r w:rsidRPr="004102AA">
        <w:rPr>
          <w:sz w:val="24"/>
          <w:szCs w:val="24"/>
          <w:vertAlign w:val="superscript"/>
        </w:rPr>
        <w:t>−16</w:t>
      </w:r>
      <w:r w:rsidRPr="004102AA">
        <w:rPr>
          <w:sz w:val="24"/>
          <w:szCs w:val="24"/>
        </w:rPr>
        <w:t xml:space="preserve"> respectively); (B,D) The density scatter plot depicts CpG loci density in particular value position for hypermethylated and hypomethylated DMPs; (E) Unsupervised hierarchical clustering and heatmap  of log normalized FPKM values of 14 pairs of </w:t>
      </w:r>
      <w:proofErr w:type="spellStart"/>
      <w:r w:rsidRPr="004102AA">
        <w:rPr>
          <w:sz w:val="24"/>
          <w:szCs w:val="24"/>
        </w:rPr>
        <w:t>tumor</w:t>
      </w:r>
      <w:proofErr w:type="spellEnd"/>
      <w:r w:rsidRPr="004102AA">
        <w:rPr>
          <w:sz w:val="24"/>
          <w:szCs w:val="24"/>
        </w:rPr>
        <w:t xml:space="preserve"> and adjacent normal tissues and 78 OPSCC TCGA data of the DEGs (N=1538) revealed two major cluster - cluster I of normal samples and cluster II of all </w:t>
      </w:r>
      <w:proofErr w:type="spellStart"/>
      <w:r w:rsidRPr="004102AA">
        <w:rPr>
          <w:sz w:val="24"/>
          <w:szCs w:val="24"/>
        </w:rPr>
        <w:t>tumor</w:t>
      </w:r>
      <w:proofErr w:type="spellEnd"/>
      <w:r w:rsidRPr="004102AA">
        <w:rPr>
          <w:sz w:val="24"/>
          <w:szCs w:val="24"/>
        </w:rPr>
        <w:t xml:space="preserve"> samples.</w:t>
      </w:r>
    </w:p>
    <w:p w14:paraId="0FE2288A" w14:textId="77777777" w:rsidR="00D20B57" w:rsidRPr="004102AA" w:rsidRDefault="00D20B57" w:rsidP="004E13F7">
      <w:pPr>
        <w:jc w:val="both"/>
        <w:rPr>
          <w:sz w:val="24"/>
          <w:szCs w:val="24"/>
        </w:rPr>
      </w:pPr>
    </w:p>
    <w:p w14:paraId="78AE68A8" w14:textId="74AD7F9B" w:rsidR="00D20B57" w:rsidRPr="004102AA" w:rsidRDefault="00D20B57" w:rsidP="004E13F7">
      <w:pPr>
        <w:jc w:val="both"/>
        <w:rPr>
          <w:sz w:val="24"/>
          <w:szCs w:val="24"/>
        </w:rPr>
      </w:pPr>
      <w:r w:rsidRPr="004102AA">
        <w:rPr>
          <w:noProof/>
          <w:sz w:val="24"/>
          <w:szCs w:val="24"/>
        </w:rPr>
        <w:lastRenderedPageBreak/>
        <w:drawing>
          <wp:inline distT="0" distB="0" distL="0" distR="0" wp14:anchorId="66CCE9E4" wp14:editId="6A458156">
            <wp:extent cx="5731510" cy="4350385"/>
            <wp:effectExtent l="0" t="0" r="2540" b="0"/>
            <wp:docPr id="13496780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78087" name="Picture 134967808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350385"/>
                    </a:xfrm>
                    <a:prstGeom prst="rect">
                      <a:avLst/>
                    </a:prstGeom>
                  </pic:spPr>
                </pic:pic>
              </a:graphicData>
            </a:graphic>
          </wp:inline>
        </w:drawing>
      </w:r>
    </w:p>
    <w:p w14:paraId="5F31C4BA" w14:textId="28F67A73" w:rsidR="00D20B57" w:rsidRPr="004102AA" w:rsidRDefault="00D20B57" w:rsidP="006D13C0">
      <w:pPr>
        <w:jc w:val="both"/>
        <w:rPr>
          <w:sz w:val="24"/>
          <w:szCs w:val="24"/>
        </w:rPr>
      </w:pPr>
      <w:r w:rsidRPr="004102AA">
        <w:rPr>
          <w:b/>
          <w:bCs/>
          <w:sz w:val="24"/>
          <w:szCs w:val="24"/>
        </w:rPr>
        <w:t>Supplementary Fig S</w:t>
      </w:r>
      <w:r w:rsidR="00087204" w:rsidRPr="004102AA">
        <w:rPr>
          <w:b/>
          <w:bCs/>
          <w:sz w:val="24"/>
          <w:szCs w:val="24"/>
        </w:rPr>
        <w:t>8</w:t>
      </w:r>
      <w:r w:rsidRPr="004102AA">
        <w:rPr>
          <w:b/>
          <w:bCs/>
          <w:sz w:val="24"/>
          <w:szCs w:val="24"/>
        </w:rPr>
        <w:t>:</w:t>
      </w:r>
      <w:r w:rsidR="006D13C0" w:rsidRPr="004102AA">
        <w:rPr>
          <w:b/>
          <w:bCs/>
          <w:sz w:val="24"/>
          <w:szCs w:val="24"/>
        </w:rPr>
        <w:t xml:space="preserve"> </w:t>
      </w:r>
      <w:r w:rsidR="006D13C0" w:rsidRPr="004102AA">
        <w:rPr>
          <w:sz w:val="24"/>
          <w:szCs w:val="24"/>
        </w:rPr>
        <w:t xml:space="preserve">Methylation and gene-expression profiles of the key genes TDO2 </w:t>
      </w:r>
      <w:r w:rsidR="00D076A0" w:rsidRPr="004102AA">
        <w:rPr>
          <w:sz w:val="24"/>
          <w:szCs w:val="24"/>
        </w:rPr>
        <w:t>(A</w:t>
      </w:r>
      <w:r w:rsidR="0023703B" w:rsidRPr="004102AA">
        <w:rPr>
          <w:sz w:val="24"/>
          <w:szCs w:val="24"/>
        </w:rPr>
        <w:t>, C</w:t>
      </w:r>
      <w:r w:rsidR="00D076A0" w:rsidRPr="004102AA">
        <w:rPr>
          <w:sz w:val="24"/>
          <w:szCs w:val="24"/>
        </w:rPr>
        <w:t>)</w:t>
      </w:r>
      <w:r w:rsidR="00162373" w:rsidRPr="004102AA">
        <w:rPr>
          <w:sz w:val="24"/>
          <w:szCs w:val="24"/>
        </w:rPr>
        <w:t xml:space="preserve"> </w:t>
      </w:r>
      <w:r w:rsidR="006D13C0" w:rsidRPr="004102AA">
        <w:rPr>
          <w:sz w:val="24"/>
          <w:szCs w:val="24"/>
        </w:rPr>
        <w:t xml:space="preserve">and KYNU </w:t>
      </w:r>
      <w:r w:rsidR="0023703B" w:rsidRPr="004102AA">
        <w:rPr>
          <w:sz w:val="24"/>
          <w:szCs w:val="24"/>
        </w:rPr>
        <w:t>(B,</w:t>
      </w:r>
      <w:r w:rsidR="00961E57" w:rsidRPr="004102AA">
        <w:rPr>
          <w:sz w:val="24"/>
          <w:szCs w:val="24"/>
        </w:rPr>
        <w:t xml:space="preserve"> </w:t>
      </w:r>
      <w:r w:rsidR="0023703B" w:rsidRPr="004102AA">
        <w:rPr>
          <w:sz w:val="24"/>
          <w:szCs w:val="24"/>
        </w:rPr>
        <w:t xml:space="preserve">D) </w:t>
      </w:r>
      <w:r w:rsidR="006D13C0" w:rsidRPr="004102AA">
        <w:rPr>
          <w:sz w:val="24"/>
          <w:szCs w:val="24"/>
        </w:rPr>
        <w:t>demonstrated that both genes are significantly hypermethylated and upregulated in the OPSCC samples of our cohort compared with TCGA-OPSCC samples, irrespective of HPV status</w:t>
      </w:r>
      <w:r w:rsidR="00D806CA" w:rsidRPr="004102AA">
        <w:rPr>
          <w:sz w:val="24"/>
          <w:szCs w:val="24"/>
        </w:rPr>
        <w:t>.</w:t>
      </w:r>
      <w:r w:rsidR="005B6003" w:rsidRPr="004102AA">
        <w:rPr>
          <w:sz w:val="24"/>
          <w:szCs w:val="24"/>
        </w:rPr>
        <w:t xml:space="preserve"> </w:t>
      </w:r>
    </w:p>
    <w:p w14:paraId="66CD65B7" w14:textId="77777777" w:rsidR="005B6003" w:rsidRPr="004102AA" w:rsidRDefault="005B6003" w:rsidP="006D13C0">
      <w:pPr>
        <w:jc w:val="both"/>
        <w:rPr>
          <w:b/>
          <w:bCs/>
          <w:sz w:val="24"/>
          <w:szCs w:val="24"/>
        </w:rPr>
      </w:pPr>
    </w:p>
    <w:p w14:paraId="3EB5CC68" w14:textId="77777777" w:rsidR="00D20B57" w:rsidRPr="004102AA" w:rsidRDefault="00D20B57" w:rsidP="004E13F7">
      <w:pPr>
        <w:jc w:val="both"/>
        <w:rPr>
          <w:sz w:val="24"/>
          <w:szCs w:val="24"/>
        </w:rPr>
      </w:pPr>
    </w:p>
    <w:p w14:paraId="53C25626" w14:textId="77777777" w:rsidR="00D20B57" w:rsidRPr="004102AA" w:rsidRDefault="00D20B57" w:rsidP="004E13F7">
      <w:pPr>
        <w:jc w:val="both"/>
        <w:rPr>
          <w:sz w:val="24"/>
          <w:szCs w:val="24"/>
        </w:rPr>
      </w:pPr>
    </w:p>
    <w:p w14:paraId="1CA541EE" w14:textId="77777777" w:rsidR="00D20B57" w:rsidRPr="004102AA" w:rsidRDefault="00D20B57" w:rsidP="004E13F7">
      <w:pPr>
        <w:jc w:val="both"/>
        <w:rPr>
          <w:sz w:val="24"/>
          <w:szCs w:val="24"/>
        </w:rPr>
      </w:pPr>
    </w:p>
    <w:p w14:paraId="28812D06" w14:textId="77777777" w:rsidR="00D20B57" w:rsidRPr="004102AA" w:rsidRDefault="00D20B57" w:rsidP="004E13F7">
      <w:pPr>
        <w:jc w:val="both"/>
        <w:rPr>
          <w:sz w:val="24"/>
          <w:szCs w:val="24"/>
        </w:rPr>
      </w:pPr>
    </w:p>
    <w:p w14:paraId="354927FC" w14:textId="77777777" w:rsidR="00D20B57" w:rsidRPr="004102AA" w:rsidRDefault="00D20B57" w:rsidP="004E13F7">
      <w:pPr>
        <w:jc w:val="both"/>
        <w:rPr>
          <w:sz w:val="24"/>
          <w:szCs w:val="24"/>
        </w:rPr>
      </w:pPr>
    </w:p>
    <w:p w14:paraId="6FF35C0D" w14:textId="77777777" w:rsidR="00D20B57" w:rsidRPr="004102AA" w:rsidRDefault="00D20B57" w:rsidP="004E13F7">
      <w:pPr>
        <w:jc w:val="both"/>
        <w:rPr>
          <w:sz w:val="24"/>
          <w:szCs w:val="24"/>
        </w:rPr>
      </w:pPr>
    </w:p>
    <w:p w14:paraId="58846A24" w14:textId="77777777" w:rsidR="00D20B57" w:rsidRPr="004102AA" w:rsidRDefault="00D20B57" w:rsidP="004E13F7">
      <w:pPr>
        <w:jc w:val="both"/>
        <w:rPr>
          <w:sz w:val="24"/>
          <w:szCs w:val="24"/>
        </w:rPr>
      </w:pPr>
    </w:p>
    <w:p w14:paraId="01D87F89" w14:textId="77777777" w:rsidR="00D20B57" w:rsidRPr="004102AA" w:rsidRDefault="00D20B57" w:rsidP="004E13F7">
      <w:pPr>
        <w:jc w:val="both"/>
        <w:rPr>
          <w:sz w:val="24"/>
          <w:szCs w:val="24"/>
        </w:rPr>
      </w:pPr>
    </w:p>
    <w:p w14:paraId="36C160CE" w14:textId="77777777" w:rsidR="00650FA6" w:rsidRPr="004102AA" w:rsidRDefault="00650FA6" w:rsidP="004E13F7">
      <w:pPr>
        <w:jc w:val="both"/>
        <w:rPr>
          <w:sz w:val="24"/>
          <w:szCs w:val="24"/>
        </w:rPr>
      </w:pPr>
    </w:p>
    <w:p w14:paraId="34EB7CF7" w14:textId="77777777" w:rsidR="00D75B2C" w:rsidRPr="004102AA" w:rsidRDefault="00D75B2C" w:rsidP="004E13F7">
      <w:pPr>
        <w:jc w:val="both"/>
        <w:rPr>
          <w:b/>
          <w:bCs/>
          <w:sz w:val="28"/>
          <w:szCs w:val="28"/>
        </w:rPr>
      </w:pPr>
    </w:p>
    <w:p w14:paraId="58AE1AC9" w14:textId="7486D910" w:rsidR="00650FA6" w:rsidRPr="004102AA" w:rsidRDefault="004E0DEF" w:rsidP="004E13F7">
      <w:pPr>
        <w:jc w:val="both"/>
        <w:rPr>
          <w:b/>
          <w:bCs/>
          <w:sz w:val="28"/>
          <w:szCs w:val="28"/>
        </w:rPr>
      </w:pPr>
      <w:r w:rsidRPr="004102AA">
        <w:rPr>
          <w:b/>
          <w:bCs/>
          <w:sz w:val="28"/>
          <w:szCs w:val="28"/>
        </w:rPr>
        <w:lastRenderedPageBreak/>
        <w:t xml:space="preserve">Supplementary </w:t>
      </w:r>
      <w:r w:rsidR="00650FA6" w:rsidRPr="004102AA">
        <w:rPr>
          <w:b/>
          <w:bCs/>
          <w:sz w:val="28"/>
          <w:szCs w:val="28"/>
        </w:rPr>
        <w:t>References</w:t>
      </w:r>
    </w:p>
    <w:p w14:paraId="7D0CF7A8" w14:textId="77777777" w:rsidR="003367D7" w:rsidRPr="004102AA" w:rsidRDefault="00BF6DBB" w:rsidP="003E26D8">
      <w:pPr>
        <w:pStyle w:val="ListParagraph"/>
        <w:numPr>
          <w:ilvl w:val="0"/>
          <w:numId w:val="1"/>
        </w:numPr>
        <w:rPr>
          <w:rFonts w:cstheme="minorHAnsi"/>
        </w:rPr>
      </w:pPr>
      <w:proofErr w:type="spellStart"/>
      <w:r w:rsidRPr="004102AA">
        <w:rPr>
          <w:rFonts w:cstheme="minorHAnsi"/>
        </w:rPr>
        <w:t>Bibikova</w:t>
      </w:r>
      <w:proofErr w:type="spellEnd"/>
      <w:r w:rsidRPr="004102AA">
        <w:rPr>
          <w:rFonts w:cstheme="minorHAnsi"/>
        </w:rPr>
        <w:t xml:space="preserve"> M, Barnes B, Tsan C, Ho V, </w:t>
      </w:r>
      <w:proofErr w:type="spellStart"/>
      <w:r w:rsidRPr="004102AA">
        <w:rPr>
          <w:rFonts w:cstheme="minorHAnsi"/>
        </w:rPr>
        <w:t>Klotzle</w:t>
      </w:r>
      <w:proofErr w:type="spellEnd"/>
      <w:r w:rsidRPr="004102AA">
        <w:rPr>
          <w:rFonts w:cstheme="minorHAnsi"/>
        </w:rPr>
        <w:t xml:space="preserve"> B, Le JM, Delano D, Zhang L, Schroth GP, Gunderson KL, Fan JB, Shen R. High density DNA methylation array with single CpG site resolution. Genomics. 2011 Oct;98(4):288-95. </w:t>
      </w:r>
      <w:proofErr w:type="spellStart"/>
      <w:r w:rsidRPr="004102AA">
        <w:rPr>
          <w:rFonts w:cstheme="minorHAnsi"/>
        </w:rPr>
        <w:t>doi</w:t>
      </w:r>
      <w:proofErr w:type="spellEnd"/>
      <w:r w:rsidRPr="004102AA">
        <w:rPr>
          <w:rFonts w:cstheme="minorHAnsi"/>
        </w:rPr>
        <w:t xml:space="preserve">: 10.1016/j.ygeno.2011.07.007. </w:t>
      </w:r>
      <w:proofErr w:type="spellStart"/>
      <w:r w:rsidRPr="004102AA">
        <w:rPr>
          <w:rFonts w:cstheme="minorHAnsi"/>
        </w:rPr>
        <w:t>Epub</w:t>
      </w:r>
      <w:proofErr w:type="spellEnd"/>
      <w:r w:rsidRPr="004102AA">
        <w:rPr>
          <w:rFonts w:cstheme="minorHAnsi"/>
        </w:rPr>
        <w:t xml:space="preserve"> 2011 Aug 2. PMID: 21839163.</w:t>
      </w:r>
      <w:r w:rsidR="003367D7" w:rsidRPr="004102AA">
        <w:t xml:space="preserve"> </w:t>
      </w:r>
    </w:p>
    <w:p w14:paraId="299EC06A" w14:textId="77777777" w:rsidR="003367D7" w:rsidRPr="004102AA" w:rsidRDefault="003367D7" w:rsidP="003367D7">
      <w:pPr>
        <w:pStyle w:val="ListParagraph"/>
        <w:rPr>
          <w:rFonts w:cstheme="minorHAnsi"/>
        </w:rPr>
      </w:pPr>
    </w:p>
    <w:p w14:paraId="1C87D5AC" w14:textId="77777777" w:rsidR="003367D7" w:rsidRPr="004102AA" w:rsidRDefault="003367D7" w:rsidP="003E26D8">
      <w:pPr>
        <w:pStyle w:val="ListParagraph"/>
        <w:numPr>
          <w:ilvl w:val="0"/>
          <w:numId w:val="1"/>
        </w:numPr>
        <w:rPr>
          <w:rFonts w:cstheme="minorHAnsi"/>
        </w:rPr>
      </w:pPr>
      <w:r w:rsidRPr="004102AA">
        <w:rPr>
          <w:rFonts w:cstheme="minorHAnsi"/>
        </w:rPr>
        <w:t xml:space="preserve">Ghosh A, Sinha A, Ghosh A, Roy S, Mallick S, Kumar V, Mathai S, Bhaumik J, Mukhopadhyay A, Sen S, Chandra A, Maitra A, Biswas NK, Majumder PP, Sengupta S. Biological and clinical relevance of correlated expression levels of coding and long noncoding RNAs in HPV16 positive cervical cancers. Hum Genomics. 2024 Aug 29;18(1):91. </w:t>
      </w:r>
      <w:proofErr w:type="spellStart"/>
      <w:r w:rsidRPr="004102AA">
        <w:rPr>
          <w:rFonts w:cstheme="minorHAnsi"/>
        </w:rPr>
        <w:t>doi</w:t>
      </w:r>
      <w:proofErr w:type="spellEnd"/>
      <w:r w:rsidRPr="004102AA">
        <w:rPr>
          <w:rFonts w:cstheme="minorHAnsi"/>
        </w:rPr>
        <w:t>: 10.1186/s40246-024-00660-2. PMID: 39210444; PMCID: PMC11360852.</w:t>
      </w:r>
      <w:r w:rsidRPr="004102AA">
        <w:t xml:space="preserve"> </w:t>
      </w:r>
    </w:p>
    <w:p w14:paraId="221CF719" w14:textId="77777777" w:rsidR="003367D7" w:rsidRPr="004102AA" w:rsidRDefault="003367D7" w:rsidP="003367D7">
      <w:pPr>
        <w:pStyle w:val="ListParagraph"/>
        <w:rPr>
          <w:rFonts w:cstheme="minorHAnsi"/>
        </w:rPr>
      </w:pPr>
    </w:p>
    <w:p w14:paraId="076F2934" w14:textId="77777777" w:rsidR="00E04F92" w:rsidRPr="004102AA" w:rsidRDefault="003367D7" w:rsidP="003E26D8">
      <w:pPr>
        <w:pStyle w:val="ListParagraph"/>
        <w:numPr>
          <w:ilvl w:val="0"/>
          <w:numId w:val="1"/>
        </w:numPr>
        <w:rPr>
          <w:rFonts w:cstheme="minorHAnsi"/>
        </w:rPr>
      </w:pPr>
      <w:r w:rsidRPr="004102AA">
        <w:rPr>
          <w:rFonts w:cstheme="minorHAnsi"/>
        </w:rPr>
        <w:t xml:space="preserve">Dobin A, Davis CA, Schlesinger F, </w:t>
      </w:r>
      <w:proofErr w:type="spellStart"/>
      <w:r w:rsidRPr="004102AA">
        <w:rPr>
          <w:rFonts w:cstheme="minorHAnsi"/>
        </w:rPr>
        <w:t>Drenkow</w:t>
      </w:r>
      <w:proofErr w:type="spellEnd"/>
      <w:r w:rsidRPr="004102AA">
        <w:rPr>
          <w:rFonts w:cstheme="minorHAnsi"/>
        </w:rPr>
        <w:t xml:space="preserve"> J, Zaleski C, Jha S, </w:t>
      </w:r>
      <w:proofErr w:type="spellStart"/>
      <w:r w:rsidRPr="004102AA">
        <w:rPr>
          <w:rFonts w:cstheme="minorHAnsi"/>
        </w:rPr>
        <w:t>Batut</w:t>
      </w:r>
      <w:proofErr w:type="spellEnd"/>
      <w:r w:rsidRPr="004102AA">
        <w:rPr>
          <w:rFonts w:cstheme="minorHAnsi"/>
        </w:rPr>
        <w:t xml:space="preserve"> P, Chaisson M, </w:t>
      </w:r>
      <w:proofErr w:type="spellStart"/>
      <w:r w:rsidRPr="004102AA">
        <w:rPr>
          <w:rFonts w:cstheme="minorHAnsi"/>
        </w:rPr>
        <w:t>Gingeras</w:t>
      </w:r>
      <w:proofErr w:type="spellEnd"/>
      <w:r w:rsidRPr="004102AA">
        <w:rPr>
          <w:rFonts w:cstheme="minorHAnsi"/>
        </w:rPr>
        <w:t xml:space="preserve"> TR. STAR: ultrafast universal RNA-</w:t>
      </w:r>
      <w:proofErr w:type="spellStart"/>
      <w:r w:rsidRPr="004102AA">
        <w:rPr>
          <w:rFonts w:cstheme="minorHAnsi"/>
        </w:rPr>
        <w:t>seq</w:t>
      </w:r>
      <w:proofErr w:type="spellEnd"/>
      <w:r w:rsidRPr="004102AA">
        <w:rPr>
          <w:rFonts w:cstheme="minorHAnsi"/>
        </w:rPr>
        <w:t xml:space="preserve"> aligner. Bioinformatics. 2013 Jan 1;29(1):15-21. </w:t>
      </w:r>
      <w:proofErr w:type="spellStart"/>
      <w:r w:rsidRPr="004102AA">
        <w:rPr>
          <w:rFonts w:cstheme="minorHAnsi"/>
        </w:rPr>
        <w:t>doi</w:t>
      </w:r>
      <w:proofErr w:type="spellEnd"/>
      <w:r w:rsidRPr="004102AA">
        <w:rPr>
          <w:rFonts w:cstheme="minorHAnsi"/>
        </w:rPr>
        <w:t xml:space="preserve">: 10.1093/bioinformatics/bts635. </w:t>
      </w:r>
      <w:proofErr w:type="spellStart"/>
      <w:r w:rsidRPr="004102AA">
        <w:rPr>
          <w:rFonts w:cstheme="minorHAnsi"/>
        </w:rPr>
        <w:t>Epub</w:t>
      </w:r>
      <w:proofErr w:type="spellEnd"/>
      <w:r w:rsidRPr="004102AA">
        <w:rPr>
          <w:rFonts w:cstheme="minorHAnsi"/>
        </w:rPr>
        <w:t xml:space="preserve"> 2012 Oct 25. PMID: 23104886; PMCID: PMC3530905.</w:t>
      </w:r>
      <w:r w:rsidR="00E04F92" w:rsidRPr="004102AA">
        <w:t xml:space="preserve"> </w:t>
      </w:r>
    </w:p>
    <w:p w14:paraId="4E8C7114" w14:textId="77777777" w:rsidR="00E04F92" w:rsidRPr="004102AA" w:rsidRDefault="00E04F92" w:rsidP="00E04F92">
      <w:pPr>
        <w:pStyle w:val="ListParagraph"/>
        <w:rPr>
          <w:rFonts w:cstheme="minorHAnsi"/>
        </w:rPr>
      </w:pPr>
    </w:p>
    <w:p w14:paraId="5F798134" w14:textId="484B2FA2" w:rsidR="003E26D8" w:rsidRPr="004102AA" w:rsidRDefault="00E04F92" w:rsidP="003E26D8">
      <w:pPr>
        <w:pStyle w:val="ListParagraph"/>
        <w:numPr>
          <w:ilvl w:val="0"/>
          <w:numId w:val="1"/>
        </w:numPr>
        <w:rPr>
          <w:rFonts w:cstheme="minorHAnsi"/>
        </w:rPr>
      </w:pPr>
      <w:r w:rsidRPr="004102AA">
        <w:rPr>
          <w:rFonts w:cstheme="minorHAnsi"/>
        </w:rPr>
        <w:t xml:space="preserve">Putri GH, Anders S, </w:t>
      </w:r>
      <w:proofErr w:type="spellStart"/>
      <w:r w:rsidRPr="004102AA">
        <w:rPr>
          <w:rFonts w:cstheme="minorHAnsi"/>
        </w:rPr>
        <w:t>Pyl</w:t>
      </w:r>
      <w:proofErr w:type="spellEnd"/>
      <w:r w:rsidRPr="004102AA">
        <w:rPr>
          <w:rFonts w:cstheme="minorHAnsi"/>
        </w:rPr>
        <w:t xml:space="preserve"> PT, </w:t>
      </w:r>
      <w:proofErr w:type="spellStart"/>
      <w:r w:rsidRPr="004102AA">
        <w:rPr>
          <w:rFonts w:cstheme="minorHAnsi"/>
        </w:rPr>
        <w:t>Pimanda</w:t>
      </w:r>
      <w:proofErr w:type="spellEnd"/>
      <w:r w:rsidRPr="004102AA">
        <w:rPr>
          <w:rFonts w:cstheme="minorHAnsi"/>
        </w:rPr>
        <w:t xml:space="preserve"> JE, Zanini F. Analysing high-throughput sequencing data in Python with </w:t>
      </w:r>
      <w:proofErr w:type="spellStart"/>
      <w:r w:rsidRPr="004102AA">
        <w:rPr>
          <w:rFonts w:cstheme="minorHAnsi"/>
        </w:rPr>
        <w:t>HTSeq</w:t>
      </w:r>
      <w:proofErr w:type="spellEnd"/>
      <w:r w:rsidRPr="004102AA">
        <w:rPr>
          <w:rFonts w:cstheme="minorHAnsi"/>
        </w:rPr>
        <w:t xml:space="preserve"> 2.0. Bioinformatics. 2022 May 13;38(10):2943-2945. </w:t>
      </w:r>
      <w:proofErr w:type="spellStart"/>
      <w:r w:rsidRPr="004102AA">
        <w:rPr>
          <w:rFonts w:cstheme="minorHAnsi"/>
        </w:rPr>
        <w:t>doi</w:t>
      </w:r>
      <w:proofErr w:type="spellEnd"/>
      <w:r w:rsidRPr="004102AA">
        <w:rPr>
          <w:rFonts w:cstheme="minorHAnsi"/>
        </w:rPr>
        <w:t>: 10.1093/bioinformatics/btac166. PMID: 35561197; PMCID: PMC9113351.</w:t>
      </w:r>
    </w:p>
    <w:p w14:paraId="5C34BAFF" w14:textId="77777777" w:rsidR="0035059F" w:rsidRPr="004102AA" w:rsidRDefault="0035059F" w:rsidP="0035059F">
      <w:pPr>
        <w:pStyle w:val="ListParagraph"/>
        <w:rPr>
          <w:rFonts w:cstheme="minorHAnsi"/>
        </w:rPr>
      </w:pPr>
    </w:p>
    <w:p w14:paraId="48BA8C6B" w14:textId="1D9F4815" w:rsidR="0035059F" w:rsidRPr="004102AA" w:rsidRDefault="0035059F" w:rsidP="0035059F">
      <w:pPr>
        <w:pStyle w:val="ListParagraph"/>
        <w:numPr>
          <w:ilvl w:val="0"/>
          <w:numId w:val="1"/>
        </w:numPr>
        <w:rPr>
          <w:rFonts w:cstheme="minorHAnsi"/>
        </w:rPr>
      </w:pPr>
      <w:proofErr w:type="spellStart"/>
      <w:r w:rsidRPr="004102AA">
        <w:rPr>
          <w:rFonts w:cstheme="minorHAnsi"/>
        </w:rPr>
        <w:t>Klajic</w:t>
      </w:r>
      <w:proofErr w:type="spellEnd"/>
      <w:r w:rsidRPr="004102AA">
        <w:rPr>
          <w:rFonts w:cstheme="minorHAnsi"/>
        </w:rPr>
        <w:t xml:space="preserve"> J, Fleischer T, </w:t>
      </w:r>
      <w:proofErr w:type="spellStart"/>
      <w:r w:rsidRPr="004102AA">
        <w:rPr>
          <w:rFonts w:cstheme="minorHAnsi"/>
        </w:rPr>
        <w:t>Dejeux</w:t>
      </w:r>
      <w:proofErr w:type="spellEnd"/>
      <w:r w:rsidRPr="004102AA">
        <w:rPr>
          <w:rFonts w:cstheme="minorHAnsi"/>
        </w:rPr>
        <w:t xml:space="preserve"> E, Edvardsen H, Warnberg F, </w:t>
      </w:r>
      <w:proofErr w:type="spellStart"/>
      <w:r w:rsidRPr="004102AA">
        <w:rPr>
          <w:rFonts w:cstheme="minorHAnsi"/>
        </w:rPr>
        <w:t>Bukholm</w:t>
      </w:r>
      <w:proofErr w:type="spellEnd"/>
      <w:r w:rsidRPr="004102AA">
        <w:rPr>
          <w:rFonts w:cstheme="minorHAnsi"/>
        </w:rPr>
        <w:t xml:space="preserve"> I, Lønning PE, Solvang H, Børresen-Dale AL, Tost J, Kristensen VN. Quantitative DNA methylation analyses reveal stage dependent DNA methylation and association to </w:t>
      </w:r>
      <w:proofErr w:type="spellStart"/>
      <w:r w:rsidRPr="004102AA">
        <w:rPr>
          <w:rFonts w:cstheme="minorHAnsi"/>
        </w:rPr>
        <w:t>clinico</w:t>
      </w:r>
      <w:proofErr w:type="spellEnd"/>
      <w:r w:rsidRPr="004102AA">
        <w:rPr>
          <w:rFonts w:cstheme="minorHAnsi"/>
        </w:rPr>
        <w:t xml:space="preserve">-pathological factors in breast </w:t>
      </w:r>
      <w:proofErr w:type="spellStart"/>
      <w:r w:rsidRPr="004102AA">
        <w:rPr>
          <w:rFonts w:cstheme="minorHAnsi"/>
        </w:rPr>
        <w:t>tumors</w:t>
      </w:r>
      <w:proofErr w:type="spellEnd"/>
      <w:r w:rsidRPr="004102AA">
        <w:rPr>
          <w:rFonts w:cstheme="minorHAnsi"/>
        </w:rPr>
        <w:t xml:space="preserve">. BMC Cancer. 2013 Oct </w:t>
      </w:r>
      <w:proofErr w:type="gramStart"/>
      <w:r w:rsidRPr="004102AA">
        <w:rPr>
          <w:rFonts w:cstheme="minorHAnsi"/>
        </w:rPr>
        <w:t>5;13:456</w:t>
      </w:r>
      <w:proofErr w:type="gramEnd"/>
      <w:r w:rsidRPr="004102AA">
        <w:rPr>
          <w:rFonts w:cstheme="minorHAnsi"/>
        </w:rPr>
        <w:t xml:space="preserve">. </w:t>
      </w:r>
      <w:proofErr w:type="spellStart"/>
      <w:r w:rsidRPr="004102AA">
        <w:rPr>
          <w:rFonts w:cstheme="minorHAnsi"/>
        </w:rPr>
        <w:t>doi</w:t>
      </w:r>
      <w:proofErr w:type="spellEnd"/>
      <w:r w:rsidRPr="004102AA">
        <w:rPr>
          <w:rFonts w:cstheme="minorHAnsi"/>
        </w:rPr>
        <w:t>: 10.1186/1471-2407-13-456. PMID: 24093668; PMCID: PMC3819713.</w:t>
      </w:r>
    </w:p>
    <w:p w14:paraId="6D1B1753" w14:textId="32E7E805" w:rsidR="00672614" w:rsidRPr="002307E3" w:rsidRDefault="00672614" w:rsidP="008C5A9C">
      <w:pPr>
        <w:jc w:val="both"/>
        <w:rPr>
          <w:b/>
          <w:bCs/>
          <w:sz w:val="24"/>
          <w:szCs w:val="24"/>
        </w:rPr>
      </w:pPr>
    </w:p>
    <w:sectPr w:rsidR="00672614" w:rsidRPr="00230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873CC"/>
    <w:multiLevelType w:val="hybridMultilevel"/>
    <w:tmpl w:val="51AED5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7113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41"/>
    <w:rsid w:val="00002EED"/>
    <w:rsid w:val="00040922"/>
    <w:rsid w:val="000436D2"/>
    <w:rsid w:val="00052867"/>
    <w:rsid w:val="0008283F"/>
    <w:rsid w:val="00087204"/>
    <w:rsid w:val="000A3312"/>
    <w:rsid w:val="000A3476"/>
    <w:rsid w:val="000D0D87"/>
    <w:rsid w:val="000D2A64"/>
    <w:rsid w:val="000D75F0"/>
    <w:rsid w:val="000F08DE"/>
    <w:rsid w:val="0012183A"/>
    <w:rsid w:val="001236EE"/>
    <w:rsid w:val="001358AE"/>
    <w:rsid w:val="00162373"/>
    <w:rsid w:val="001971B1"/>
    <w:rsid w:val="00197C79"/>
    <w:rsid w:val="001B2DE7"/>
    <w:rsid w:val="001B3993"/>
    <w:rsid w:val="001B42F0"/>
    <w:rsid w:val="001E2569"/>
    <w:rsid w:val="001E2909"/>
    <w:rsid w:val="001E62B2"/>
    <w:rsid w:val="001F51C0"/>
    <w:rsid w:val="00200D12"/>
    <w:rsid w:val="00201181"/>
    <w:rsid w:val="00202005"/>
    <w:rsid w:val="00205C01"/>
    <w:rsid w:val="00213359"/>
    <w:rsid w:val="00224BB3"/>
    <w:rsid w:val="002307E3"/>
    <w:rsid w:val="00231A21"/>
    <w:rsid w:val="0023703B"/>
    <w:rsid w:val="0024257B"/>
    <w:rsid w:val="00256747"/>
    <w:rsid w:val="002A5F77"/>
    <w:rsid w:val="002D4E91"/>
    <w:rsid w:val="002E3648"/>
    <w:rsid w:val="002E5C48"/>
    <w:rsid w:val="00307F90"/>
    <w:rsid w:val="00313156"/>
    <w:rsid w:val="003367D7"/>
    <w:rsid w:val="003378A7"/>
    <w:rsid w:val="00344FE1"/>
    <w:rsid w:val="0035059F"/>
    <w:rsid w:val="00351076"/>
    <w:rsid w:val="0039615F"/>
    <w:rsid w:val="003A113D"/>
    <w:rsid w:val="003A2BDC"/>
    <w:rsid w:val="003A51B6"/>
    <w:rsid w:val="003A6CC4"/>
    <w:rsid w:val="003B5CFD"/>
    <w:rsid w:val="003B6263"/>
    <w:rsid w:val="003B7DBA"/>
    <w:rsid w:val="003C5BA6"/>
    <w:rsid w:val="003C7614"/>
    <w:rsid w:val="003D3941"/>
    <w:rsid w:val="003E2172"/>
    <w:rsid w:val="003E26D8"/>
    <w:rsid w:val="003F1C3A"/>
    <w:rsid w:val="003F2524"/>
    <w:rsid w:val="00402C41"/>
    <w:rsid w:val="004067F0"/>
    <w:rsid w:val="004102AA"/>
    <w:rsid w:val="004209A1"/>
    <w:rsid w:val="0046123C"/>
    <w:rsid w:val="00476A5B"/>
    <w:rsid w:val="004B66C1"/>
    <w:rsid w:val="004C3E9B"/>
    <w:rsid w:val="004E0DEF"/>
    <w:rsid w:val="004E13F7"/>
    <w:rsid w:val="004E3BF3"/>
    <w:rsid w:val="004E43B5"/>
    <w:rsid w:val="005078D2"/>
    <w:rsid w:val="00514509"/>
    <w:rsid w:val="0052036A"/>
    <w:rsid w:val="005447A6"/>
    <w:rsid w:val="005449DA"/>
    <w:rsid w:val="00547EC1"/>
    <w:rsid w:val="005968D6"/>
    <w:rsid w:val="005A0A76"/>
    <w:rsid w:val="005A2398"/>
    <w:rsid w:val="005B4419"/>
    <w:rsid w:val="005B6003"/>
    <w:rsid w:val="005C020F"/>
    <w:rsid w:val="005C3425"/>
    <w:rsid w:val="005C35D4"/>
    <w:rsid w:val="005C4DEB"/>
    <w:rsid w:val="005C6170"/>
    <w:rsid w:val="005C74F0"/>
    <w:rsid w:val="005D0199"/>
    <w:rsid w:val="005D0D8C"/>
    <w:rsid w:val="005D27DE"/>
    <w:rsid w:val="005F0B32"/>
    <w:rsid w:val="005F1E3E"/>
    <w:rsid w:val="005F4CC3"/>
    <w:rsid w:val="005F5F5C"/>
    <w:rsid w:val="00607749"/>
    <w:rsid w:val="00610190"/>
    <w:rsid w:val="00627B26"/>
    <w:rsid w:val="00630A15"/>
    <w:rsid w:val="006414E1"/>
    <w:rsid w:val="00650FA6"/>
    <w:rsid w:val="00666C83"/>
    <w:rsid w:val="00672614"/>
    <w:rsid w:val="00684D13"/>
    <w:rsid w:val="006A02FF"/>
    <w:rsid w:val="006B00BD"/>
    <w:rsid w:val="006D13C0"/>
    <w:rsid w:val="006D35A3"/>
    <w:rsid w:val="006D77F1"/>
    <w:rsid w:val="006E3717"/>
    <w:rsid w:val="006F5851"/>
    <w:rsid w:val="00717F72"/>
    <w:rsid w:val="00730D18"/>
    <w:rsid w:val="00734FA7"/>
    <w:rsid w:val="007510B2"/>
    <w:rsid w:val="007531B5"/>
    <w:rsid w:val="007A1CA4"/>
    <w:rsid w:val="007F0159"/>
    <w:rsid w:val="007F5596"/>
    <w:rsid w:val="007F7C14"/>
    <w:rsid w:val="0082462B"/>
    <w:rsid w:val="00834032"/>
    <w:rsid w:val="00834DD3"/>
    <w:rsid w:val="00851635"/>
    <w:rsid w:val="008624F6"/>
    <w:rsid w:val="00872DCA"/>
    <w:rsid w:val="008C5A9C"/>
    <w:rsid w:val="008C5BA9"/>
    <w:rsid w:val="008D2EB7"/>
    <w:rsid w:val="008F5ED9"/>
    <w:rsid w:val="008F7B87"/>
    <w:rsid w:val="00913482"/>
    <w:rsid w:val="00957BD3"/>
    <w:rsid w:val="00961E57"/>
    <w:rsid w:val="009753D2"/>
    <w:rsid w:val="00990397"/>
    <w:rsid w:val="00997E71"/>
    <w:rsid w:val="009B58F1"/>
    <w:rsid w:val="009E0490"/>
    <w:rsid w:val="009E1D38"/>
    <w:rsid w:val="009F1EDD"/>
    <w:rsid w:val="00A044E7"/>
    <w:rsid w:val="00A17B64"/>
    <w:rsid w:val="00A448ED"/>
    <w:rsid w:val="00A460EA"/>
    <w:rsid w:val="00A51D1C"/>
    <w:rsid w:val="00A609D0"/>
    <w:rsid w:val="00A71A65"/>
    <w:rsid w:val="00A76204"/>
    <w:rsid w:val="00AB65EB"/>
    <w:rsid w:val="00AB764D"/>
    <w:rsid w:val="00AC0788"/>
    <w:rsid w:val="00AC326E"/>
    <w:rsid w:val="00AD2A89"/>
    <w:rsid w:val="00AE4BF1"/>
    <w:rsid w:val="00B15A8C"/>
    <w:rsid w:val="00B21AEB"/>
    <w:rsid w:val="00B44168"/>
    <w:rsid w:val="00B56D0E"/>
    <w:rsid w:val="00B77E8D"/>
    <w:rsid w:val="00BD625C"/>
    <w:rsid w:val="00BF6DBB"/>
    <w:rsid w:val="00C15D2F"/>
    <w:rsid w:val="00C17D3A"/>
    <w:rsid w:val="00C30E1F"/>
    <w:rsid w:val="00C35C80"/>
    <w:rsid w:val="00C443A1"/>
    <w:rsid w:val="00C479D6"/>
    <w:rsid w:val="00C67D7C"/>
    <w:rsid w:val="00C774BF"/>
    <w:rsid w:val="00C94467"/>
    <w:rsid w:val="00C9639E"/>
    <w:rsid w:val="00CB526B"/>
    <w:rsid w:val="00CD35B3"/>
    <w:rsid w:val="00CD62AE"/>
    <w:rsid w:val="00CE7553"/>
    <w:rsid w:val="00D0297B"/>
    <w:rsid w:val="00D06BA1"/>
    <w:rsid w:val="00D076A0"/>
    <w:rsid w:val="00D176EC"/>
    <w:rsid w:val="00D20B57"/>
    <w:rsid w:val="00D75B2C"/>
    <w:rsid w:val="00D806CA"/>
    <w:rsid w:val="00D82114"/>
    <w:rsid w:val="00D85A32"/>
    <w:rsid w:val="00D96614"/>
    <w:rsid w:val="00DA1BE8"/>
    <w:rsid w:val="00DB5D47"/>
    <w:rsid w:val="00E04F92"/>
    <w:rsid w:val="00E334AD"/>
    <w:rsid w:val="00E47B4B"/>
    <w:rsid w:val="00E57828"/>
    <w:rsid w:val="00E70DA3"/>
    <w:rsid w:val="00E97F60"/>
    <w:rsid w:val="00EA41AF"/>
    <w:rsid w:val="00EC0D13"/>
    <w:rsid w:val="00EC3CB7"/>
    <w:rsid w:val="00ED261D"/>
    <w:rsid w:val="00EE3E62"/>
    <w:rsid w:val="00F234CB"/>
    <w:rsid w:val="00F2378E"/>
    <w:rsid w:val="00F50D77"/>
    <w:rsid w:val="00F603FB"/>
    <w:rsid w:val="00F813A0"/>
    <w:rsid w:val="00F86A60"/>
    <w:rsid w:val="00F92425"/>
    <w:rsid w:val="00FA3FE5"/>
    <w:rsid w:val="00FD3FDD"/>
    <w:rsid w:val="00FD42AE"/>
    <w:rsid w:val="00FD54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E30B"/>
  <w15:chartTrackingRefBased/>
  <w15:docId w15:val="{11E9A6B7-6353-4009-B002-FD377F2C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D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5B531-54F0-40C5-8BC3-15D470498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12</Pages>
  <Words>2827</Words>
  <Characters>16118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Sahana Ghosh</dc:creator>
  <cp:keywords/>
  <dc:description/>
  <cp:lastModifiedBy>Sahana Ghosh</cp:lastModifiedBy>
  <cp:revision>210</cp:revision>
  <dcterms:created xsi:type="dcterms:W3CDTF">2023-07-13T09:35:00Z</dcterms:created>
  <dcterms:modified xsi:type="dcterms:W3CDTF">2025-11-29T18:42:00Z</dcterms:modified>
</cp:coreProperties>
</file>