
<file path=[Content_Types].xml><?xml version="1.0" encoding="utf-8"?>
<Types xmlns="http://schemas.openxmlformats.org/package/2006/content-types">
  <Default Extension="tiff" ContentType="image/tif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312" w:afterLines="100" w:line="360" w:lineRule="auto"/>
        <w:jc w:val="center"/>
        <w:rPr>
          <w:rFonts w:ascii="Times New Roman" w:hAnsi="Times New Roman"/>
          <w:b/>
          <w:sz w:val="30"/>
          <w:szCs w:val="30"/>
        </w:rPr>
      </w:pPr>
      <w:r>
        <w:rPr>
          <w:rFonts w:ascii="Times New Roman" w:hAnsi="Times New Roman"/>
          <w:b/>
          <w:sz w:val="30"/>
          <w:szCs w:val="30"/>
        </w:rPr>
        <w:t>Supplementary Documents</w:t>
      </w:r>
    </w:p>
    <w:p>
      <w:pPr>
        <w:spacing w:line="360" w:lineRule="auto"/>
        <w:jc w:val="center"/>
        <w:rPr>
          <w:rFonts w:ascii="Times New Roman" w:hAnsi="Times New Roman" w:cs="Times New Roman"/>
          <w:b/>
          <w:szCs w:val="21"/>
        </w:rPr>
      </w:pPr>
      <w:r>
        <w:rPr>
          <w:rFonts w:hint="eastAsia" w:ascii="Times New Roman" w:hAnsi="Times New Roman" w:cs="Times New Roman"/>
          <w:b/>
          <w:sz w:val="28"/>
          <w:szCs w:val="28"/>
        </w:rPr>
        <w:t>T</w:t>
      </w:r>
      <w:r>
        <w:rPr>
          <w:rFonts w:ascii="Times New Roman" w:hAnsi="Times New Roman" w:cs="Times New Roman"/>
          <w:b/>
          <w:sz w:val="28"/>
          <w:szCs w:val="28"/>
        </w:rPr>
        <w:t>able of contents</w:t>
      </w:r>
    </w:p>
    <w:p>
      <w:pPr>
        <w:rPr>
          <w:szCs w:val="21"/>
        </w:rPr>
      </w:pPr>
    </w:p>
    <w:p>
      <w:pPr>
        <w:pStyle w:val="10"/>
        <w:spacing w:line="480" w:lineRule="auto"/>
        <w:rPr>
          <w:rFonts w:ascii="Times New Roman" w:hAnsi="Times New Roman" w:cs="Times New Roman"/>
          <w:b/>
          <w:bCs/>
          <w:szCs w:val="21"/>
        </w:rPr>
      </w:pPr>
    </w:p>
    <w:p>
      <w:pPr>
        <w:pStyle w:val="10"/>
        <w:spacing w:line="480" w:lineRule="auto"/>
        <w:rPr>
          <w:rFonts w:ascii="Times New Roman" w:hAnsi="Times New Roman" w:cs="Times New Roman"/>
          <w:b/>
          <w:bCs/>
          <w:szCs w:val="21"/>
        </w:rPr>
      </w:pPr>
      <w:r>
        <w:rPr>
          <w:rFonts w:ascii="Times New Roman" w:hAnsi="Times New Roman" w:cs="Times New Roman"/>
          <w:b/>
          <w:bCs/>
          <w:szCs w:val="21"/>
        </w:rPr>
        <w:t xml:space="preserve">Supplementary Figure S1. </w:t>
      </w:r>
      <w:r>
        <w:rPr>
          <w:rFonts w:ascii="Times New Roman" w:hAnsi="Times New Roman" w:cs="Times New Roman"/>
          <w:szCs w:val="21"/>
        </w:rPr>
        <w:t>Flowchart of the UK Biobank study.</w:t>
      </w:r>
    </w:p>
    <w:p>
      <w:pPr>
        <w:pStyle w:val="10"/>
        <w:spacing w:line="480" w:lineRule="auto"/>
        <w:rPr>
          <w:rFonts w:ascii="Times New Roman" w:hAnsi="Times New Roman" w:cs="Times New Roman"/>
          <w:szCs w:val="21"/>
        </w:rPr>
      </w:pPr>
      <w:r>
        <w:rPr>
          <w:rFonts w:ascii="Times New Roman" w:hAnsi="Times New Roman" w:cs="Times New Roman"/>
          <w:b/>
          <w:bCs/>
          <w:szCs w:val="21"/>
        </w:rPr>
        <w:t xml:space="preserve">Supplementary Figure S2. </w:t>
      </w:r>
      <w:r>
        <w:rPr>
          <w:rFonts w:ascii="Times New Roman" w:hAnsi="Times New Roman" w:cs="Times New Roman"/>
          <w:szCs w:val="21"/>
        </w:rPr>
        <w:t xml:space="preserve">Associations of Life’s Essential 8 score and phenotypic age acceleration with the risks of chronic respiratory diseases based on restricted cubic spline models. (A) LE8 and overall CRDs; (B) LE8 and COPD; (C) LE8 and asthma; (D) LE8 and IPF; (E) PhenoAgeAccel and overall CRDs; (F) PhenoAgeAccel and COPD; (G) PhenoAgeAccel and asthma; (H) PhenoAgeAccel and IPF. </w:t>
      </w:r>
    </w:p>
    <w:p>
      <w:pPr>
        <w:pStyle w:val="10"/>
        <w:spacing w:line="480" w:lineRule="auto"/>
      </w:pPr>
      <w:r>
        <w:rPr>
          <w:rFonts w:ascii="Times New Roman" w:hAnsi="Times New Roman" w:cs="Times New Roman"/>
          <w:b/>
          <w:bCs/>
          <w:szCs w:val="21"/>
        </w:rPr>
        <w:t xml:space="preserve">Supplementary </w:t>
      </w:r>
      <w:r>
        <w:rPr>
          <w:rFonts w:hint="eastAsia" w:ascii="Times New Roman" w:hAnsi="Times New Roman" w:cs="Times New Roman"/>
          <w:b/>
          <w:bCs/>
          <w:szCs w:val="21"/>
        </w:rPr>
        <w:t>Figure</w:t>
      </w:r>
      <w:r>
        <w:rPr>
          <w:rFonts w:ascii="Times New Roman" w:hAnsi="Times New Roman" w:cs="Times New Roman"/>
          <w:b/>
          <w:bCs/>
          <w:szCs w:val="21"/>
        </w:rPr>
        <w:t xml:space="preserve"> S</w:t>
      </w:r>
      <w:r>
        <w:rPr>
          <w:rFonts w:hint="eastAsia" w:ascii="Times New Roman" w:hAnsi="Times New Roman" w:cs="Times New Roman"/>
          <w:b/>
          <w:bCs/>
          <w:szCs w:val="21"/>
        </w:rPr>
        <w:t>3</w:t>
      </w:r>
      <w:r>
        <w:rPr>
          <w:rFonts w:ascii="Times New Roman" w:hAnsi="Times New Roman" w:cs="Times New Roman"/>
          <w:b/>
          <w:bCs/>
          <w:szCs w:val="21"/>
        </w:rPr>
        <w:t xml:space="preserve">. </w:t>
      </w:r>
      <w:r>
        <w:rPr>
          <w:rFonts w:ascii="Times New Roman" w:hAnsi="Times New Roman" w:cs="Times New Roman"/>
          <w:szCs w:val="21"/>
        </w:rPr>
        <w:t>Associations between Life’s Essential 8 score and chronic respiratory diseases stratified by phenotypic age acceleration</w:t>
      </w:r>
      <w:r>
        <w:rPr>
          <w:rFonts w:hint="eastAsia" w:ascii="Times New Roman" w:hAnsi="Times New Roman" w:cs="Times New Roman"/>
          <w:szCs w:val="21"/>
        </w:rPr>
        <w:t>.</w:t>
      </w:r>
      <w:r>
        <w:rPr>
          <w:rFonts w:ascii="Times New Roman" w:hAnsi="Times New Roman" w:cs="Times New Roman"/>
          <w:szCs w:val="21"/>
        </w:rPr>
        <w:t xml:space="preserve"> (A) overall CRDs; (B) COPD; (C) </w:t>
      </w:r>
      <w:r>
        <w:rPr>
          <w:rFonts w:hint="eastAsia" w:ascii="Times New Roman" w:hAnsi="Times New Roman" w:cs="Times New Roman"/>
          <w:szCs w:val="21"/>
        </w:rPr>
        <w:t>A</w:t>
      </w:r>
      <w:r>
        <w:rPr>
          <w:rFonts w:ascii="Times New Roman" w:hAnsi="Times New Roman" w:cs="Times New Roman"/>
          <w:szCs w:val="21"/>
        </w:rPr>
        <w:t>sthma; and (D) IPF.</w:t>
      </w:r>
    </w:p>
    <w:p>
      <w:pPr>
        <w:pStyle w:val="10"/>
        <w:spacing w:line="480" w:lineRule="auto"/>
        <w:rPr>
          <w:rFonts w:ascii="Times New Roman" w:hAnsi="Times New Roman" w:cs="Times New Roman"/>
          <w:szCs w:val="21"/>
        </w:rPr>
      </w:pPr>
      <w:r>
        <w:rPr>
          <w:rFonts w:ascii="Times New Roman" w:hAnsi="Times New Roman" w:cs="Times New Roman"/>
          <w:b/>
          <w:bCs/>
          <w:szCs w:val="21"/>
        </w:rPr>
        <w:t>Supplementary Figure S</w:t>
      </w:r>
      <w:r>
        <w:rPr>
          <w:rFonts w:hint="eastAsia" w:ascii="Times New Roman" w:hAnsi="Times New Roman" w:cs="Times New Roman"/>
          <w:b/>
          <w:bCs/>
          <w:szCs w:val="21"/>
        </w:rPr>
        <w:t>4</w:t>
      </w:r>
      <w:r>
        <w:rPr>
          <w:rFonts w:ascii="Times New Roman" w:hAnsi="Times New Roman" w:cs="Times New Roman"/>
          <w:b/>
          <w:bCs/>
          <w:szCs w:val="21"/>
        </w:rPr>
        <w:t xml:space="preserve">. </w:t>
      </w:r>
      <w:r>
        <w:rPr>
          <w:rFonts w:ascii="Times New Roman" w:hAnsi="Times New Roman" w:cs="Times New Roman"/>
          <w:szCs w:val="21"/>
        </w:rPr>
        <w:t>Subgroup analysis of the association between Life’s Essential 8 score and chronic respiratory diseases.</w:t>
      </w:r>
      <w:r>
        <w:rPr>
          <w:rFonts w:hint="eastAsia" w:ascii="Times New Roman" w:hAnsi="Times New Roman" w:cs="Times New Roman"/>
          <w:szCs w:val="21"/>
        </w:rPr>
        <w:t xml:space="preserve"> </w:t>
      </w:r>
      <w:r>
        <w:rPr>
          <w:rFonts w:ascii="Times New Roman" w:hAnsi="Times New Roman" w:cs="Times New Roman"/>
          <w:szCs w:val="21"/>
        </w:rPr>
        <w:t>(A) Overall CRDs; (B) COPD; (C) Asthma; and (D) IPF.</w:t>
      </w:r>
    </w:p>
    <w:p>
      <w:pPr>
        <w:pStyle w:val="10"/>
        <w:spacing w:line="480" w:lineRule="auto"/>
        <w:rPr>
          <w:rFonts w:ascii="Times New Roman" w:hAnsi="Times New Roman" w:cs="Times New Roman"/>
          <w:szCs w:val="21"/>
        </w:rPr>
      </w:pPr>
      <w:r>
        <w:rPr>
          <w:rFonts w:ascii="Times New Roman" w:hAnsi="Times New Roman" w:cs="Times New Roman"/>
          <w:b/>
          <w:bCs/>
          <w:szCs w:val="21"/>
        </w:rPr>
        <w:t>Supplementary Figure S</w:t>
      </w:r>
      <w:r>
        <w:rPr>
          <w:rFonts w:hint="eastAsia" w:ascii="Times New Roman" w:hAnsi="Times New Roman" w:cs="Times New Roman"/>
          <w:b/>
          <w:bCs/>
          <w:szCs w:val="21"/>
        </w:rPr>
        <w:t>5</w:t>
      </w:r>
      <w:r>
        <w:rPr>
          <w:rFonts w:ascii="Times New Roman" w:hAnsi="Times New Roman" w:cs="Times New Roman"/>
          <w:b/>
          <w:bCs/>
          <w:szCs w:val="21"/>
        </w:rPr>
        <w:t xml:space="preserve">. </w:t>
      </w:r>
      <w:r>
        <w:rPr>
          <w:rFonts w:ascii="Times New Roman" w:hAnsi="Times New Roman" w:cs="Times New Roman"/>
          <w:szCs w:val="21"/>
        </w:rPr>
        <w:t>Pearson correlations among Life’s Essential 8 components and phenotypic age acceleration.</w:t>
      </w: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rPr>
          <w:rFonts w:ascii="Times New Roman" w:hAnsi="Times New Roman" w:cs="Times New Roman"/>
          <w:szCs w:val="21"/>
        </w:rPr>
      </w:pPr>
    </w:p>
    <w:p>
      <w:pPr>
        <w:pStyle w:val="10"/>
        <w:rPr>
          <w:rFonts w:ascii="Times New Roman" w:hAnsi="Times New Roman" w:cs="Times New Roman"/>
          <w:sz w:val="28"/>
          <w:szCs w:val="28"/>
        </w:rPr>
      </w:pPr>
      <w:r>
        <w:rPr>
          <w:rFonts w:ascii="Times New Roman" w:hAnsi="Times New Roman" w:cs="Times New Roman"/>
          <w:b/>
          <w:bCs/>
          <w:sz w:val="28"/>
          <w:szCs w:val="28"/>
        </w:rPr>
        <w:t xml:space="preserve">Supplementary </w:t>
      </w:r>
      <w:r>
        <w:rPr>
          <w:rFonts w:hint="eastAsia" w:ascii="Times New Roman" w:hAnsi="Times New Roman" w:cs="Times New Roman"/>
          <w:b/>
          <w:bCs/>
          <w:sz w:val="28"/>
          <w:szCs w:val="28"/>
        </w:rPr>
        <w:t>Figure</w:t>
      </w:r>
      <w:r>
        <w:rPr>
          <w:rFonts w:ascii="Times New Roman" w:hAnsi="Times New Roman" w:cs="Times New Roman"/>
          <w:b/>
          <w:bCs/>
          <w:sz w:val="28"/>
          <w:szCs w:val="28"/>
        </w:rPr>
        <w:t xml:space="preserve"> S</w:t>
      </w:r>
      <w:r>
        <w:rPr>
          <w:rFonts w:hint="eastAsia" w:ascii="Times New Roman" w:hAnsi="Times New Roman" w:cs="Times New Roman"/>
          <w:b/>
          <w:bCs/>
          <w:sz w:val="28"/>
          <w:szCs w:val="28"/>
        </w:rPr>
        <w:t>1</w:t>
      </w:r>
      <w:r>
        <w:rPr>
          <w:rFonts w:hint="eastAsia" w:ascii="Times New Roman" w:hAnsi="Times New Roman" w:cs="Times New Roman"/>
          <w:sz w:val="28"/>
          <w:szCs w:val="28"/>
        </w:rPr>
        <w:t>. F</w:t>
      </w:r>
      <w:r>
        <w:rPr>
          <w:rFonts w:ascii="Times New Roman" w:hAnsi="Times New Roman" w:cs="Times New Roman"/>
          <w:sz w:val="28"/>
          <w:szCs w:val="28"/>
        </w:rPr>
        <w:t>lowchart of the UK Biobank study</w:t>
      </w:r>
      <w:r>
        <w:rPr>
          <w:rFonts w:hint="eastAsia" w:ascii="Times New Roman" w:hAnsi="Times New Roman" w:cs="Times New Roman"/>
          <w:sz w:val="28"/>
          <w:szCs w:val="28"/>
        </w:rPr>
        <w:t>.</w:t>
      </w:r>
    </w:p>
    <w:p>
      <w:pPr>
        <w:rPr>
          <w:rFonts w:ascii="Times New Roman" w:hAnsi="Times New Roman" w:cs="Times New Roman"/>
          <w:szCs w:val="21"/>
        </w:rPr>
      </w:pPr>
    </w:p>
    <w:p>
      <w:pPr>
        <w:rPr>
          <w:rFonts w:ascii="Times New Roman" w:hAnsi="Times New Roman" w:cs="Times New Roman"/>
          <w:szCs w:val="21"/>
        </w:rPr>
      </w:pPr>
      <w:r>
        <w:rPr>
          <w:rFonts w:hint="eastAsia" w:ascii="Times New Roman" w:hAnsi="Times New Roman" w:cs="Times New Roman"/>
          <w:szCs w:val="21"/>
        </w:rPr>
        <w:drawing>
          <wp:inline distT="0" distB="0" distL="114300" distR="114300">
            <wp:extent cx="6635750" cy="7137400"/>
            <wp:effectExtent l="0" t="0" r="3175" b="6350"/>
            <wp:docPr id="2" name="图片 2"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1"/>
                    <pic:cNvPicPr>
                      <a:picLocks noChangeAspect="1"/>
                    </pic:cNvPicPr>
                  </pic:nvPicPr>
                  <pic:blipFill>
                    <a:blip r:embed="rId4"/>
                    <a:stretch>
                      <a:fillRect/>
                    </a:stretch>
                  </pic:blipFill>
                  <pic:spPr>
                    <a:xfrm>
                      <a:off x="0" y="0"/>
                      <a:ext cx="6635750" cy="7137400"/>
                    </a:xfrm>
                    <a:prstGeom prst="rect">
                      <a:avLst/>
                    </a:prstGeom>
                  </pic:spPr>
                </pic:pic>
              </a:graphicData>
            </a:graphic>
          </wp:inline>
        </w:drawing>
      </w:r>
    </w:p>
    <w:p>
      <w:pPr>
        <w:rPr>
          <w:rFonts w:ascii="Times New Roman" w:hAnsi="Times New Roman" w:cs="Times New Roman"/>
          <w:szCs w:val="21"/>
        </w:rPr>
      </w:pPr>
    </w:p>
    <w:p>
      <w:pPr>
        <w:spacing w:line="480" w:lineRule="auto"/>
        <w:rPr>
          <w:rFonts w:ascii="Times New Roman" w:hAnsi="Times New Roman" w:cs="Times New Roman"/>
          <w:szCs w:val="21"/>
        </w:rPr>
        <w:sectPr>
          <w:pgSz w:w="11906" w:h="16838"/>
          <w:pgMar w:top="720" w:right="720" w:bottom="720" w:left="720" w:header="851" w:footer="992" w:gutter="0"/>
          <w:cols w:space="425" w:num="1"/>
          <w:docGrid w:type="lines" w:linePitch="312" w:charSpace="0"/>
        </w:sectPr>
      </w:pPr>
      <w:r>
        <w:rPr>
          <w:rFonts w:ascii="Times New Roman" w:hAnsi="Times New Roman" w:cs="Times New Roman"/>
          <w:sz w:val="18"/>
          <w:szCs w:val="18"/>
        </w:rPr>
        <w:t xml:space="preserve">Abbreviations: ALP, alkaline phosphatase; BMI, body mass index; CRDs, chronic respiratory diseases; CRP, </w:t>
      </w:r>
      <w:r>
        <w:rPr>
          <w:rFonts w:hint="eastAsia" w:ascii="Times New Roman" w:hAnsi="Times New Roman" w:cs="Times New Roman"/>
          <w:sz w:val="18"/>
          <w:szCs w:val="18"/>
        </w:rPr>
        <w:t>C</w:t>
      </w:r>
      <w:r>
        <w:rPr>
          <w:rFonts w:ascii="Times New Roman" w:hAnsi="Times New Roman" w:cs="Times New Roman"/>
          <w:sz w:val="18"/>
          <w:szCs w:val="18"/>
        </w:rPr>
        <w:t xml:space="preserve">-reactive protein; LE8, </w:t>
      </w:r>
      <w:r>
        <w:rPr>
          <w:rFonts w:hint="eastAsia" w:ascii="Times New Roman" w:hAnsi="Times New Roman" w:cs="Times New Roman"/>
          <w:sz w:val="18"/>
          <w:szCs w:val="18"/>
        </w:rPr>
        <w:t>L</w:t>
      </w:r>
      <w:r>
        <w:rPr>
          <w:rFonts w:ascii="Times New Roman" w:hAnsi="Times New Roman" w:cs="Times New Roman"/>
          <w:sz w:val="18"/>
          <w:szCs w:val="18"/>
        </w:rPr>
        <w:t xml:space="preserve">ife’s </w:t>
      </w:r>
      <w:r>
        <w:rPr>
          <w:rFonts w:hint="eastAsia" w:ascii="Times New Roman" w:hAnsi="Times New Roman" w:cs="Times New Roman"/>
          <w:sz w:val="18"/>
          <w:szCs w:val="18"/>
        </w:rPr>
        <w:t>E</w:t>
      </w:r>
      <w:r>
        <w:rPr>
          <w:rFonts w:ascii="Times New Roman" w:hAnsi="Times New Roman" w:cs="Times New Roman"/>
          <w:sz w:val="18"/>
          <w:szCs w:val="18"/>
        </w:rPr>
        <w:t>ssential 8; MCV, mean corpuscular volume; PhenoAge, phenotypic age; PhenoAgeAccel, phenotypic age acceleration; RCS, restricted cubic spline; RDW, red cell distribution width; WBC, white blood cell count; WQS, weighted quantile sum.</w:t>
      </w:r>
    </w:p>
    <w:p>
      <w:pPr>
        <w:pStyle w:val="10"/>
        <w:spacing w:line="360" w:lineRule="auto"/>
        <w:rPr>
          <w:rFonts w:ascii="Times New Roman" w:hAnsi="Times New Roman" w:cs="Times New Roman"/>
          <w:b/>
          <w:bCs/>
          <w:sz w:val="28"/>
          <w:szCs w:val="28"/>
        </w:rPr>
      </w:pPr>
      <w:r>
        <w:rPr>
          <w:rFonts w:ascii="Times New Roman" w:hAnsi="Times New Roman" w:cs="Times New Roman"/>
          <w:b/>
          <w:bCs/>
          <w:sz w:val="28"/>
          <w:szCs w:val="28"/>
        </w:rPr>
        <w:t xml:space="preserve">Supplementary Figure S2. </w:t>
      </w:r>
      <w:r>
        <w:rPr>
          <w:rFonts w:ascii="Times New Roman" w:hAnsi="Times New Roman" w:cs="Times New Roman"/>
          <w:sz w:val="28"/>
          <w:szCs w:val="28"/>
        </w:rPr>
        <w:t xml:space="preserve">Associations of Life’s Essential 8 score and phenotypic age acceleration with the risks of chronic respiratory diseases based on restricted cubic spline models. (A) LE8 and overall CRDs; (B) LE8 and COPD; (C) LE8 and asthma; (D) LE8 and IPF; </w:t>
      </w:r>
      <w:bookmarkStart w:id="0" w:name="_GoBack"/>
      <w:bookmarkEnd w:id="0"/>
      <w:r>
        <w:rPr>
          <w:rFonts w:ascii="Times New Roman" w:hAnsi="Times New Roman" w:cs="Times New Roman"/>
          <w:sz w:val="28"/>
          <w:szCs w:val="28"/>
        </w:rPr>
        <w:t xml:space="preserve">(E) PhenoAgeAccel and overall CRDs; (F) PhenoAgeAccel and COPD; (G) PhenoAgeAccel and asthma; (H) PhenoAgeAccel and IPF. </w:t>
      </w:r>
    </w:p>
    <w:p>
      <w:pPr>
        <w:pStyle w:val="10"/>
        <w:rPr>
          <w:rFonts w:ascii="Times New Roman" w:hAnsi="Times New Roman" w:cs="Times New Roman"/>
          <w:b/>
          <w:bCs/>
          <w:sz w:val="28"/>
          <w:szCs w:val="28"/>
        </w:rPr>
      </w:pPr>
      <w:r>
        <w:rPr>
          <w:rFonts w:ascii="Times New Roman" w:hAnsi="Times New Roman" w:cs="Times New Roman"/>
          <w:b/>
          <w:bCs/>
          <w:sz w:val="28"/>
          <w:szCs w:val="28"/>
        </w:rPr>
        <w:drawing>
          <wp:inline distT="0" distB="0" distL="114300" distR="114300">
            <wp:extent cx="9767570" cy="4380865"/>
            <wp:effectExtent l="0" t="0" r="5080" b="635"/>
            <wp:docPr id="3" name="图片 3"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2"/>
                    <pic:cNvPicPr>
                      <a:picLocks noChangeAspect="1"/>
                    </pic:cNvPicPr>
                  </pic:nvPicPr>
                  <pic:blipFill>
                    <a:blip r:embed="rId5"/>
                    <a:stretch>
                      <a:fillRect/>
                    </a:stretch>
                  </pic:blipFill>
                  <pic:spPr>
                    <a:xfrm>
                      <a:off x="0" y="0"/>
                      <a:ext cx="9767570" cy="4380865"/>
                    </a:xfrm>
                    <a:prstGeom prst="rect">
                      <a:avLst/>
                    </a:prstGeom>
                  </pic:spPr>
                </pic:pic>
              </a:graphicData>
            </a:graphic>
          </wp:inline>
        </w:drawing>
      </w:r>
    </w:p>
    <w:p>
      <w:pPr>
        <w:pStyle w:val="10"/>
        <w:rPr>
          <w:rFonts w:ascii="Times New Roman" w:hAnsi="Times New Roman" w:cs="Times New Roman"/>
          <w:b/>
          <w:bCs/>
          <w:sz w:val="28"/>
          <w:szCs w:val="28"/>
        </w:rPr>
      </w:pPr>
      <w:r>
        <w:rPr>
          <w:rFonts w:ascii="Times New Roman" w:hAnsi="Times New Roman" w:cs="Times New Roman"/>
          <w:szCs w:val="21"/>
        </w:rPr>
        <w:t>Restricted cubic spline functions were fitted within Cox proportional hazards models using three knots placed at the 10th, 50th, and 90th percentiles of the LE8 score and PhenoAgeAccel. Solid lines indicate estimated HRs, and shaded areas indicate 95% CIs. Models were adjusted for age, sex, ethnicity, Townsend Deprivation Index, educational attainment, household income, NO2, NOX, PM10, and PM2.5. Abbreviations: CI, confidence interval; COPD, chronic obstructive pulmonary disease; CRDs, chronic respiratory diseases; HR, hazard ratio; IPF, idiopathic pulmonary fibrosis; LE8, Life’s Essential 8; NO2, nitrogen dioxide; NOX, nitrogen oxides; PhenoAgeAccel, phenotypic age acceleration; PM10, particulate matter with an aerodynamic diameter ≤10 μm; PM2.5, particulate matter with an aerodynamic diameter ≤2.5 μm; RCS, restricted cubic spline.</w:t>
      </w:r>
    </w:p>
    <w:p>
      <w:pPr>
        <w:pStyle w:val="10"/>
        <w:rPr>
          <w:rFonts w:ascii="Times New Roman" w:hAnsi="Times New Roman" w:eastAsia="宋体" w:cs="Times New Roman"/>
          <w:color w:val="000000"/>
          <w:kern w:val="0"/>
          <w:sz w:val="28"/>
          <w:szCs w:val="28"/>
          <w:lang w:bidi="ar"/>
        </w:rPr>
      </w:pPr>
      <w:r>
        <w:rPr>
          <w:rFonts w:ascii="Times New Roman" w:hAnsi="Times New Roman" w:cs="Times New Roman"/>
          <w:b/>
          <w:bCs/>
          <w:sz w:val="28"/>
          <w:szCs w:val="28"/>
        </w:rPr>
        <w:t xml:space="preserve">Supplementary </w:t>
      </w:r>
      <w:r>
        <w:rPr>
          <w:rFonts w:hint="eastAsia" w:ascii="Times New Roman" w:hAnsi="Times New Roman" w:cs="Times New Roman"/>
          <w:b/>
          <w:bCs/>
          <w:sz w:val="28"/>
          <w:szCs w:val="28"/>
        </w:rPr>
        <w:t>Figure</w:t>
      </w:r>
      <w:r>
        <w:rPr>
          <w:rFonts w:ascii="Times New Roman" w:hAnsi="Times New Roman" w:cs="Times New Roman"/>
          <w:b/>
          <w:bCs/>
          <w:sz w:val="28"/>
          <w:szCs w:val="28"/>
        </w:rPr>
        <w:t xml:space="preserve"> S</w:t>
      </w:r>
      <w:r>
        <w:rPr>
          <w:rFonts w:hint="eastAsia" w:ascii="Times New Roman" w:hAnsi="Times New Roman" w:cs="Times New Roman"/>
          <w:b/>
          <w:bCs/>
          <w:sz w:val="28"/>
          <w:szCs w:val="28"/>
        </w:rPr>
        <w:t>3</w:t>
      </w:r>
      <w:r>
        <w:rPr>
          <w:rFonts w:ascii="Times New Roman" w:hAnsi="Times New Roman" w:cs="Times New Roman"/>
          <w:b/>
          <w:bCs/>
          <w:sz w:val="28"/>
          <w:szCs w:val="28"/>
        </w:rPr>
        <w:t xml:space="preserve">. </w:t>
      </w:r>
      <w:r>
        <w:rPr>
          <w:rFonts w:ascii="Times New Roman" w:hAnsi="Times New Roman" w:cs="Times New Roman"/>
          <w:sz w:val="28"/>
          <w:szCs w:val="28"/>
        </w:rPr>
        <w:t>Associations between Life’s Essential 8 score and chronic respiratory diseases stratified by phenotypic age acceleration</w:t>
      </w:r>
      <w:r>
        <w:rPr>
          <w:rFonts w:hint="eastAsia" w:ascii="Times New Roman" w:hAnsi="Times New Roman" w:cs="Times New Roman"/>
          <w:sz w:val="28"/>
          <w:szCs w:val="28"/>
        </w:rPr>
        <w:t>.</w:t>
      </w:r>
      <w:r>
        <w:rPr>
          <w:rFonts w:ascii="Times New Roman" w:hAnsi="Times New Roman" w:cs="Times New Roman"/>
          <w:sz w:val="28"/>
          <w:szCs w:val="28"/>
        </w:rPr>
        <w:t xml:space="preserve"> (A) overall CRDs; (B) COPD; (C) </w:t>
      </w:r>
      <w:r>
        <w:rPr>
          <w:rFonts w:hint="eastAsia" w:ascii="Times New Roman" w:hAnsi="Times New Roman" w:cs="Times New Roman"/>
          <w:sz w:val="28"/>
          <w:szCs w:val="28"/>
        </w:rPr>
        <w:t>A</w:t>
      </w:r>
      <w:r>
        <w:rPr>
          <w:rFonts w:ascii="Times New Roman" w:hAnsi="Times New Roman" w:cs="Times New Roman"/>
          <w:sz w:val="28"/>
          <w:szCs w:val="28"/>
        </w:rPr>
        <w:t>sthma; and (D) IPF.</w:t>
      </w:r>
    </w:p>
    <w:p>
      <w:pPr>
        <w:pStyle w:val="10"/>
        <w:rPr>
          <w:rFonts w:ascii="Times New Roman" w:hAnsi="Times New Roman" w:cs="Times New Roman"/>
          <w:b/>
          <w:bCs/>
          <w:sz w:val="28"/>
          <w:szCs w:val="28"/>
        </w:rPr>
      </w:pPr>
      <w:r>
        <w:rPr>
          <w:rFonts w:ascii="Times New Roman" w:hAnsi="Times New Roman" w:cs="Times New Roman"/>
          <w:b/>
          <w:bCs/>
          <w:sz w:val="28"/>
          <w:szCs w:val="28"/>
        </w:rPr>
        <w:drawing>
          <wp:inline distT="0" distB="0" distL="114300" distR="114300">
            <wp:extent cx="9729470" cy="5472430"/>
            <wp:effectExtent l="0" t="0" r="5080" b="4445"/>
            <wp:docPr id="1" name="图片 1"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
                    <pic:cNvPicPr>
                      <a:picLocks noChangeAspect="1"/>
                    </pic:cNvPicPr>
                  </pic:nvPicPr>
                  <pic:blipFill>
                    <a:blip r:embed="rId6"/>
                    <a:stretch>
                      <a:fillRect/>
                    </a:stretch>
                  </pic:blipFill>
                  <pic:spPr>
                    <a:xfrm>
                      <a:off x="0" y="0"/>
                      <a:ext cx="9729470" cy="5472430"/>
                    </a:xfrm>
                    <a:prstGeom prst="rect">
                      <a:avLst/>
                    </a:prstGeom>
                  </pic:spPr>
                </pic:pic>
              </a:graphicData>
            </a:graphic>
          </wp:inline>
        </w:drawing>
      </w:r>
    </w:p>
    <w:p>
      <w:pPr>
        <w:rPr>
          <w:rFonts w:ascii="Times New Roman" w:hAnsi="Times New Roman" w:cs="Times New Roman"/>
          <w:b/>
          <w:bCs/>
          <w:sz w:val="28"/>
          <w:szCs w:val="28"/>
        </w:rPr>
      </w:pPr>
      <w:r>
        <w:rPr>
          <w:rFonts w:hint="eastAsia" w:ascii="Times New Roman" w:hAnsi="Times New Roman" w:cs="Times New Roman"/>
          <w:sz w:val="18"/>
          <w:szCs w:val="18"/>
        </w:rPr>
        <w:t>Models were adjusted for age, sex, ethnicity, Townsend Deprivation Index, educational attainment, household income, NO</w:t>
      </w:r>
      <w:r>
        <w:rPr>
          <w:rFonts w:hint="eastAsia" w:ascii="Times New Roman" w:hAnsi="Times New Roman" w:cs="Times New Roman"/>
          <w:sz w:val="18"/>
          <w:szCs w:val="18"/>
          <w:vertAlign w:val="subscript"/>
        </w:rPr>
        <w:t>2</w:t>
      </w:r>
      <w:r>
        <w:rPr>
          <w:rFonts w:hint="eastAsia" w:ascii="Times New Roman" w:hAnsi="Times New Roman" w:cs="Times New Roman"/>
          <w:sz w:val="18"/>
          <w:szCs w:val="18"/>
        </w:rPr>
        <w:t>, NO</w:t>
      </w:r>
      <w:r>
        <w:rPr>
          <w:rFonts w:hint="eastAsia" w:ascii="Times New Roman" w:hAnsi="Times New Roman" w:cs="Times New Roman"/>
          <w:sz w:val="18"/>
          <w:szCs w:val="18"/>
          <w:vertAlign w:val="subscript"/>
        </w:rPr>
        <w:t>X</w:t>
      </w:r>
      <w:r>
        <w:rPr>
          <w:rFonts w:hint="eastAsia" w:ascii="Times New Roman" w:hAnsi="Times New Roman" w:cs="Times New Roman"/>
          <w:sz w:val="18"/>
          <w:szCs w:val="18"/>
        </w:rPr>
        <w:t>, PM</w:t>
      </w:r>
      <w:r>
        <w:rPr>
          <w:rFonts w:hint="eastAsia" w:ascii="Times New Roman" w:hAnsi="Times New Roman" w:cs="Times New Roman"/>
          <w:sz w:val="18"/>
          <w:szCs w:val="18"/>
          <w:vertAlign w:val="subscript"/>
        </w:rPr>
        <w:t>10</w:t>
      </w:r>
      <w:r>
        <w:rPr>
          <w:rFonts w:hint="eastAsia" w:ascii="Times New Roman" w:hAnsi="Times New Roman" w:cs="Times New Roman"/>
          <w:sz w:val="18"/>
          <w:szCs w:val="18"/>
        </w:rPr>
        <w:t>, and PM</w:t>
      </w:r>
      <w:r>
        <w:rPr>
          <w:rFonts w:hint="eastAsia" w:ascii="Times New Roman" w:hAnsi="Times New Roman" w:cs="Times New Roman"/>
          <w:sz w:val="18"/>
          <w:szCs w:val="18"/>
          <w:vertAlign w:val="subscript"/>
        </w:rPr>
        <w:t>2.5</w:t>
      </w:r>
      <w:r>
        <w:rPr>
          <w:rFonts w:hint="eastAsia" w:ascii="Times New Roman" w:hAnsi="Times New Roman" w:cs="Times New Roman"/>
          <w:sz w:val="18"/>
          <w:szCs w:val="18"/>
        </w:rPr>
        <w:t>. A</w:t>
      </w:r>
      <w:r>
        <w:rPr>
          <w:rFonts w:ascii="Times New Roman" w:hAnsi="Times New Roman" w:cs="Times New Roman"/>
          <w:sz w:val="18"/>
          <w:szCs w:val="18"/>
        </w:rPr>
        <w:t>bbreviations:</w:t>
      </w:r>
      <w:r>
        <w:rPr>
          <w:rFonts w:hint="eastAsia" w:ascii="Times New Roman" w:hAnsi="Times New Roman" w:cs="Times New Roman"/>
          <w:sz w:val="18"/>
          <w:szCs w:val="18"/>
        </w:rPr>
        <w:t xml:space="preserve"> </w:t>
      </w:r>
      <w:r>
        <w:rPr>
          <w:rFonts w:ascii="Times New Roman" w:hAnsi="Times New Roman" w:cs="Times New Roman"/>
          <w:sz w:val="18"/>
          <w:szCs w:val="18"/>
        </w:rPr>
        <w:t xml:space="preserve">CI, confidence interval; </w:t>
      </w:r>
      <w:r>
        <w:rPr>
          <w:rFonts w:hint="eastAsia" w:ascii="Times New Roman" w:hAnsi="Times New Roman" w:cs="Times New Roman"/>
          <w:sz w:val="18"/>
          <w:szCs w:val="18"/>
        </w:rPr>
        <w:t xml:space="preserve">COPD, chronic obstructive pulmonary disease; CRDs, chronic respiratory diseases; </w:t>
      </w:r>
      <w:r>
        <w:rPr>
          <w:rFonts w:ascii="Times New Roman" w:hAnsi="Times New Roman" w:cs="Times New Roman"/>
          <w:sz w:val="18"/>
          <w:szCs w:val="18"/>
        </w:rPr>
        <w:t>CVH, cardiovascular health;</w:t>
      </w:r>
      <w:r>
        <w:rPr>
          <w:rFonts w:hint="eastAsia" w:ascii="Times New Roman" w:hAnsi="Times New Roman" w:cs="Times New Roman"/>
          <w:sz w:val="18"/>
          <w:szCs w:val="18"/>
        </w:rPr>
        <w:t xml:space="preserve"> </w:t>
      </w:r>
      <w:r>
        <w:rPr>
          <w:rFonts w:ascii="Times New Roman" w:hAnsi="Times New Roman" w:cs="Times New Roman"/>
          <w:sz w:val="18"/>
          <w:szCs w:val="18"/>
        </w:rPr>
        <w:t>HR, hazard ratio</w:t>
      </w:r>
      <w:r>
        <w:rPr>
          <w:rFonts w:hint="eastAsia" w:ascii="Times New Roman" w:hAnsi="Times New Roman" w:cs="Times New Roman"/>
          <w:sz w:val="18"/>
          <w:szCs w:val="18"/>
        </w:rPr>
        <w:t>;</w:t>
      </w:r>
      <w:r>
        <w:rPr>
          <w:rFonts w:ascii="Times New Roman" w:hAnsi="Times New Roman" w:cs="Times New Roman"/>
          <w:sz w:val="18"/>
          <w:szCs w:val="18"/>
        </w:rPr>
        <w:t xml:space="preserve"> </w:t>
      </w:r>
      <w:r>
        <w:rPr>
          <w:rFonts w:hint="eastAsia" w:ascii="Times New Roman" w:hAnsi="Times New Roman" w:cs="Times New Roman"/>
          <w:sz w:val="18"/>
          <w:szCs w:val="18"/>
        </w:rPr>
        <w:t xml:space="preserve">IPF, idiopathic pulmonary fibrosis; </w:t>
      </w:r>
      <w:r>
        <w:rPr>
          <w:rFonts w:ascii="Times New Roman" w:hAnsi="Times New Roman" w:cs="Times New Roman"/>
          <w:sz w:val="18"/>
          <w:szCs w:val="18"/>
        </w:rPr>
        <w:t>NO</w:t>
      </w:r>
      <w:r>
        <w:rPr>
          <w:rFonts w:ascii="Times New Roman" w:hAnsi="Times New Roman" w:cs="Times New Roman"/>
          <w:sz w:val="18"/>
          <w:szCs w:val="18"/>
          <w:vertAlign w:val="subscript"/>
        </w:rPr>
        <w:t>2</w:t>
      </w:r>
      <w:r>
        <w:rPr>
          <w:rFonts w:ascii="Times New Roman" w:hAnsi="Times New Roman" w:cs="Times New Roman"/>
          <w:sz w:val="18"/>
          <w:szCs w:val="18"/>
        </w:rPr>
        <w:t>, nitrogen dioxide; NO</w:t>
      </w:r>
      <w:r>
        <w:rPr>
          <w:rFonts w:ascii="Times New Roman" w:hAnsi="Times New Roman" w:cs="Times New Roman"/>
          <w:sz w:val="18"/>
          <w:szCs w:val="18"/>
          <w:vertAlign w:val="subscript"/>
        </w:rPr>
        <w:t>X</w:t>
      </w:r>
      <w:r>
        <w:rPr>
          <w:rFonts w:ascii="Times New Roman" w:hAnsi="Times New Roman" w:cs="Times New Roman"/>
          <w:sz w:val="18"/>
          <w:szCs w:val="18"/>
        </w:rPr>
        <w:t>, nitrogen oxides; PM</w:t>
      </w:r>
      <w:r>
        <w:rPr>
          <w:rFonts w:ascii="Times New Roman" w:hAnsi="Times New Roman" w:cs="Times New Roman"/>
          <w:sz w:val="18"/>
          <w:szCs w:val="18"/>
          <w:vertAlign w:val="subscript"/>
        </w:rPr>
        <w:t>10</w:t>
      </w:r>
      <w:r>
        <w:rPr>
          <w:rFonts w:ascii="Times New Roman" w:hAnsi="Times New Roman" w:cs="Times New Roman"/>
          <w:sz w:val="18"/>
          <w:szCs w:val="18"/>
        </w:rPr>
        <w:t>, particulate matter with an aerodynamic diameter ≤10 μm;</w:t>
      </w:r>
      <w:r>
        <w:rPr>
          <w:rFonts w:hint="eastAsia" w:ascii="Times New Roman" w:hAnsi="Times New Roman" w:cs="Times New Roman"/>
          <w:sz w:val="18"/>
          <w:szCs w:val="18"/>
        </w:rPr>
        <w:t xml:space="preserve"> </w:t>
      </w:r>
      <w:r>
        <w:rPr>
          <w:rFonts w:ascii="Times New Roman" w:hAnsi="Times New Roman" w:cs="Times New Roman"/>
          <w:sz w:val="18"/>
          <w:szCs w:val="18"/>
        </w:rPr>
        <w:t>PM</w:t>
      </w:r>
      <w:r>
        <w:rPr>
          <w:rFonts w:ascii="Times New Roman" w:hAnsi="Times New Roman" w:cs="Times New Roman"/>
          <w:sz w:val="18"/>
          <w:szCs w:val="18"/>
          <w:vertAlign w:val="subscript"/>
        </w:rPr>
        <w:t>2.5</w:t>
      </w:r>
      <w:r>
        <w:rPr>
          <w:rFonts w:ascii="Times New Roman" w:hAnsi="Times New Roman" w:cs="Times New Roman"/>
          <w:sz w:val="18"/>
          <w:szCs w:val="18"/>
        </w:rPr>
        <w:t>, particulate matter with an aerodynamic diameter ≤2.5 μm</w:t>
      </w:r>
      <w:r>
        <w:rPr>
          <w:rFonts w:hint="eastAsia" w:ascii="Times New Roman" w:hAnsi="Times New Roman" w:cs="Times New Roman"/>
          <w:sz w:val="18"/>
          <w:szCs w:val="18"/>
        </w:rPr>
        <w:t>.</w:t>
      </w:r>
    </w:p>
    <w:p>
      <w:pPr>
        <w:pStyle w:val="10"/>
        <w:rPr>
          <w:rFonts w:ascii="Times New Roman" w:hAnsi="Times New Roman" w:cs="Times New Roman"/>
          <w:sz w:val="28"/>
          <w:szCs w:val="28"/>
        </w:rPr>
      </w:pPr>
      <w:r>
        <w:rPr>
          <w:rFonts w:ascii="Times New Roman" w:hAnsi="Times New Roman" w:cs="Times New Roman"/>
          <w:b/>
          <w:bCs/>
          <w:sz w:val="28"/>
          <w:szCs w:val="28"/>
        </w:rPr>
        <w:t xml:space="preserve">Supplementary </w:t>
      </w:r>
      <w:r>
        <w:rPr>
          <w:rFonts w:hint="eastAsia" w:ascii="Times New Roman" w:hAnsi="Times New Roman" w:cs="Times New Roman"/>
          <w:b/>
          <w:bCs/>
          <w:sz w:val="28"/>
          <w:szCs w:val="28"/>
        </w:rPr>
        <w:t>Figure</w:t>
      </w:r>
      <w:r>
        <w:rPr>
          <w:rFonts w:ascii="Times New Roman" w:hAnsi="Times New Roman" w:cs="Times New Roman"/>
          <w:b/>
          <w:bCs/>
          <w:sz w:val="28"/>
          <w:szCs w:val="28"/>
        </w:rPr>
        <w:t xml:space="preserve"> S</w:t>
      </w:r>
      <w:r>
        <w:rPr>
          <w:rFonts w:hint="eastAsia" w:ascii="Times New Roman" w:hAnsi="Times New Roman" w:cs="Times New Roman"/>
          <w:b/>
          <w:bCs/>
          <w:sz w:val="28"/>
          <w:szCs w:val="28"/>
        </w:rPr>
        <w:t>4</w:t>
      </w:r>
      <w:r>
        <w:rPr>
          <w:rFonts w:ascii="Times New Roman" w:hAnsi="Times New Roman" w:cs="Times New Roman"/>
          <w:b/>
          <w:bCs/>
          <w:sz w:val="28"/>
          <w:szCs w:val="28"/>
        </w:rPr>
        <w:t xml:space="preserve">. </w:t>
      </w:r>
      <w:r>
        <w:rPr>
          <w:rFonts w:hint="eastAsia" w:ascii="Times New Roman" w:hAnsi="Times New Roman" w:cs="Times New Roman"/>
          <w:sz w:val="28"/>
          <w:szCs w:val="28"/>
        </w:rPr>
        <w:t>Subgroup analysis of the association between Life</w:t>
      </w:r>
      <w:r>
        <w:rPr>
          <w:rFonts w:ascii="Times New Roman" w:hAnsi="Times New Roman" w:cs="Times New Roman"/>
          <w:sz w:val="28"/>
          <w:szCs w:val="28"/>
        </w:rPr>
        <w:t>’</w:t>
      </w:r>
      <w:r>
        <w:rPr>
          <w:rFonts w:hint="eastAsia" w:ascii="Times New Roman" w:hAnsi="Times New Roman" w:cs="Times New Roman"/>
          <w:sz w:val="28"/>
          <w:szCs w:val="28"/>
        </w:rPr>
        <w:t xml:space="preserve">s Essential 8 score and chronic respiratory diseases. </w:t>
      </w:r>
    </w:p>
    <w:p>
      <w:pPr>
        <w:pStyle w:val="10"/>
        <w:rPr>
          <w:rFonts w:ascii="Times New Roman" w:hAnsi="Times New Roman" w:cs="Times New Roman"/>
          <w:sz w:val="28"/>
          <w:szCs w:val="28"/>
        </w:rPr>
      </w:pPr>
      <w:r>
        <w:rPr>
          <w:rFonts w:hint="eastAsia" w:ascii="Times New Roman" w:hAnsi="Times New Roman" w:cs="Times New Roman"/>
          <w:sz w:val="28"/>
          <w:szCs w:val="28"/>
        </w:rPr>
        <w:t>(A) Overall CRDs; (B) COPD; (C) Asthma; and (D) IPF.</w:t>
      </w:r>
    </w:p>
    <w:p>
      <w:pPr>
        <w:pStyle w:val="10"/>
        <w:rPr>
          <w:rFonts w:ascii="Times New Roman" w:hAnsi="Times New Roman" w:cs="Times New Roman"/>
          <w:b/>
          <w:bCs/>
          <w:sz w:val="28"/>
          <w:szCs w:val="28"/>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316595" cy="5327015"/>
            <wp:effectExtent l="0" t="0" r="6350" b="5715"/>
            <wp:wrapTopAndBottom/>
            <wp:docPr id="5" name="图片 5"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2"/>
                    <pic:cNvPicPr>
                      <a:picLocks noChangeAspect="1"/>
                    </pic:cNvPicPr>
                  </pic:nvPicPr>
                  <pic:blipFill>
                    <a:blip r:embed="rId7"/>
                    <a:srcRect r="915"/>
                    <a:stretch>
                      <a:fillRect/>
                    </a:stretch>
                  </pic:blipFill>
                  <pic:spPr>
                    <a:xfrm>
                      <a:off x="0" y="0"/>
                      <a:ext cx="8316595" cy="5327015"/>
                    </a:xfrm>
                    <a:prstGeom prst="rect">
                      <a:avLst/>
                    </a:prstGeom>
                  </pic:spPr>
                </pic:pic>
              </a:graphicData>
            </a:graphic>
          </wp:anchor>
        </w:drawing>
      </w:r>
      <w:r>
        <w:drawing>
          <wp:anchor distT="0" distB="0" distL="114300" distR="114300" simplePos="0" relativeHeight="251660288" behindDoc="0" locked="0" layoutInCell="1" allowOverlap="1">
            <wp:simplePos x="0" y="0"/>
            <wp:positionH relativeFrom="column">
              <wp:posOffset>4438650</wp:posOffset>
            </wp:positionH>
            <wp:positionV relativeFrom="paragraph">
              <wp:posOffset>3294380</wp:posOffset>
            </wp:positionV>
            <wp:extent cx="251460" cy="91440"/>
            <wp:effectExtent l="0" t="0" r="7620" b="5715"/>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252000" cy="91576"/>
                    </a:xfrm>
                    <a:prstGeom prst="rect">
                      <a:avLst/>
                    </a:prstGeom>
                  </pic:spPr>
                </pic:pic>
              </a:graphicData>
            </a:graphic>
          </wp:anchor>
        </w:drawing>
      </w:r>
    </w:p>
    <w:p>
      <w:pPr>
        <w:rPr>
          <w:rFonts w:ascii="Times New Roman" w:hAnsi="Times New Roman" w:cs="Times New Roman"/>
          <w:b/>
          <w:bCs/>
          <w:sz w:val="28"/>
          <w:szCs w:val="28"/>
        </w:rPr>
      </w:pPr>
      <w:r>
        <w:rPr>
          <w:rFonts w:hint="eastAsia" w:ascii="Times New Roman" w:hAnsi="Times New Roman" w:cs="Times New Roman"/>
          <w:sz w:val="18"/>
          <w:szCs w:val="18"/>
        </w:rPr>
        <w:t>Models were adjusted for age, sex, ethnicity, Townsend Deprivation Index, educational attainment, household income, NO</w:t>
      </w:r>
      <w:r>
        <w:rPr>
          <w:rFonts w:hint="eastAsia" w:ascii="Times New Roman" w:hAnsi="Times New Roman" w:cs="Times New Roman"/>
          <w:sz w:val="18"/>
          <w:szCs w:val="18"/>
          <w:vertAlign w:val="subscript"/>
        </w:rPr>
        <w:t>2</w:t>
      </w:r>
      <w:r>
        <w:rPr>
          <w:rFonts w:hint="eastAsia" w:ascii="Times New Roman" w:hAnsi="Times New Roman" w:cs="Times New Roman"/>
          <w:sz w:val="18"/>
          <w:szCs w:val="18"/>
        </w:rPr>
        <w:t>, NO</w:t>
      </w:r>
      <w:r>
        <w:rPr>
          <w:rFonts w:hint="eastAsia" w:ascii="Times New Roman" w:hAnsi="Times New Roman" w:cs="Times New Roman"/>
          <w:sz w:val="18"/>
          <w:szCs w:val="18"/>
          <w:vertAlign w:val="subscript"/>
        </w:rPr>
        <w:t>X</w:t>
      </w:r>
      <w:r>
        <w:rPr>
          <w:rFonts w:hint="eastAsia" w:ascii="Times New Roman" w:hAnsi="Times New Roman" w:cs="Times New Roman"/>
          <w:sz w:val="18"/>
          <w:szCs w:val="18"/>
        </w:rPr>
        <w:t>, PM</w:t>
      </w:r>
      <w:r>
        <w:rPr>
          <w:rFonts w:hint="eastAsia" w:ascii="Times New Roman" w:hAnsi="Times New Roman" w:cs="Times New Roman"/>
          <w:sz w:val="18"/>
          <w:szCs w:val="18"/>
          <w:vertAlign w:val="subscript"/>
        </w:rPr>
        <w:t>10</w:t>
      </w:r>
      <w:r>
        <w:rPr>
          <w:rFonts w:hint="eastAsia" w:ascii="Times New Roman" w:hAnsi="Times New Roman" w:cs="Times New Roman"/>
          <w:sz w:val="18"/>
          <w:szCs w:val="18"/>
        </w:rPr>
        <w:t>, and PM</w:t>
      </w:r>
      <w:r>
        <w:rPr>
          <w:rFonts w:hint="eastAsia" w:ascii="Times New Roman" w:hAnsi="Times New Roman" w:cs="Times New Roman"/>
          <w:sz w:val="18"/>
          <w:szCs w:val="18"/>
          <w:vertAlign w:val="subscript"/>
        </w:rPr>
        <w:t>2.5</w:t>
      </w:r>
      <w:r>
        <w:rPr>
          <w:rFonts w:hint="eastAsia" w:ascii="Times New Roman" w:hAnsi="Times New Roman" w:cs="Times New Roman"/>
          <w:sz w:val="18"/>
          <w:szCs w:val="18"/>
        </w:rPr>
        <w:t>. A</w:t>
      </w:r>
      <w:r>
        <w:rPr>
          <w:rFonts w:ascii="Times New Roman" w:hAnsi="Times New Roman" w:cs="Times New Roman"/>
          <w:sz w:val="18"/>
          <w:szCs w:val="18"/>
        </w:rPr>
        <w:t>bbreviations:</w:t>
      </w:r>
      <w:r>
        <w:rPr>
          <w:rFonts w:hint="eastAsia" w:ascii="Times New Roman" w:hAnsi="Times New Roman" w:cs="Times New Roman"/>
          <w:sz w:val="18"/>
          <w:szCs w:val="18"/>
        </w:rPr>
        <w:t xml:space="preserve"> </w:t>
      </w:r>
      <w:r>
        <w:rPr>
          <w:rFonts w:ascii="Times New Roman" w:hAnsi="Times New Roman" w:cs="Times New Roman"/>
          <w:sz w:val="18"/>
          <w:szCs w:val="18"/>
        </w:rPr>
        <w:t xml:space="preserve">CI, confidence interval; </w:t>
      </w:r>
      <w:r>
        <w:rPr>
          <w:rFonts w:hint="eastAsia" w:ascii="Times New Roman" w:hAnsi="Times New Roman" w:cs="Times New Roman"/>
          <w:sz w:val="18"/>
          <w:szCs w:val="18"/>
        </w:rPr>
        <w:t xml:space="preserve">COPD, chronic obstructive pulmonary disease; CRDs, chronic respiratory diseases; </w:t>
      </w:r>
      <w:r>
        <w:rPr>
          <w:rFonts w:ascii="Times New Roman" w:hAnsi="Times New Roman" w:cs="Times New Roman"/>
          <w:sz w:val="18"/>
          <w:szCs w:val="18"/>
        </w:rPr>
        <w:t>CVH, cardiovascular health;</w:t>
      </w:r>
      <w:r>
        <w:rPr>
          <w:rFonts w:hint="eastAsia" w:ascii="Times New Roman" w:hAnsi="Times New Roman" w:cs="Times New Roman"/>
          <w:sz w:val="18"/>
          <w:szCs w:val="18"/>
        </w:rPr>
        <w:t xml:space="preserve"> </w:t>
      </w:r>
      <w:r>
        <w:rPr>
          <w:rFonts w:ascii="Times New Roman" w:hAnsi="Times New Roman" w:cs="Times New Roman"/>
          <w:sz w:val="18"/>
          <w:szCs w:val="18"/>
        </w:rPr>
        <w:t>HR, hazard ratio</w:t>
      </w:r>
      <w:r>
        <w:rPr>
          <w:rFonts w:hint="eastAsia" w:ascii="Times New Roman" w:hAnsi="Times New Roman" w:cs="Times New Roman"/>
          <w:sz w:val="18"/>
          <w:szCs w:val="18"/>
        </w:rPr>
        <w:t>;</w:t>
      </w:r>
      <w:r>
        <w:rPr>
          <w:rFonts w:ascii="Times New Roman" w:hAnsi="Times New Roman" w:cs="Times New Roman"/>
          <w:sz w:val="18"/>
          <w:szCs w:val="18"/>
        </w:rPr>
        <w:t xml:space="preserve"> </w:t>
      </w:r>
      <w:r>
        <w:rPr>
          <w:rFonts w:hint="eastAsia" w:ascii="Times New Roman" w:hAnsi="Times New Roman" w:cs="Times New Roman"/>
          <w:sz w:val="18"/>
          <w:szCs w:val="18"/>
        </w:rPr>
        <w:t xml:space="preserve">IPF, idiopathic pulmonary fibrosis; </w:t>
      </w:r>
      <w:r>
        <w:rPr>
          <w:rFonts w:ascii="Times New Roman" w:hAnsi="Times New Roman" w:cs="Times New Roman"/>
          <w:sz w:val="18"/>
          <w:szCs w:val="18"/>
        </w:rPr>
        <w:t>NO</w:t>
      </w:r>
      <w:r>
        <w:rPr>
          <w:rFonts w:ascii="Times New Roman" w:hAnsi="Times New Roman" w:cs="Times New Roman"/>
          <w:sz w:val="18"/>
          <w:szCs w:val="18"/>
          <w:vertAlign w:val="subscript"/>
        </w:rPr>
        <w:t>2</w:t>
      </w:r>
      <w:r>
        <w:rPr>
          <w:rFonts w:ascii="Times New Roman" w:hAnsi="Times New Roman" w:cs="Times New Roman"/>
          <w:sz w:val="18"/>
          <w:szCs w:val="18"/>
        </w:rPr>
        <w:t>, nitrogen dioxide; NO</w:t>
      </w:r>
      <w:r>
        <w:rPr>
          <w:rFonts w:ascii="Times New Roman" w:hAnsi="Times New Roman" w:cs="Times New Roman"/>
          <w:sz w:val="18"/>
          <w:szCs w:val="18"/>
          <w:vertAlign w:val="subscript"/>
        </w:rPr>
        <w:t>X</w:t>
      </w:r>
      <w:r>
        <w:rPr>
          <w:rFonts w:ascii="Times New Roman" w:hAnsi="Times New Roman" w:cs="Times New Roman"/>
          <w:sz w:val="18"/>
          <w:szCs w:val="18"/>
        </w:rPr>
        <w:t>, nitrogen oxides; PM</w:t>
      </w:r>
      <w:r>
        <w:rPr>
          <w:rFonts w:ascii="Times New Roman" w:hAnsi="Times New Roman" w:cs="Times New Roman"/>
          <w:sz w:val="18"/>
          <w:szCs w:val="18"/>
          <w:vertAlign w:val="subscript"/>
        </w:rPr>
        <w:t>10</w:t>
      </w:r>
      <w:r>
        <w:rPr>
          <w:rFonts w:ascii="Times New Roman" w:hAnsi="Times New Roman" w:cs="Times New Roman"/>
          <w:sz w:val="18"/>
          <w:szCs w:val="18"/>
        </w:rPr>
        <w:t>, particulate matter with an aerodynamic diameter ≤10 μm;</w:t>
      </w:r>
      <w:r>
        <w:rPr>
          <w:rFonts w:hint="eastAsia" w:ascii="Times New Roman" w:hAnsi="Times New Roman" w:cs="Times New Roman"/>
          <w:sz w:val="18"/>
          <w:szCs w:val="18"/>
        </w:rPr>
        <w:t xml:space="preserve"> </w:t>
      </w:r>
      <w:r>
        <w:rPr>
          <w:rFonts w:ascii="Times New Roman" w:hAnsi="Times New Roman" w:cs="Times New Roman"/>
          <w:sz w:val="18"/>
          <w:szCs w:val="18"/>
        </w:rPr>
        <w:t>PM</w:t>
      </w:r>
      <w:r>
        <w:rPr>
          <w:rFonts w:ascii="Times New Roman" w:hAnsi="Times New Roman" w:cs="Times New Roman"/>
          <w:sz w:val="18"/>
          <w:szCs w:val="18"/>
          <w:vertAlign w:val="subscript"/>
        </w:rPr>
        <w:t>2.5</w:t>
      </w:r>
      <w:r>
        <w:rPr>
          <w:rFonts w:ascii="Times New Roman" w:hAnsi="Times New Roman" w:cs="Times New Roman"/>
          <w:sz w:val="18"/>
          <w:szCs w:val="18"/>
        </w:rPr>
        <w:t>, particulate matter with an aerodynamic diameter ≤2.5 μm</w:t>
      </w:r>
      <w:r>
        <w:rPr>
          <w:rFonts w:hint="eastAsia" w:ascii="Times New Roman" w:hAnsi="Times New Roman" w:cs="Times New Roman"/>
          <w:sz w:val="18"/>
          <w:szCs w:val="18"/>
        </w:rPr>
        <w:t>.</w:t>
      </w:r>
    </w:p>
    <w:p>
      <w:pPr>
        <w:pStyle w:val="10"/>
        <w:rPr>
          <w:rFonts w:ascii="Times New Roman" w:hAnsi="Times New Roman" w:cs="Times New Roman"/>
          <w:sz w:val="28"/>
          <w:szCs w:val="28"/>
        </w:rPr>
      </w:pPr>
      <w:r>
        <w:rPr>
          <w:rFonts w:ascii="Times New Roman" w:hAnsi="Times New Roman" w:cs="Times New Roman"/>
          <w:b/>
          <w:bCs/>
          <w:sz w:val="28"/>
          <w:szCs w:val="28"/>
        </w:rPr>
        <w:t xml:space="preserve">Supplementary </w:t>
      </w:r>
      <w:r>
        <w:rPr>
          <w:rFonts w:hint="eastAsia" w:ascii="Times New Roman" w:hAnsi="Times New Roman" w:cs="Times New Roman"/>
          <w:b/>
          <w:bCs/>
          <w:sz w:val="28"/>
          <w:szCs w:val="28"/>
        </w:rPr>
        <w:t>Figure</w:t>
      </w:r>
      <w:r>
        <w:rPr>
          <w:rFonts w:ascii="Times New Roman" w:hAnsi="Times New Roman" w:cs="Times New Roman"/>
          <w:b/>
          <w:bCs/>
          <w:sz w:val="28"/>
          <w:szCs w:val="28"/>
        </w:rPr>
        <w:t xml:space="preserve"> S</w:t>
      </w:r>
      <w:r>
        <w:rPr>
          <w:rFonts w:hint="eastAsia" w:ascii="Times New Roman" w:hAnsi="Times New Roman" w:cs="Times New Roman"/>
          <w:b/>
          <w:bCs/>
          <w:sz w:val="28"/>
          <w:szCs w:val="28"/>
        </w:rPr>
        <w:t>5</w:t>
      </w:r>
      <w:r>
        <w:rPr>
          <w:rFonts w:ascii="Times New Roman" w:hAnsi="Times New Roman" w:cs="Times New Roman"/>
          <w:b/>
          <w:bCs/>
          <w:sz w:val="28"/>
          <w:szCs w:val="28"/>
        </w:rPr>
        <w:t>.</w:t>
      </w:r>
      <w:r>
        <w:rPr>
          <w:rFonts w:hint="eastAsia" w:ascii="Times New Roman" w:hAnsi="Times New Roman" w:cs="Times New Roman"/>
          <w:b/>
          <w:bCs/>
          <w:sz w:val="28"/>
          <w:szCs w:val="28"/>
        </w:rPr>
        <w:t xml:space="preserve"> </w:t>
      </w:r>
      <w:r>
        <w:rPr>
          <w:rFonts w:hint="eastAsia" w:ascii="Times New Roman" w:hAnsi="Times New Roman" w:cs="Times New Roman"/>
          <w:sz w:val="28"/>
          <w:szCs w:val="28"/>
        </w:rPr>
        <w:t>Pearson correlations among Life</w:t>
      </w:r>
      <w:r>
        <w:rPr>
          <w:rFonts w:ascii="Times New Roman" w:hAnsi="Times New Roman" w:cs="Times New Roman"/>
          <w:sz w:val="28"/>
          <w:szCs w:val="28"/>
        </w:rPr>
        <w:t>’</w:t>
      </w:r>
      <w:r>
        <w:rPr>
          <w:rFonts w:hint="eastAsia" w:ascii="Times New Roman" w:hAnsi="Times New Roman" w:cs="Times New Roman"/>
          <w:sz w:val="28"/>
          <w:szCs w:val="28"/>
        </w:rPr>
        <w:t xml:space="preserve">s Essential 8 components and </w:t>
      </w:r>
      <w:r>
        <w:rPr>
          <w:rFonts w:ascii="Times New Roman" w:hAnsi="Times New Roman" w:cs="Times New Roman"/>
          <w:sz w:val="28"/>
          <w:szCs w:val="28"/>
        </w:rPr>
        <w:t>phenotypic age acceleration</w:t>
      </w:r>
      <w:r>
        <w:rPr>
          <w:rFonts w:hint="eastAsia" w:ascii="Times New Roman" w:hAnsi="Times New Roman" w:cs="Times New Roman"/>
          <w:sz w:val="28"/>
          <w:szCs w:val="28"/>
        </w:rPr>
        <w:t>.</w:t>
      </w:r>
    </w:p>
    <w:p>
      <w:pPr>
        <w:pStyle w:val="10"/>
        <w:rPr>
          <w:rFonts w:ascii="Times New Roman" w:hAnsi="Times New Roman" w:cs="Times New Roman"/>
          <w:b/>
          <w:bCs/>
          <w:sz w:val="28"/>
          <w:szCs w:val="28"/>
        </w:rPr>
      </w:pPr>
    </w:p>
    <w:p>
      <w:pPr>
        <w:pStyle w:val="10"/>
        <w:rPr>
          <w:rFonts w:ascii="Times New Roman" w:hAnsi="Times New Roman" w:cs="Times New Roman"/>
          <w:b/>
          <w:bCs/>
          <w:sz w:val="28"/>
          <w:szCs w:val="28"/>
        </w:rPr>
      </w:pPr>
      <w:r>
        <w:rPr>
          <w:rFonts w:ascii="Times New Roman" w:hAnsi="Times New Roman" w:cs="Times New Roman"/>
          <w:b/>
          <w:bCs/>
          <w:sz w:val="28"/>
          <w:szCs w:val="28"/>
        </w:rPr>
        <w:drawing>
          <wp:inline distT="0" distB="0" distL="114300" distR="114300">
            <wp:extent cx="7767320" cy="4901565"/>
            <wp:effectExtent l="0" t="0" r="5080" b="3810"/>
            <wp:docPr id="6" name="图片 6"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 3"/>
                    <pic:cNvPicPr>
                      <a:picLocks noChangeAspect="1"/>
                    </pic:cNvPicPr>
                  </pic:nvPicPr>
                  <pic:blipFill>
                    <a:blip r:embed="rId9"/>
                    <a:stretch>
                      <a:fillRect/>
                    </a:stretch>
                  </pic:blipFill>
                  <pic:spPr>
                    <a:xfrm>
                      <a:off x="0" y="0"/>
                      <a:ext cx="7767320" cy="4901565"/>
                    </a:xfrm>
                    <a:prstGeom prst="rect">
                      <a:avLst/>
                    </a:prstGeom>
                  </pic:spPr>
                </pic:pic>
              </a:graphicData>
            </a:graphic>
          </wp:inline>
        </w:drawing>
      </w:r>
    </w:p>
    <w:p>
      <w:pPr>
        <w:pStyle w:val="10"/>
        <w:rPr>
          <w:rFonts w:ascii="Times New Roman" w:hAnsi="Times New Roman" w:eastAsia="微软雅黑" w:cs="Times New Roman"/>
          <w:b/>
          <w:bCs/>
          <w:color w:val="000000"/>
          <w:kern w:val="0"/>
          <w:sz w:val="24"/>
          <w:lang w:bidi="ar"/>
        </w:rPr>
      </w:pPr>
      <w:r>
        <w:rPr>
          <w:rFonts w:hint="eastAsia" w:ascii="Times New Roman" w:hAnsi="Times New Roman" w:cs="Times New Roman"/>
          <w:sz w:val="18"/>
          <w:szCs w:val="18"/>
        </w:rPr>
        <w:t>A</w:t>
      </w:r>
      <w:r>
        <w:rPr>
          <w:rFonts w:ascii="Times New Roman" w:hAnsi="Times New Roman" w:cs="Times New Roman"/>
          <w:sz w:val="18"/>
          <w:szCs w:val="18"/>
        </w:rPr>
        <w:t>bbreviations:</w:t>
      </w:r>
      <w:r>
        <w:rPr>
          <w:rFonts w:hint="eastAsia" w:ascii="Times New Roman" w:hAnsi="Times New Roman" w:cs="Times New Roman"/>
          <w:sz w:val="18"/>
          <w:szCs w:val="18"/>
        </w:rPr>
        <w:t xml:space="preserve"> BMI = body mass index; PhenoAgeAccel = phenotypic age acceleration</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2OTNlY2VmZDUzMGY3Mjk0Yjc4N2ZkYTM5NDE1N2MifQ=="/>
  </w:docVars>
  <w:rsids>
    <w:rsidRoot w:val="00C04686"/>
    <w:rsid w:val="002A77E2"/>
    <w:rsid w:val="006F3DB7"/>
    <w:rsid w:val="008E6E22"/>
    <w:rsid w:val="00C04686"/>
    <w:rsid w:val="00CB40CE"/>
    <w:rsid w:val="00CF1CEA"/>
    <w:rsid w:val="016A6FD7"/>
    <w:rsid w:val="01B502E3"/>
    <w:rsid w:val="02897931"/>
    <w:rsid w:val="02DF57A3"/>
    <w:rsid w:val="03095139"/>
    <w:rsid w:val="0328539C"/>
    <w:rsid w:val="034872E6"/>
    <w:rsid w:val="04071455"/>
    <w:rsid w:val="041F054D"/>
    <w:rsid w:val="04545D1C"/>
    <w:rsid w:val="04A96068"/>
    <w:rsid w:val="04C35BB6"/>
    <w:rsid w:val="054173F3"/>
    <w:rsid w:val="05812237"/>
    <w:rsid w:val="05B13057"/>
    <w:rsid w:val="069B6A3E"/>
    <w:rsid w:val="06C90C44"/>
    <w:rsid w:val="07D23B28"/>
    <w:rsid w:val="07EF0236"/>
    <w:rsid w:val="08A05695"/>
    <w:rsid w:val="090222B2"/>
    <w:rsid w:val="09385C0D"/>
    <w:rsid w:val="0AD02EE4"/>
    <w:rsid w:val="0B3C12F7"/>
    <w:rsid w:val="0B3F3282"/>
    <w:rsid w:val="0B574A70"/>
    <w:rsid w:val="0B666A61"/>
    <w:rsid w:val="0BFE7C41"/>
    <w:rsid w:val="0CCD742D"/>
    <w:rsid w:val="0DA50C06"/>
    <w:rsid w:val="0E0B033E"/>
    <w:rsid w:val="0E96422F"/>
    <w:rsid w:val="0F535FB9"/>
    <w:rsid w:val="0FD52407"/>
    <w:rsid w:val="0FFD0A91"/>
    <w:rsid w:val="10090303"/>
    <w:rsid w:val="10186CD3"/>
    <w:rsid w:val="104D4694"/>
    <w:rsid w:val="106A6FF4"/>
    <w:rsid w:val="10D40911"/>
    <w:rsid w:val="111D19D2"/>
    <w:rsid w:val="116F5A66"/>
    <w:rsid w:val="117A787B"/>
    <w:rsid w:val="12D12509"/>
    <w:rsid w:val="1427662C"/>
    <w:rsid w:val="142C5E9B"/>
    <w:rsid w:val="14504752"/>
    <w:rsid w:val="14634486"/>
    <w:rsid w:val="147A532B"/>
    <w:rsid w:val="14A64DB0"/>
    <w:rsid w:val="15C42D02"/>
    <w:rsid w:val="168229B3"/>
    <w:rsid w:val="16F05C47"/>
    <w:rsid w:val="17237EFC"/>
    <w:rsid w:val="17891579"/>
    <w:rsid w:val="17DD62FD"/>
    <w:rsid w:val="17EA27C8"/>
    <w:rsid w:val="18187335"/>
    <w:rsid w:val="191915B7"/>
    <w:rsid w:val="1A930EF5"/>
    <w:rsid w:val="1AF75928"/>
    <w:rsid w:val="1B642331"/>
    <w:rsid w:val="1B6B5377"/>
    <w:rsid w:val="1B8F3DB2"/>
    <w:rsid w:val="1C7F5BD5"/>
    <w:rsid w:val="1D547061"/>
    <w:rsid w:val="1DC87107"/>
    <w:rsid w:val="1DEF28E6"/>
    <w:rsid w:val="1F4629DA"/>
    <w:rsid w:val="20125A9B"/>
    <w:rsid w:val="20300C67"/>
    <w:rsid w:val="204D15D2"/>
    <w:rsid w:val="21B5723B"/>
    <w:rsid w:val="22665141"/>
    <w:rsid w:val="22993768"/>
    <w:rsid w:val="22DB5B2F"/>
    <w:rsid w:val="249B3B4A"/>
    <w:rsid w:val="24A40B00"/>
    <w:rsid w:val="257638ED"/>
    <w:rsid w:val="262E41C8"/>
    <w:rsid w:val="265416C3"/>
    <w:rsid w:val="27147861"/>
    <w:rsid w:val="2755685C"/>
    <w:rsid w:val="27A40BE5"/>
    <w:rsid w:val="27B34225"/>
    <w:rsid w:val="27BD647F"/>
    <w:rsid w:val="28204972"/>
    <w:rsid w:val="28A6098D"/>
    <w:rsid w:val="2ABE73A0"/>
    <w:rsid w:val="2B204A27"/>
    <w:rsid w:val="2B2D2CA0"/>
    <w:rsid w:val="2BA03472"/>
    <w:rsid w:val="2BAC3F37"/>
    <w:rsid w:val="2C2E1B2C"/>
    <w:rsid w:val="2D5043F6"/>
    <w:rsid w:val="2D595FCE"/>
    <w:rsid w:val="2D5B5FD2"/>
    <w:rsid w:val="2DAC1E9E"/>
    <w:rsid w:val="2E980D78"/>
    <w:rsid w:val="2EDD67D0"/>
    <w:rsid w:val="2F1E302B"/>
    <w:rsid w:val="2F3A3BDD"/>
    <w:rsid w:val="2F854E58"/>
    <w:rsid w:val="2FE964EF"/>
    <w:rsid w:val="32500DC3"/>
    <w:rsid w:val="32546D0D"/>
    <w:rsid w:val="32D007AA"/>
    <w:rsid w:val="32E851AF"/>
    <w:rsid w:val="33093FF2"/>
    <w:rsid w:val="334D0383"/>
    <w:rsid w:val="33A04957"/>
    <w:rsid w:val="340053F5"/>
    <w:rsid w:val="34332B30"/>
    <w:rsid w:val="34B9544B"/>
    <w:rsid w:val="34C7258A"/>
    <w:rsid w:val="34CE1050"/>
    <w:rsid w:val="355E0625"/>
    <w:rsid w:val="3625245C"/>
    <w:rsid w:val="3B077069"/>
    <w:rsid w:val="3B64270E"/>
    <w:rsid w:val="3C1456E7"/>
    <w:rsid w:val="3C3D0578"/>
    <w:rsid w:val="3C4E0385"/>
    <w:rsid w:val="3C9A5CBB"/>
    <w:rsid w:val="3CAD59EE"/>
    <w:rsid w:val="3CC93C3E"/>
    <w:rsid w:val="3CD83332"/>
    <w:rsid w:val="3CDE204C"/>
    <w:rsid w:val="3D9E769D"/>
    <w:rsid w:val="3E676E7C"/>
    <w:rsid w:val="3E894239"/>
    <w:rsid w:val="3EFE7356"/>
    <w:rsid w:val="3F5B3E28"/>
    <w:rsid w:val="40C14EC9"/>
    <w:rsid w:val="413C7717"/>
    <w:rsid w:val="41986C6D"/>
    <w:rsid w:val="41E3261F"/>
    <w:rsid w:val="41F038B4"/>
    <w:rsid w:val="428611BC"/>
    <w:rsid w:val="432602A9"/>
    <w:rsid w:val="438C1210"/>
    <w:rsid w:val="443244F0"/>
    <w:rsid w:val="44E87F0C"/>
    <w:rsid w:val="458A2D71"/>
    <w:rsid w:val="45A8633B"/>
    <w:rsid w:val="46732CA2"/>
    <w:rsid w:val="48E11952"/>
    <w:rsid w:val="4A3643D9"/>
    <w:rsid w:val="4A4A2ACF"/>
    <w:rsid w:val="4B95246F"/>
    <w:rsid w:val="4BA5402A"/>
    <w:rsid w:val="4BD20FCE"/>
    <w:rsid w:val="4BEA27BB"/>
    <w:rsid w:val="4CF24DCE"/>
    <w:rsid w:val="4E0D2300"/>
    <w:rsid w:val="4E7B3B9E"/>
    <w:rsid w:val="4FD86DCF"/>
    <w:rsid w:val="50096F88"/>
    <w:rsid w:val="50DB6B76"/>
    <w:rsid w:val="51234079"/>
    <w:rsid w:val="51484635"/>
    <w:rsid w:val="51671B48"/>
    <w:rsid w:val="51DD06CC"/>
    <w:rsid w:val="51EC090F"/>
    <w:rsid w:val="520A1FAA"/>
    <w:rsid w:val="525210BA"/>
    <w:rsid w:val="526A1F2D"/>
    <w:rsid w:val="526A5A34"/>
    <w:rsid w:val="52C06024"/>
    <w:rsid w:val="53D33B35"/>
    <w:rsid w:val="54102FDB"/>
    <w:rsid w:val="54343F3B"/>
    <w:rsid w:val="54734812"/>
    <w:rsid w:val="54ED6FF7"/>
    <w:rsid w:val="55393E6B"/>
    <w:rsid w:val="559D089E"/>
    <w:rsid w:val="55A5225D"/>
    <w:rsid w:val="55F54236"/>
    <w:rsid w:val="563665FD"/>
    <w:rsid w:val="574F7976"/>
    <w:rsid w:val="577067DF"/>
    <w:rsid w:val="58580AAD"/>
    <w:rsid w:val="58785557"/>
    <w:rsid w:val="58913FBE"/>
    <w:rsid w:val="590D1897"/>
    <w:rsid w:val="5A004331"/>
    <w:rsid w:val="5B5E07F4"/>
    <w:rsid w:val="5BA27998"/>
    <w:rsid w:val="5C7B577D"/>
    <w:rsid w:val="5D4B6E32"/>
    <w:rsid w:val="5D4D4958"/>
    <w:rsid w:val="5EE237C6"/>
    <w:rsid w:val="5EF534F9"/>
    <w:rsid w:val="5F585836"/>
    <w:rsid w:val="5F993BEE"/>
    <w:rsid w:val="60205C1F"/>
    <w:rsid w:val="609B3C2C"/>
    <w:rsid w:val="60BB7E2A"/>
    <w:rsid w:val="617A5F38"/>
    <w:rsid w:val="62175534"/>
    <w:rsid w:val="62404A8B"/>
    <w:rsid w:val="62B54667"/>
    <w:rsid w:val="62E23D94"/>
    <w:rsid w:val="63702FD9"/>
    <w:rsid w:val="63754B4B"/>
    <w:rsid w:val="63F903EF"/>
    <w:rsid w:val="644910E2"/>
    <w:rsid w:val="64CE03A6"/>
    <w:rsid w:val="653528A1"/>
    <w:rsid w:val="65717652"/>
    <w:rsid w:val="657447EF"/>
    <w:rsid w:val="658D4AFC"/>
    <w:rsid w:val="65C8374D"/>
    <w:rsid w:val="665072DF"/>
    <w:rsid w:val="66723681"/>
    <w:rsid w:val="668D1CA4"/>
    <w:rsid w:val="66B718C9"/>
    <w:rsid w:val="67010561"/>
    <w:rsid w:val="672B67D1"/>
    <w:rsid w:val="67BD026B"/>
    <w:rsid w:val="67D973BA"/>
    <w:rsid w:val="681A3FD0"/>
    <w:rsid w:val="686018CF"/>
    <w:rsid w:val="69270753"/>
    <w:rsid w:val="69EC54F9"/>
    <w:rsid w:val="6A6B1D05"/>
    <w:rsid w:val="6A8A2D76"/>
    <w:rsid w:val="6AD402F9"/>
    <w:rsid w:val="6B3929BF"/>
    <w:rsid w:val="6B6F4633"/>
    <w:rsid w:val="6C7625FC"/>
    <w:rsid w:val="6CE8644B"/>
    <w:rsid w:val="6D003795"/>
    <w:rsid w:val="6D3F1E8F"/>
    <w:rsid w:val="6D754E6B"/>
    <w:rsid w:val="6E5E42C5"/>
    <w:rsid w:val="6EC30F67"/>
    <w:rsid w:val="6EDF562C"/>
    <w:rsid w:val="6F0155A2"/>
    <w:rsid w:val="6F6D0E8A"/>
    <w:rsid w:val="6F8F7052"/>
    <w:rsid w:val="6FFC2A0A"/>
    <w:rsid w:val="700B43B8"/>
    <w:rsid w:val="707D334E"/>
    <w:rsid w:val="70E707C8"/>
    <w:rsid w:val="723F4D5F"/>
    <w:rsid w:val="72A430EE"/>
    <w:rsid w:val="735935F3"/>
    <w:rsid w:val="739D54EB"/>
    <w:rsid w:val="73F6144E"/>
    <w:rsid w:val="74312486"/>
    <w:rsid w:val="743E1047"/>
    <w:rsid w:val="749E3893"/>
    <w:rsid w:val="74D80B53"/>
    <w:rsid w:val="76282A8C"/>
    <w:rsid w:val="76B80C3C"/>
    <w:rsid w:val="76C515AB"/>
    <w:rsid w:val="76EF6628"/>
    <w:rsid w:val="771552AA"/>
    <w:rsid w:val="779276DF"/>
    <w:rsid w:val="77C61DC1"/>
    <w:rsid w:val="787D038F"/>
    <w:rsid w:val="790740FD"/>
    <w:rsid w:val="79D833A4"/>
    <w:rsid w:val="7B7D06A6"/>
    <w:rsid w:val="7BA2010D"/>
    <w:rsid w:val="7BC2255D"/>
    <w:rsid w:val="7C1827CB"/>
    <w:rsid w:val="7C6D24C9"/>
    <w:rsid w:val="7C7E6484"/>
    <w:rsid w:val="7C8D66C7"/>
    <w:rsid w:val="7C923CDE"/>
    <w:rsid w:val="7CEE764C"/>
    <w:rsid w:val="7D406CC8"/>
    <w:rsid w:val="7D5822A5"/>
    <w:rsid w:val="7E2547ED"/>
    <w:rsid w:val="7E727ED8"/>
    <w:rsid w:val="7EDE320A"/>
    <w:rsid w:val="7FAF2DF8"/>
    <w:rsid w:val="7FCE7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8"/>
    <w:qFormat/>
    <w:uiPriority w:val="0"/>
    <w:pPr>
      <w:tabs>
        <w:tab w:val="center" w:pos="4153"/>
        <w:tab w:val="right" w:pos="8306"/>
      </w:tabs>
      <w:snapToGrid w:val="0"/>
      <w:jc w:val="left"/>
    </w:pPr>
    <w:rPr>
      <w:sz w:val="18"/>
      <w:szCs w:val="18"/>
    </w:rPr>
  </w:style>
  <w:style w:type="paragraph" w:styleId="4">
    <w:name w:val="header"/>
    <w:basedOn w:val="1"/>
    <w:link w:val="17"/>
    <w:qFormat/>
    <w:uiPriority w:val="0"/>
    <w:pP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styleId="9">
    <w:name w:val="Hyperlink"/>
    <w:basedOn w:val="7"/>
    <w:autoRedefine/>
    <w:qFormat/>
    <w:uiPriority w:val="0"/>
    <w:rPr>
      <w:color w:val="0000FF"/>
      <w:u w:val="single"/>
    </w:rPr>
  </w:style>
  <w:style w:type="paragraph" w:customStyle="1" w:styleId="10">
    <w:name w:val="TableTitle"/>
    <w:basedOn w:val="1"/>
    <w:autoRedefine/>
    <w:qFormat/>
    <w:uiPriority w:val="0"/>
  </w:style>
  <w:style w:type="paragraph" w:customStyle="1" w:styleId="11">
    <w:name w:val="TableHeader"/>
    <w:basedOn w:val="12"/>
    <w:autoRedefine/>
    <w:qFormat/>
    <w:uiPriority w:val="0"/>
    <w:pPr>
      <w:spacing w:before="120" w:line="240" w:lineRule="auto"/>
      <w:ind w:firstLine="0"/>
    </w:pPr>
    <w:rPr>
      <w:b/>
    </w:rPr>
  </w:style>
  <w:style w:type="paragraph" w:customStyle="1" w:styleId="12">
    <w:name w:val="Para"/>
    <w:basedOn w:val="1"/>
    <w:qFormat/>
    <w:uiPriority w:val="0"/>
    <w:pPr>
      <w:spacing w:line="360" w:lineRule="auto"/>
      <w:ind w:firstLine="288"/>
    </w:pPr>
  </w:style>
  <w:style w:type="paragraph" w:customStyle="1" w:styleId="13">
    <w:name w:val="TableSubHead"/>
    <w:basedOn w:val="11"/>
    <w:qFormat/>
    <w:uiPriority w:val="0"/>
  </w:style>
  <w:style w:type="character" w:customStyle="1" w:styleId="14">
    <w:name w:val="font41"/>
    <w:basedOn w:val="7"/>
    <w:autoRedefine/>
    <w:qFormat/>
    <w:uiPriority w:val="0"/>
    <w:rPr>
      <w:rFonts w:hint="default" w:ascii="Times New Roman" w:hAnsi="Times New Roman" w:cs="Times New Roman"/>
      <w:color w:val="000000"/>
      <w:sz w:val="21"/>
      <w:szCs w:val="21"/>
      <w:u w:val="none"/>
    </w:rPr>
  </w:style>
  <w:style w:type="character" w:customStyle="1" w:styleId="15">
    <w:name w:val="font51"/>
    <w:basedOn w:val="7"/>
    <w:autoRedefine/>
    <w:qFormat/>
    <w:uiPriority w:val="0"/>
    <w:rPr>
      <w:rFonts w:hint="default" w:ascii="Times New Roman" w:hAnsi="Times New Roman" w:cs="Times New Roman"/>
      <w:color w:val="000000"/>
      <w:sz w:val="21"/>
      <w:szCs w:val="21"/>
      <w:u w:val="none"/>
      <w:vertAlign w:val="superscript"/>
    </w:rPr>
  </w:style>
  <w:style w:type="character" w:customStyle="1" w:styleId="16">
    <w:name w:val="font31"/>
    <w:basedOn w:val="7"/>
    <w:autoRedefine/>
    <w:qFormat/>
    <w:uiPriority w:val="0"/>
    <w:rPr>
      <w:rFonts w:hint="default" w:ascii="Times New Roman" w:hAnsi="Times New Roman" w:cs="Times New Roman"/>
      <w:color w:val="000000"/>
      <w:sz w:val="22"/>
      <w:szCs w:val="22"/>
      <w:u w:val="none"/>
    </w:rPr>
  </w:style>
  <w:style w:type="character" w:customStyle="1" w:styleId="17">
    <w:name w:val="页眉 字符"/>
    <w:basedOn w:val="7"/>
    <w:link w:val="4"/>
    <w:qFormat/>
    <w:uiPriority w:val="0"/>
    <w:rPr>
      <w:rFonts w:asciiTheme="minorHAnsi" w:hAnsiTheme="minorHAnsi" w:eastAsiaTheme="minorEastAsia" w:cstheme="minorBidi"/>
      <w:kern w:val="2"/>
      <w:sz w:val="18"/>
      <w:szCs w:val="18"/>
    </w:rPr>
  </w:style>
  <w:style w:type="character" w:customStyle="1" w:styleId="18">
    <w:name w:val="页脚 字符"/>
    <w:basedOn w:val="7"/>
    <w:link w:val="3"/>
    <w:qFormat/>
    <w:uiPriority w:val="0"/>
    <w:rPr>
      <w:rFonts w:asciiTheme="minorHAnsi" w:hAnsiTheme="minorHAnsi" w:eastAsiaTheme="minorEastAsia" w:cstheme="minorBidi"/>
      <w:kern w:val="2"/>
      <w:sz w:val="18"/>
      <w:szCs w:val="18"/>
    </w:rPr>
  </w:style>
  <w:style w:type="paragraph" w:customStyle="1" w:styleId="19">
    <w:name w:val="Revision"/>
    <w:autoRedefine/>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591</Words>
  <Characters>3711</Characters>
  <Lines>68</Lines>
  <Paragraphs>20</Paragraphs>
  <TotalTime>6</TotalTime>
  <ScaleCrop>false</ScaleCrop>
  <LinksUpToDate>false</LinksUpToDate>
  <CharactersWithSpaces>4282</CharactersWithSpaces>
  <Application>WPS Office_12.1.0.16309_F1E327BC-269C-435d-A152-05C5408002CA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2026-04-27T08:01:00Z</dcterms:created>
  <dc:creator>Szq</dc:creator>
  <cp:lastModifiedBy>h～(￣￣～)~</cp:lastModifiedBy>
  <dcterms:modified xsi:type="dcterms:W3CDTF">2026-09-18T13:24:14Z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2052-12.1.0.16309</vt:lpwstr>
  </property>
  <property fmtid="{D5CDD505-2E9C-101B-9397-08002B2CF9AE}" pid="3" name="KSOTemplateDocerSaveRecord">
    <vt:lpwstr>eyJoZGlkIjoiYTY3YmVhZmViZTU4NzQwNjgwOTk0YzM1NmJiMzE1MDQiLCJ1c2VySWQiOiI3MjA2MTU5NDQifQ==</vt:lpwstr>
  </property>
  <property fmtid="{D5CDD505-2E9C-101B-9397-08002B2CF9AE}" pid="4" name="ICV">
    <vt:lpwstr>1E09D6F1CE6E444585AC9CCF281460B7_12</vt:lpwstr>
  </property>
</Properties>
</file>