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818" w:rsidRPr="003773F8" w:rsidRDefault="00844818" w:rsidP="0084481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773F8">
        <w:rPr>
          <w:rFonts w:ascii="Times New Roman" w:hAnsi="Times New Roman" w:cs="Times New Roman"/>
          <w:b/>
          <w:sz w:val="24"/>
          <w:szCs w:val="24"/>
        </w:rPr>
        <w:t xml:space="preserve">Prespecified outcomes in </w:t>
      </w:r>
      <w:proofErr w:type="spellStart"/>
      <w:r w:rsidR="00EB7DB1" w:rsidRPr="003773F8">
        <w:rPr>
          <w:rFonts w:ascii="Times New Roman" w:hAnsi="Times New Roman" w:cs="Times New Roman"/>
          <w:b/>
          <w:sz w:val="24"/>
          <w:szCs w:val="24"/>
        </w:rPr>
        <w:t>a</w:t>
      </w:r>
      <w:r w:rsidR="00FD2518" w:rsidRPr="003773F8">
        <w:rPr>
          <w:rFonts w:ascii="Times New Roman" w:hAnsi="Times New Roman" w:cs="Times New Roman"/>
          <w:b/>
          <w:sz w:val="24"/>
          <w:szCs w:val="24"/>
        </w:rPr>
        <w:t>polipoprotein</w:t>
      </w:r>
      <w:proofErr w:type="spellEnd"/>
      <w:r w:rsidR="00FD2518" w:rsidRPr="003773F8">
        <w:rPr>
          <w:rFonts w:ascii="Times New Roman" w:hAnsi="Times New Roman" w:cs="Times New Roman"/>
          <w:b/>
          <w:sz w:val="24"/>
          <w:szCs w:val="24"/>
        </w:rPr>
        <w:t xml:space="preserve"> E (</w:t>
      </w:r>
      <w:r w:rsidRPr="003773F8">
        <w:rPr>
          <w:rFonts w:ascii="Times New Roman" w:hAnsi="Times New Roman" w:cs="Times New Roman"/>
          <w:b/>
          <w:sz w:val="24"/>
          <w:szCs w:val="24"/>
        </w:rPr>
        <w:t>ApoE</w:t>
      </w:r>
      <w:r w:rsidR="00FD2518" w:rsidRPr="003773F8">
        <w:rPr>
          <w:rFonts w:ascii="Times New Roman" w:hAnsi="Times New Roman" w:cs="Times New Roman"/>
          <w:b/>
          <w:sz w:val="24"/>
          <w:szCs w:val="24"/>
        </w:rPr>
        <w:t>)</w:t>
      </w:r>
      <w:r w:rsidRPr="003773F8">
        <w:rPr>
          <w:rFonts w:ascii="Times New Roman" w:hAnsi="Times New Roman" w:cs="Times New Roman"/>
          <w:b/>
          <w:sz w:val="24"/>
          <w:szCs w:val="24"/>
        </w:rPr>
        <w:t xml:space="preserve"> ε4 carrier and noncarrier trials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7371"/>
      </w:tblGrid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Co-primary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51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Change from baseline to week 78 for ADAS-Cog/11 total score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51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Change from baseline to week 78 for DAD total score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Key secondary biomarker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ind w:left="351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Change from baseline to week 71 in brain amyloid burden (average </w:t>
            </w:r>
            <w:r w:rsidR="00FD2518" w:rsidRPr="008C34C6">
              <w:rPr>
                <w:rFonts w:ascii="Times New Roman" w:hAnsi="Times New Roman" w:cs="Times New Roman"/>
              </w:rPr>
              <w:t>standard</w:t>
            </w:r>
            <w:r w:rsidR="00FD0849">
              <w:rPr>
                <w:rFonts w:ascii="Times New Roman" w:hAnsi="Times New Roman" w:cs="Times New Roman"/>
              </w:rPr>
              <w:t>ized</w:t>
            </w:r>
            <w:r w:rsidR="00FD2518" w:rsidRPr="008C34C6">
              <w:rPr>
                <w:rFonts w:ascii="Times New Roman" w:hAnsi="Times New Roman" w:cs="Times New Roman"/>
              </w:rPr>
              <w:t xml:space="preserve"> uptake value ratio</w:t>
            </w:r>
            <w:r w:rsidRPr="008C34C6">
              <w:rPr>
                <w:rFonts w:ascii="Times New Roman" w:hAnsi="Times New Roman" w:cs="Times New Roman"/>
              </w:rPr>
              <w:t xml:space="preserve"> in prespecified ROI), assessed by PiB-PET imaging in a subset of subjects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Change from baseline to week 71 in p-tau levels in the CSF in a subset of subjects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80" w:lineRule="auto"/>
              <w:ind w:left="351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Change from baseline to week 71 in brain volume, assessed by MRI BBSI in a subset of subjects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Key secondary divergence of effect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Divergence of effect on ADAS-Cog/11 total scores from week 39 to 78 between bapineuzumab and placebo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Divergence of effect on DAD total scores from week 39 to 78 between bapineuzumab and placebo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Key secondary clinical and health outcomes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Time to median placebo deterioration on ADAS-Cog/11 total score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4"/>
              </w:numPr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  <w:b/>
              </w:rPr>
            </w:pPr>
            <w:r w:rsidRPr="008C34C6">
              <w:rPr>
                <w:rFonts w:ascii="Times New Roman" w:hAnsi="Times New Roman" w:cs="Times New Roman"/>
              </w:rPr>
              <w:t>Time to median placebo deterioration on DAD total score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Other secondary</w:t>
            </w:r>
            <w:r w:rsidR="007B2528">
              <w:rPr>
                <w:rFonts w:ascii="Times New Roman" w:hAnsi="Times New Roman" w:cs="Times New Roman"/>
              </w:rPr>
              <w:t xml:space="preserve"> outcomes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Proportions of subjects with worsening from baseline to week 78 of at most 0, 3, and 7 points on ADAS-Cog/11 total score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Proportions of subjects with worsening from baseline to week 78 of at most 0, 6, and 12 points on DAD total score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lastRenderedPageBreak/>
              <w:t>ADAS-Cog/11 total score cumulative response curves (reverse cumulative distribution functions)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42"/>
              <w:contextualSpacing w:val="0"/>
              <w:rPr>
                <w:rFonts w:ascii="Times New Roman" w:hAnsi="Times New Roman" w:cs="Times New Roman"/>
                <w:b/>
              </w:rPr>
            </w:pPr>
            <w:r w:rsidRPr="008C34C6">
              <w:rPr>
                <w:rFonts w:ascii="Times New Roman" w:hAnsi="Times New Roman" w:cs="Times New Roman"/>
              </w:rPr>
              <w:t>DAD total score cumulative response curves (reverse cumulative distribution functions)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  <w:bCs/>
              </w:rPr>
              <w:lastRenderedPageBreak/>
              <w:t>Exploratory efficacy: Other neuropsychiatric or cognitive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ind w:left="35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Change from baseline to week 78 in </w:t>
            </w:r>
            <w:r w:rsidR="00CD4B6E" w:rsidRPr="008C34C6">
              <w:rPr>
                <w:rFonts w:ascii="Times New Roman" w:hAnsi="Times New Roman" w:cs="Times New Roman"/>
              </w:rPr>
              <w:t>Neuropsychological Test Battery</w:t>
            </w:r>
            <w:r w:rsidRPr="008C34C6">
              <w:rPr>
                <w:rFonts w:ascii="Times New Roman" w:hAnsi="Times New Roman" w:cs="Times New Roman"/>
              </w:rPr>
              <w:t xml:space="preserve"> Z-score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ind w:left="35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Change from baseline to week 78 for </w:t>
            </w:r>
            <w:r w:rsidR="00CD4B6E" w:rsidRPr="008C34C6">
              <w:rPr>
                <w:rFonts w:ascii="Times New Roman" w:hAnsi="Times New Roman" w:cs="Times New Roman"/>
              </w:rPr>
              <w:t>Neuropsychiatric Inventory</w:t>
            </w:r>
            <w:r w:rsidRPr="008C34C6">
              <w:rPr>
                <w:rFonts w:ascii="Times New Roman" w:hAnsi="Times New Roman" w:cs="Times New Roman"/>
              </w:rPr>
              <w:t xml:space="preserve"> total score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80" w:lineRule="auto"/>
              <w:ind w:left="35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Change from baseline to week 78 for </w:t>
            </w:r>
            <w:r w:rsidR="00CD4B6E" w:rsidRPr="008C34C6">
              <w:rPr>
                <w:rFonts w:ascii="Times New Roman" w:hAnsi="Times New Roman" w:cs="Times New Roman"/>
              </w:rPr>
              <w:t>Mini–Mental State Examination</w:t>
            </w:r>
            <w:r w:rsidRPr="008C34C6">
              <w:rPr>
                <w:rFonts w:ascii="Times New Roman" w:hAnsi="Times New Roman" w:cs="Times New Roman"/>
              </w:rPr>
              <w:t xml:space="preserve"> total score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  <w:bCs/>
              </w:rPr>
              <w:t>Exploratory efficacy: Additional biomarker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ind w:left="35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Change from baseline to week 71 in CSF </w:t>
            </w:r>
            <w:r w:rsidR="003B43C9">
              <w:rPr>
                <w:rFonts w:ascii="Times New Roman" w:hAnsi="Times New Roman" w:cs="Times New Roman"/>
              </w:rPr>
              <w:t xml:space="preserve">total </w:t>
            </w:r>
            <w:r w:rsidRPr="008C34C6">
              <w:rPr>
                <w:rFonts w:ascii="Times New Roman" w:hAnsi="Times New Roman" w:cs="Times New Roman"/>
              </w:rPr>
              <w:t>tau levels in a subset of subjects</w:t>
            </w:r>
          </w:p>
          <w:p w:rsidR="00A66496" w:rsidRPr="008C34C6" w:rsidRDefault="00844818" w:rsidP="009D5F2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ind w:left="35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Change from screening to week 71 in </w:t>
            </w:r>
            <w:r w:rsidR="00A66496" w:rsidRPr="008C34C6">
              <w:rPr>
                <w:rFonts w:ascii="Times New Roman" w:hAnsi="Times New Roman" w:cs="Times New Roman"/>
              </w:rPr>
              <w:t>whole-brain volume</w:t>
            </w:r>
            <w:r w:rsidRPr="008C34C6">
              <w:rPr>
                <w:rFonts w:ascii="Times New Roman" w:hAnsi="Times New Roman" w:cs="Times New Roman"/>
              </w:rPr>
              <w:t xml:space="preserve">, </w:t>
            </w:r>
            <w:r w:rsidR="00A66496" w:rsidRPr="008C34C6">
              <w:rPr>
                <w:rFonts w:ascii="Times New Roman" w:hAnsi="Times New Roman" w:cs="Times New Roman"/>
              </w:rPr>
              <w:t>ventricular volume</w:t>
            </w:r>
            <w:r w:rsidRPr="008C34C6">
              <w:rPr>
                <w:rFonts w:ascii="Times New Roman" w:hAnsi="Times New Roman" w:cs="Times New Roman"/>
              </w:rPr>
              <w:t xml:space="preserve">, </w:t>
            </w:r>
            <w:r w:rsidR="00A66496" w:rsidRPr="008C34C6">
              <w:rPr>
                <w:rFonts w:ascii="Times New Roman" w:hAnsi="Times New Roman" w:cs="Times New Roman"/>
              </w:rPr>
              <w:t>ventricular boundary shift integral</w:t>
            </w:r>
            <w:r w:rsidRPr="008C34C6">
              <w:rPr>
                <w:rFonts w:ascii="Times New Roman" w:hAnsi="Times New Roman" w:cs="Times New Roman"/>
              </w:rPr>
              <w:t xml:space="preserve">, and </w:t>
            </w:r>
            <w:r w:rsidR="00A66496" w:rsidRPr="008C34C6">
              <w:rPr>
                <w:rFonts w:ascii="Times New Roman" w:hAnsi="Times New Roman" w:cs="Times New Roman"/>
              </w:rPr>
              <w:t>hippocampal boundary shift integral</w:t>
            </w:r>
            <w:r w:rsidRPr="008C34C6">
              <w:rPr>
                <w:rFonts w:ascii="Times New Roman" w:hAnsi="Times New Roman" w:cs="Times New Roman"/>
              </w:rPr>
              <w:t>, as assessed by MRI in a subset of subjects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480" w:lineRule="auto"/>
              <w:ind w:left="35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Change from baseline to week 71 in brain amyloid burden in individual ROI as assessed by PiB</w:t>
            </w:r>
            <w:r w:rsidR="00613097">
              <w:rPr>
                <w:rFonts w:ascii="Times New Roman" w:hAnsi="Times New Roman" w:cs="Times New Roman"/>
              </w:rPr>
              <w:t>-</w:t>
            </w:r>
            <w:r w:rsidRPr="008C34C6">
              <w:rPr>
                <w:rFonts w:ascii="Times New Roman" w:hAnsi="Times New Roman" w:cs="Times New Roman"/>
              </w:rPr>
              <w:t>PET imaging in a subset of subjects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  <w:bCs/>
              </w:rPr>
              <w:t>Exploratory efficacy: Correlations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35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Correlations between change from baseline to week 78 in ADAS-Cog/11 total score and DAD total score versus change from baseline to week 71 in key secondary biomarkers (PiB</w:t>
            </w:r>
            <w:r w:rsidR="008A5E02">
              <w:rPr>
                <w:rFonts w:ascii="Times New Roman" w:hAnsi="Times New Roman" w:cs="Times New Roman"/>
              </w:rPr>
              <w:t>-</w:t>
            </w:r>
            <w:r w:rsidRPr="008C34C6">
              <w:rPr>
                <w:rFonts w:ascii="Times New Roman" w:hAnsi="Times New Roman" w:cs="Times New Roman"/>
              </w:rPr>
              <w:t>PET ROI average, CSF p-tau, and BBSI)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8C34C6">
              <w:rPr>
                <w:rFonts w:ascii="Times New Roman" w:hAnsi="Times New Roman" w:cs="Times New Roman"/>
                <w:bCs/>
              </w:rPr>
              <w:lastRenderedPageBreak/>
              <w:t>Exploratory efficacy: Pharmacokinetic and pharmacodynamic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Serum bapineuzumab concentrations at specified weeks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Serum bapineuzumab population </w:t>
            </w:r>
            <w:r w:rsidR="008A5E02">
              <w:rPr>
                <w:rFonts w:ascii="Times New Roman" w:hAnsi="Times New Roman" w:cs="Times New Roman"/>
              </w:rPr>
              <w:t>PK</w:t>
            </w:r>
            <w:r w:rsidRPr="008C34C6">
              <w:rPr>
                <w:rFonts w:ascii="Times New Roman" w:hAnsi="Times New Roman" w:cs="Times New Roman"/>
              </w:rPr>
              <w:t xml:space="preserve"> parameters, clearance</w:t>
            </w:r>
            <w:r w:rsidR="008A5E02">
              <w:rPr>
                <w:rFonts w:ascii="Times New Roman" w:hAnsi="Times New Roman" w:cs="Times New Roman"/>
              </w:rPr>
              <w:t>,</w:t>
            </w:r>
            <w:r w:rsidRPr="008C34C6">
              <w:rPr>
                <w:rFonts w:ascii="Times New Roman" w:hAnsi="Times New Roman" w:cs="Times New Roman"/>
              </w:rPr>
              <w:t xml:space="preserve"> and volume of distribution, and </w:t>
            </w:r>
            <w:r w:rsidR="00607F65">
              <w:rPr>
                <w:rFonts w:ascii="Times New Roman" w:hAnsi="Times New Roman" w:cs="Times New Roman"/>
              </w:rPr>
              <w:t xml:space="preserve">the </w:t>
            </w:r>
            <w:r w:rsidRPr="008C34C6">
              <w:rPr>
                <w:rFonts w:ascii="Times New Roman" w:hAnsi="Times New Roman" w:cs="Times New Roman"/>
              </w:rPr>
              <w:t>percentage coefficient of variation of these parameters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Extrinsic and intrinsic factors that may contribute to the variability observed in the population </w:t>
            </w:r>
            <w:r w:rsidR="008A5E02">
              <w:rPr>
                <w:rFonts w:ascii="Times New Roman" w:hAnsi="Times New Roman" w:cs="Times New Roman"/>
              </w:rPr>
              <w:t>PK</w:t>
            </w:r>
            <w:r w:rsidRPr="008C34C6">
              <w:rPr>
                <w:rFonts w:ascii="Times New Roman" w:hAnsi="Times New Roman" w:cs="Times New Roman"/>
              </w:rPr>
              <w:t xml:space="preserve"> parameters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CSF concentrations of bapineuzumab at week 71 for a subset of subjects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Change from baseline to week 71 in </w:t>
            </w:r>
            <w:r w:rsidR="00EC0A9D" w:rsidRPr="00F51877">
              <w:rPr>
                <w:rFonts w:ascii="Times New Roman" w:hAnsi="Times New Roman" w:cs="Times New Roman"/>
              </w:rPr>
              <w:t>amyloid beta</w:t>
            </w:r>
            <w:r w:rsidRPr="008C34C6">
              <w:rPr>
                <w:rFonts w:ascii="Times New Roman" w:hAnsi="Times New Roman" w:cs="Times New Roman"/>
              </w:rPr>
              <w:t xml:space="preserve"> concentrations in the CSF and plasma for a subset of subjects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8C34C6">
              <w:rPr>
                <w:rFonts w:ascii="Times New Roman" w:hAnsi="Times New Roman" w:cs="Times New Roman"/>
                <w:bCs/>
              </w:rPr>
              <w:t>Exploratory efficacy: Immunogenicity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Serum anti</w:t>
            </w:r>
            <w:r w:rsidR="0092091F">
              <w:rPr>
                <w:rFonts w:ascii="Times New Roman" w:hAnsi="Times New Roman" w:cs="Times New Roman"/>
              </w:rPr>
              <w:t>-</w:t>
            </w:r>
            <w:r w:rsidRPr="008C34C6">
              <w:rPr>
                <w:rFonts w:ascii="Times New Roman" w:hAnsi="Times New Roman" w:cs="Times New Roman"/>
              </w:rPr>
              <w:t>bapineuzumab antibody levels in all subjects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CSF anti</w:t>
            </w:r>
            <w:r w:rsidR="00A67239" w:rsidRPr="008C34C6">
              <w:rPr>
                <w:rFonts w:ascii="Times New Roman" w:hAnsi="Times New Roman" w:cs="Times New Roman"/>
              </w:rPr>
              <w:t>-</w:t>
            </w:r>
            <w:r w:rsidRPr="008C34C6">
              <w:rPr>
                <w:rFonts w:ascii="Times New Roman" w:hAnsi="Times New Roman" w:cs="Times New Roman"/>
              </w:rPr>
              <w:t xml:space="preserve">bapineuzumab antibody levels in a subset of subjects 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8C34C6">
              <w:rPr>
                <w:rFonts w:ascii="Times New Roman" w:hAnsi="Times New Roman" w:cs="Times New Roman"/>
                <w:bCs/>
              </w:rPr>
              <w:t xml:space="preserve">Exploratory efficacy: Additional </w:t>
            </w:r>
            <w:r w:rsidRPr="008C34C6">
              <w:rPr>
                <w:rFonts w:ascii="Times New Roman" w:hAnsi="Times New Roman" w:cs="Times New Roman"/>
              </w:rPr>
              <w:t>health outcomes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Subject resource utilization and needed caregiver time using RUD-Lite v2.4 in subjects with mild to moderate AD, including change from baseline scores in the primary and secondary caregiver time component of RUD-Lite v2.4 to week 78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Health-related </w:t>
            </w:r>
            <w:proofErr w:type="spellStart"/>
            <w:r w:rsidR="005179E2">
              <w:rPr>
                <w:rFonts w:ascii="Times New Roman" w:hAnsi="Times New Roman" w:cs="Times New Roman"/>
              </w:rPr>
              <w:t>QoL</w:t>
            </w:r>
            <w:proofErr w:type="spellEnd"/>
            <w:r w:rsidRPr="008C34C6">
              <w:rPr>
                <w:rFonts w:ascii="Times New Roman" w:hAnsi="Times New Roman" w:cs="Times New Roman"/>
              </w:rPr>
              <w:t xml:space="preserve"> in subjects with mild to moderate AD, determined by the change from baseline scores in </w:t>
            </w:r>
            <w:proofErr w:type="spellStart"/>
            <w:r w:rsidR="005179E2">
              <w:rPr>
                <w:rFonts w:ascii="Times New Roman" w:hAnsi="Times New Roman" w:cs="Times New Roman"/>
              </w:rPr>
              <w:t>QoL</w:t>
            </w:r>
            <w:proofErr w:type="spellEnd"/>
            <w:r w:rsidRPr="008C34C6">
              <w:rPr>
                <w:rFonts w:ascii="Times New Roman" w:hAnsi="Times New Roman" w:cs="Times New Roman"/>
              </w:rPr>
              <w:t xml:space="preserve"> AD scores to week 78</w:t>
            </w:r>
          </w:p>
          <w:p w:rsidR="00844818" w:rsidRPr="008C34C6" w:rsidRDefault="00A67239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>Health Utilities Index</w:t>
            </w:r>
            <w:r w:rsidR="00844818" w:rsidRPr="008C34C6">
              <w:rPr>
                <w:rFonts w:ascii="Times New Roman" w:hAnsi="Times New Roman" w:cs="Times New Roman"/>
              </w:rPr>
              <w:t xml:space="preserve"> total score</w:t>
            </w:r>
          </w:p>
        </w:tc>
      </w:tr>
      <w:tr w:rsidR="00844818" w:rsidRPr="008C34C6" w:rsidTr="003773F8">
        <w:tc>
          <w:tcPr>
            <w:tcW w:w="1989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8C34C6">
              <w:rPr>
                <w:rFonts w:ascii="Times New Roman" w:hAnsi="Times New Roman" w:cs="Times New Roman"/>
                <w:bCs/>
              </w:rPr>
              <w:t>Safety</w:t>
            </w:r>
          </w:p>
        </w:tc>
        <w:tc>
          <w:tcPr>
            <w:tcW w:w="7587" w:type="dxa"/>
            <w:tcBorders>
              <w:left w:val="nil"/>
              <w:right w:val="nil"/>
            </w:tcBorders>
          </w:tcPr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Incidence and severity of </w:t>
            </w:r>
            <w:r w:rsidR="00E13DEB" w:rsidRPr="008C34C6">
              <w:rPr>
                <w:rFonts w:ascii="Times New Roman" w:hAnsi="Times New Roman" w:cs="Times New Roman"/>
              </w:rPr>
              <w:t>treatment-emergent adverse events</w:t>
            </w:r>
          </w:p>
          <w:p w:rsidR="00844818" w:rsidRPr="008C34C6" w:rsidRDefault="00844818" w:rsidP="009D5F2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280"/>
              <w:contextualSpacing w:val="0"/>
              <w:rPr>
                <w:rFonts w:ascii="Times New Roman" w:hAnsi="Times New Roman" w:cs="Times New Roman"/>
              </w:rPr>
            </w:pPr>
            <w:r w:rsidRPr="008C34C6">
              <w:rPr>
                <w:rFonts w:ascii="Times New Roman" w:hAnsi="Times New Roman" w:cs="Times New Roman"/>
              </w:rPr>
              <w:t xml:space="preserve">Clinically important changes in safety assessment results, including, as appropriate, vital signs, weight, clinical laboratory tests, </w:t>
            </w:r>
            <w:r w:rsidRPr="008C34C6">
              <w:rPr>
                <w:rFonts w:ascii="Times New Roman" w:hAnsi="Times New Roman" w:cs="Times New Roman"/>
              </w:rPr>
              <w:lastRenderedPageBreak/>
              <w:t>electrocardiograms, brain MRI scans, and physical and neurologic examinations</w:t>
            </w:r>
          </w:p>
        </w:tc>
      </w:tr>
    </w:tbl>
    <w:p w:rsidR="00844818" w:rsidRPr="008C34C6" w:rsidRDefault="0092091F" w:rsidP="008448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 = Alzheimer’s disease; </w:t>
      </w:r>
      <w:r w:rsidR="008C34C6" w:rsidRPr="008C34C6">
        <w:rPr>
          <w:rFonts w:ascii="Times New Roman" w:hAnsi="Times New Roman" w:cs="Times New Roman"/>
          <w:sz w:val="24"/>
          <w:szCs w:val="24"/>
        </w:rPr>
        <w:t xml:space="preserve">ADAS-Cog/11 = 11-item Alzheimer’s Disease Assessment Scale–Cognitive subscale; </w:t>
      </w:r>
      <w:r w:rsidR="008C34C6">
        <w:rPr>
          <w:rFonts w:ascii="Times New Roman" w:hAnsi="Times New Roman" w:cs="Times New Roman"/>
          <w:sz w:val="24"/>
          <w:szCs w:val="24"/>
        </w:rPr>
        <w:t xml:space="preserve">BBSI = brain boundary shift integral; CSF = </w:t>
      </w:r>
      <w:r w:rsidR="008C34C6" w:rsidRPr="008C34C6">
        <w:rPr>
          <w:rFonts w:ascii="Times New Roman" w:hAnsi="Times New Roman" w:cs="Times New Roman"/>
          <w:sz w:val="24"/>
          <w:szCs w:val="24"/>
        </w:rPr>
        <w:t>cerebrospinal fluid</w:t>
      </w:r>
      <w:r w:rsidR="008C34C6">
        <w:rPr>
          <w:rFonts w:ascii="Times New Roman" w:hAnsi="Times New Roman" w:cs="Times New Roman"/>
          <w:sz w:val="24"/>
          <w:szCs w:val="24"/>
        </w:rPr>
        <w:t>;</w:t>
      </w:r>
      <w:r w:rsidR="008C34C6" w:rsidRPr="008C34C6">
        <w:rPr>
          <w:rFonts w:ascii="Times New Roman" w:hAnsi="Times New Roman" w:cs="Times New Roman"/>
          <w:sz w:val="24"/>
          <w:szCs w:val="24"/>
        </w:rPr>
        <w:t xml:space="preserve"> DAD = Disability Assessment for Dementia; </w:t>
      </w:r>
      <w:r w:rsidR="008C34C6">
        <w:rPr>
          <w:rFonts w:ascii="Times New Roman" w:hAnsi="Times New Roman" w:cs="Times New Roman"/>
          <w:sz w:val="24"/>
          <w:szCs w:val="24"/>
        </w:rPr>
        <w:t xml:space="preserve">MRI = </w:t>
      </w:r>
      <w:r w:rsidR="008C34C6" w:rsidRPr="008C34C6">
        <w:rPr>
          <w:rFonts w:ascii="Times New Roman" w:hAnsi="Times New Roman" w:cs="Times New Roman"/>
          <w:sz w:val="24"/>
          <w:szCs w:val="24"/>
        </w:rPr>
        <w:t>magnetic resonance imaging</w:t>
      </w:r>
      <w:r w:rsidR="008C34C6">
        <w:rPr>
          <w:rFonts w:ascii="Times New Roman" w:hAnsi="Times New Roman" w:cs="Times New Roman"/>
          <w:sz w:val="24"/>
          <w:szCs w:val="24"/>
        </w:rPr>
        <w:t>;</w:t>
      </w:r>
      <w:r w:rsidR="008C34C6" w:rsidRPr="008C34C6">
        <w:rPr>
          <w:rFonts w:ascii="Times New Roman" w:hAnsi="Times New Roman" w:cs="Times New Roman"/>
          <w:sz w:val="24"/>
          <w:szCs w:val="24"/>
        </w:rPr>
        <w:t xml:space="preserve"> PET = positron emission tomography; PiB = </w:t>
      </w:r>
      <w:r w:rsidR="008C34C6" w:rsidRPr="008C34C6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8C34C6" w:rsidRPr="008C34C6">
        <w:rPr>
          <w:rFonts w:ascii="Times New Roman" w:hAnsi="Times New Roman" w:cs="Times New Roman"/>
          <w:sz w:val="24"/>
          <w:szCs w:val="24"/>
        </w:rPr>
        <w:t xml:space="preserve">C-Pittsburgh compound B; </w:t>
      </w:r>
      <w:r w:rsidR="008A5E02">
        <w:rPr>
          <w:rFonts w:ascii="Times New Roman" w:hAnsi="Times New Roman" w:cs="Times New Roman"/>
          <w:sz w:val="24"/>
          <w:szCs w:val="24"/>
        </w:rPr>
        <w:t xml:space="preserve">PK = pharmacokinetic; </w:t>
      </w:r>
      <w:r w:rsidR="008C34C6">
        <w:rPr>
          <w:rFonts w:ascii="Times New Roman" w:hAnsi="Times New Roman" w:cs="Times New Roman"/>
          <w:sz w:val="24"/>
          <w:szCs w:val="24"/>
        </w:rPr>
        <w:t xml:space="preserve">p-tau = </w:t>
      </w:r>
      <w:r w:rsidR="008C34C6" w:rsidRPr="008C34C6">
        <w:rPr>
          <w:rFonts w:ascii="Times New Roman" w:hAnsi="Times New Roman" w:cs="Times New Roman"/>
          <w:sz w:val="24"/>
          <w:szCs w:val="24"/>
        </w:rPr>
        <w:t>phosphorylated tau</w:t>
      </w:r>
      <w:r w:rsidR="008C34C6">
        <w:rPr>
          <w:rFonts w:ascii="Times New Roman" w:hAnsi="Times New Roman" w:cs="Times New Roman"/>
          <w:sz w:val="24"/>
          <w:szCs w:val="24"/>
        </w:rPr>
        <w:t>;</w:t>
      </w:r>
      <w:r w:rsidR="008C34C6" w:rsidRPr="008C3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9E2">
        <w:rPr>
          <w:rFonts w:ascii="Times New Roman" w:hAnsi="Times New Roman" w:cs="Times New Roman"/>
          <w:sz w:val="24"/>
          <w:szCs w:val="24"/>
        </w:rPr>
        <w:t>QoL</w:t>
      </w:r>
      <w:proofErr w:type="spellEnd"/>
      <w:r w:rsidR="005179E2">
        <w:rPr>
          <w:rFonts w:ascii="Times New Roman" w:hAnsi="Times New Roman" w:cs="Times New Roman"/>
          <w:sz w:val="24"/>
          <w:szCs w:val="24"/>
        </w:rPr>
        <w:t xml:space="preserve"> = quality of life; </w:t>
      </w:r>
      <w:r w:rsidR="008C34C6" w:rsidRPr="008C34C6">
        <w:rPr>
          <w:rFonts w:ascii="Times New Roman" w:hAnsi="Times New Roman" w:cs="Times New Roman"/>
          <w:sz w:val="24"/>
          <w:szCs w:val="24"/>
        </w:rPr>
        <w:t xml:space="preserve">ROI = region of interest; </w:t>
      </w:r>
      <w:r w:rsidR="00844818" w:rsidRPr="008C34C6">
        <w:rPr>
          <w:rFonts w:ascii="Times New Roman" w:hAnsi="Times New Roman" w:cs="Times New Roman"/>
          <w:sz w:val="24"/>
          <w:szCs w:val="24"/>
        </w:rPr>
        <w:t>RUD-Lite v2.4 = Resource Utiliz</w:t>
      </w:r>
      <w:r w:rsidR="00613097">
        <w:rPr>
          <w:rFonts w:ascii="Times New Roman" w:hAnsi="Times New Roman" w:cs="Times New Roman"/>
          <w:sz w:val="24"/>
          <w:szCs w:val="24"/>
        </w:rPr>
        <w:t>ation in Dementia, version 2.4</w:t>
      </w:r>
      <w:r w:rsidR="009D5F2B">
        <w:rPr>
          <w:rFonts w:ascii="Times New Roman" w:hAnsi="Times New Roman" w:cs="Times New Roman"/>
          <w:sz w:val="24"/>
          <w:szCs w:val="24"/>
        </w:rPr>
        <w:t>.</w:t>
      </w:r>
    </w:p>
    <w:p w:rsidR="00F81CB1" w:rsidRPr="008C34C6" w:rsidRDefault="00F81CB1">
      <w:pPr>
        <w:rPr>
          <w:rFonts w:ascii="Times New Roman" w:hAnsi="Times New Roman" w:cs="Times New Roman"/>
          <w:sz w:val="24"/>
          <w:szCs w:val="24"/>
        </w:rPr>
      </w:pPr>
    </w:p>
    <w:sectPr w:rsidR="00F81CB1" w:rsidRPr="008C34C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DA2" w:rsidRDefault="00F20DA2" w:rsidP="009F1831">
      <w:pPr>
        <w:spacing w:after="0" w:line="240" w:lineRule="auto"/>
      </w:pPr>
      <w:r>
        <w:separator/>
      </w:r>
    </w:p>
  </w:endnote>
  <w:endnote w:type="continuationSeparator" w:id="0">
    <w:p w:rsidR="00F20DA2" w:rsidRDefault="00F20DA2" w:rsidP="009F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134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34A7" w:rsidRDefault="000634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E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F1831" w:rsidRDefault="009F18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DA2" w:rsidRDefault="00F20DA2" w:rsidP="009F1831">
      <w:pPr>
        <w:spacing w:after="0" w:line="240" w:lineRule="auto"/>
      </w:pPr>
      <w:r>
        <w:separator/>
      </w:r>
    </w:p>
  </w:footnote>
  <w:footnote w:type="continuationSeparator" w:id="0">
    <w:p w:rsidR="00F20DA2" w:rsidRDefault="00F20DA2" w:rsidP="009F1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2313F"/>
    <w:multiLevelType w:val="hybridMultilevel"/>
    <w:tmpl w:val="19F63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57E3E"/>
    <w:multiLevelType w:val="hybridMultilevel"/>
    <w:tmpl w:val="CB8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7F1C"/>
    <w:multiLevelType w:val="hybridMultilevel"/>
    <w:tmpl w:val="356C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F3034"/>
    <w:multiLevelType w:val="hybridMultilevel"/>
    <w:tmpl w:val="F56E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8522E"/>
    <w:multiLevelType w:val="hybridMultilevel"/>
    <w:tmpl w:val="025A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34099"/>
    <w:multiLevelType w:val="hybridMultilevel"/>
    <w:tmpl w:val="F118C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30ABE"/>
    <w:multiLevelType w:val="hybridMultilevel"/>
    <w:tmpl w:val="BC72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B18BA"/>
    <w:multiLevelType w:val="hybridMultilevel"/>
    <w:tmpl w:val="81284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18"/>
    <w:rsid w:val="000332DA"/>
    <w:rsid w:val="000634A7"/>
    <w:rsid w:val="000E1519"/>
    <w:rsid w:val="003773F8"/>
    <w:rsid w:val="003B43C9"/>
    <w:rsid w:val="004A612E"/>
    <w:rsid w:val="005179E2"/>
    <w:rsid w:val="005B54B4"/>
    <w:rsid w:val="00607F65"/>
    <w:rsid w:val="00613097"/>
    <w:rsid w:val="00634E1A"/>
    <w:rsid w:val="007B2528"/>
    <w:rsid w:val="00844818"/>
    <w:rsid w:val="008A5E02"/>
    <w:rsid w:val="008C34C6"/>
    <w:rsid w:val="008E14B0"/>
    <w:rsid w:val="0092091F"/>
    <w:rsid w:val="00940F9E"/>
    <w:rsid w:val="00966540"/>
    <w:rsid w:val="009D5F2B"/>
    <w:rsid w:val="009F1831"/>
    <w:rsid w:val="00A32352"/>
    <w:rsid w:val="00A66496"/>
    <w:rsid w:val="00A67239"/>
    <w:rsid w:val="00B5603F"/>
    <w:rsid w:val="00C75E65"/>
    <w:rsid w:val="00CD4B6E"/>
    <w:rsid w:val="00E13DEB"/>
    <w:rsid w:val="00EB7DB1"/>
    <w:rsid w:val="00EC0A9D"/>
    <w:rsid w:val="00F20DA2"/>
    <w:rsid w:val="00F408B4"/>
    <w:rsid w:val="00F81CB1"/>
    <w:rsid w:val="00FD0849"/>
    <w:rsid w:val="00FD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81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8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8448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84481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818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84481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18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5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518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1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83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F1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83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2015-11-24T23:45:00Z</dcterms:created>
  <dcterms:modified xsi:type="dcterms:W3CDTF">2015-11-25T15:00:00Z</dcterms:modified>
</cp:coreProperties>
</file>