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9C9" w:rsidRDefault="00E25D78" w:rsidP="004D19C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Additional file</w:t>
      </w:r>
      <w:r w:rsidR="00CB2D78">
        <w:rPr>
          <w:rFonts w:ascii="Times New Roman" w:hAnsi="Times New Roman" w:cs="Times New Roman"/>
          <w:sz w:val="24"/>
          <w:szCs w:val="24"/>
          <w:lang w:val="en-US"/>
        </w:rPr>
        <w:t xml:space="preserve"> 1:</w:t>
      </w:r>
      <w:r w:rsidR="00FA2B34">
        <w:rPr>
          <w:rFonts w:ascii="Times New Roman" w:hAnsi="Times New Roman" w:cs="Times New Roman"/>
          <w:sz w:val="24"/>
          <w:szCs w:val="24"/>
          <w:lang w:val="en-US"/>
        </w:rPr>
        <w:t xml:space="preserve"> description of baseline</w:t>
      </w:r>
      <w:r w:rsidR="00CB2D78">
        <w:rPr>
          <w:rFonts w:ascii="Times New Roman" w:hAnsi="Times New Roman" w:cs="Times New Roman"/>
          <w:sz w:val="24"/>
          <w:szCs w:val="24"/>
          <w:lang w:val="en-US"/>
        </w:rPr>
        <w:t xml:space="preserve"> data and missing data</w:t>
      </w:r>
    </w:p>
    <w:p w:rsidR="00CB2D78" w:rsidRDefault="00CB2D78" w:rsidP="004D19C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B2D78" w:rsidRPr="00E25D78" w:rsidRDefault="00CB2D78" w:rsidP="004D19C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B2D78">
        <w:rPr>
          <w:rFonts w:ascii="Times New Roman" w:hAnsi="Times New Roman" w:cs="Times New Roman"/>
          <w:sz w:val="24"/>
          <w:szCs w:val="24"/>
          <w:lang w:val="en-US"/>
        </w:rPr>
        <w:t xml:space="preserve">aseline data </w:t>
      </w:r>
    </w:p>
    <w:p w:rsidR="004D19C9" w:rsidRDefault="004D19C9" w:rsidP="004D19C9">
      <w:pPr>
        <w:pStyle w:val="NoSpacing"/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360AD">
        <w:rPr>
          <w:rFonts w:ascii="Times New Roman" w:hAnsi="Times New Roman" w:cs="Times New Roman"/>
          <w:sz w:val="24"/>
          <w:szCs w:val="24"/>
          <w:lang w:val="en-US"/>
        </w:rPr>
        <w:t>HUNT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stations featured standardized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blood pressure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measurements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all participants </w:t>
      </w:r>
      <w:r>
        <w:rPr>
          <w:rFonts w:ascii="Times New Roman" w:hAnsi="Times New Roman" w:cs="Times New Roman"/>
          <w:sz w:val="24"/>
          <w:szCs w:val="24"/>
          <w:lang w:val="en-US"/>
        </w:rPr>
        <w:t>and were managed by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trained nurses or technicians using a mercury sphygmomanometer. The </w:t>
      </w:r>
      <w:r>
        <w:rPr>
          <w:rFonts w:ascii="Times New Roman" w:hAnsi="Times New Roman" w:cs="Times New Roman"/>
          <w:sz w:val="24"/>
          <w:szCs w:val="24"/>
          <w:lang w:val="en-US"/>
        </w:rPr>
        <w:t>blood pressure measurement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routinely recorded readings with the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participant in a sitting position </w:t>
      </w:r>
      <w:r>
        <w:rPr>
          <w:rFonts w:ascii="Times New Roman" w:hAnsi="Times New Roman" w:cs="Times New Roman"/>
          <w:sz w:val="24"/>
          <w:szCs w:val="24"/>
          <w:lang w:val="en-US"/>
        </w:rPr>
        <w:t>after having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rested a minimum of five minutes. Systolic and diastolic pressure was measured two times, and the second reading was used for our analyses. Heart rate, height, and weight were measured in HUNT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following previously described protocol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&lt;EndNote&gt;&lt;Cite&gt;&lt;Author&gt;Holmen J&lt;/Author&gt;&lt;Year&gt;1990&lt;/Year&gt;&lt;RecNum&gt;2947&lt;/RecNum&gt;&lt;DisplayText&gt;[18]&lt;/DisplayText&gt;&lt;record&gt;&lt;rec-number&gt;2947&lt;/rec-number&gt;&lt;foreign-keys&gt;&lt;key app="EN" db-id="50wxdpzd9vd5r7e9t5b595djrfpttrxw9avp" timestamp="1417100099"&gt;2947&lt;/key&gt;&lt;/foreign-keys&gt;&lt;ref-type name="Report"&gt;27&lt;/ref-type&gt;&lt;contributors&gt;&lt;authors&gt;&lt;author&gt;Holmen J, Midthjell K, Bjartveit K, Hjort PF, Lund-Larsen PG, Moum T, et al. &lt;/author&gt;&lt;/authors&gt;&lt;/contributors&gt;&lt;titles&gt;&lt;title&gt;The Nord-Trøndelag Health Survey 1984-1986: purpose, background and methods: participation, nonparticipation and frequency distributions. &lt;/title&gt;&lt;secondary-title&gt;National Institute of Public Health, Community Medicine Research Centre&lt;/secondary-title&gt;&lt;/titles&gt;&lt;periodical&gt;&lt;full-title&gt;National Institute of Public Health, Community Medicine Research Centre&lt;/full-title&gt;&lt;/periodical&gt;&lt;volume&gt;Report No. 4&lt;/volume&gt;&lt;dates&gt;&lt;year&gt;1990&lt;/year&gt;&lt;/dates&gt;&lt;urls&gt;&lt;/urls&gt;&lt;/record&gt;&lt;/Cite&gt;&lt;/EndNote&gt;</w:instrTex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[18]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ociodemographic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(age, sex, and education) were collected for the HUNT study following standardized protocols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&lt;EndNote&gt;&lt;Cite&gt;&lt;Author&gt;Krokstad&lt;/Author&gt;&lt;Year&gt;2012&lt;/Year&gt;&lt;RecNum&gt;2909&lt;/RecNum&gt;&lt;DisplayText&gt;[19]&lt;/DisplayText&gt;&lt;record&gt;&lt;rec-number&gt;2909&lt;/rec-number&gt;&lt;foreign-keys&gt;&lt;key app="EN" db-id="50wxdpzd9vd5r7e9t5b595djrfpttrxw9avp" timestamp="1403002684"&gt;2909&lt;/key&gt;&lt;/foreign-keys&gt;&lt;ref-type name="Journal Article"&gt;17&lt;/ref-type&gt;&lt;contributors&gt;&lt;authors&gt;&lt;author&gt;Krokstad, S&lt;/author&gt;&lt;author&gt;Langhammer, A&lt;/author&gt;&lt;author&gt;Hveem, K&lt;/author&gt;&lt;author&gt;Holmen, TL&lt;/author&gt;&lt;author&gt;Midthjell, K&lt;/author&gt;&lt;author&gt;Stene, TR&lt;/author&gt;&lt;author&gt;Bratberg, G&lt;/author&gt;&lt;author&gt;Heggland, J&lt;/author&gt;&lt;author&gt;Holmen, J&lt;/author&gt;&lt;/authors&gt;&lt;/contributors&gt;&lt;titles&gt;&lt;title&gt;Cohort Profile: The HUNT Study, Norway&lt;/title&gt;&lt;secondary-title&gt;International Journal of Epidemiology&lt;/secondary-title&gt;&lt;/titles&gt;&lt;periodical&gt;&lt;full-title&gt;Int J Epidemiol&lt;/full-title&gt;&lt;abbr-1&gt;International journal of epidemiology&lt;/abbr-1&gt;&lt;/periodical&gt;&lt;dates&gt;&lt;year&gt;2012&lt;/year&gt;&lt;pub-dates&gt;&lt;date&gt;August 9, 2012&lt;/date&gt;&lt;/pub-dates&gt;&lt;/dates&gt;&lt;urls&gt;&lt;related-urls&gt;&lt;url&gt;http://ije.oxfordjournals.org/content/early/2012/08/09/ije.dys095.abstract&lt;/url&gt;&lt;url&gt;http://ije.oxfordjournals.org/content/42/4/968.full.pdf&lt;/url&gt;&lt;/related-urls&gt;&lt;/urls&gt;&lt;electronic-resource-num&gt;10.1093/ije/dys095&lt;/electronic-resource-num&gt;&lt;/record&gt;&lt;/Cite&gt;&lt;/EndNote&gt;</w:instrTex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[19]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. Level of education was </w:t>
      </w:r>
      <w:r>
        <w:rPr>
          <w:rFonts w:ascii="Times New Roman" w:hAnsi="Times New Roman" w:cs="Times New Roman"/>
          <w:sz w:val="24"/>
          <w:szCs w:val="24"/>
          <w:lang w:val="en-US"/>
        </w:rPr>
        <w:t>categorized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, based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“completing primary school”=1, “upper secondary”=2 or “completed at least high school”=3. Respondents were asked to rate how often they drank alcohol over a period of two weeks. Data was categorized as reporting abstaining from alcohol, drinking moderately often (≤ five times during two week), or drinking frequently (&gt; five times during two weeks).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Information on physical activity was based on how often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(“never”=1 to “almost every day”=5) a participant reported performing physical activity and is used as a categorical variable in models.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Subjective general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measured as a single item with four response categories from “very good”=1 to “bad”=4.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History of myocardial infarction (MI)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, stroke,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angina,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and diabetes mellitus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(DM)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were self-reported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HUNT 1 and HUNT 2 and new variables were created combining replies from both HUNT 1 or HUNT2. </w:t>
      </w:r>
      <w:r w:rsidRPr="00A1758C">
        <w:rPr>
          <w:rFonts w:ascii="Times New Roman" w:hAnsi="Times New Roman" w:cs="Times New Roman"/>
          <w:sz w:val="24"/>
          <w:szCs w:val="24"/>
          <w:lang w:val="en-US"/>
        </w:rPr>
        <w:t xml:space="preserve">Waist–hip ratio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body mass index (BMI) were used continuously in analyses. Smoking status was categorized as never, prior, or current smoker from HUNT 2. An item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on antihypertensive drugs </w:t>
      </w:r>
      <w:r>
        <w:rPr>
          <w:rFonts w:ascii="Times New Roman" w:hAnsi="Times New Roman" w:cs="Times New Roman"/>
          <w:sz w:val="24"/>
          <w:szCs w:val="24"/>
          <w:lang w:val="en-US"/>
        </w:rPr>
        <w:t>was dichotomized as “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never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ever</w:t>
      </w:r>
      <w:r>
        <w:rPr>
          <w:rFonts w:ascii="Times New Roman" w:hAnsi="Times New Roman" w:cs="Times New Roman"/>
          <w:sz w:val="24"/>
          <w:szCs w:val="24"/>
          <w:lang w:val="en-US"/>
        </w:rPr>
        <w:t>” based on self-reported data from HUNT 1 and HUNT 2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. No blood samples were collected in HUNT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</w:p>
    <w:p w:rsidR="00265297" w:rsidRDefault="004D19C9" w:rsidP="00E25D78">
      <w:pPr>
        <w:pStyle w:val="NoSpacing"/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BP measurement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proced</w:t>
      </w:r>
      <w:r>
        <w:rPr>
          <w:rFonts w:ascii="Times New Roman" w:hAnsi="Times New Roman" w:cs="Times New Roman"/>
          <w:sz w:val="24"/>
          <w:szCs w:val="24"/>
          <w:lang w:val="en-US"/>
        </w:rPr>
        <w:t>ures during HUNT 2 were identical to HUNT 1, with the e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xcept</w:t>
      </w:r>
      <w:r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that automated measures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based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oscillometry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D360AD">
        <w:rPr>
          <w:rFonts w:ascii="Times New Roman" w:hAnsi="Times New Roman" w:cs="Times New Roman"/>
          <w:sz w:val="24"/>
          <w:szCs w:val="24"/>
          <w:lang w:val="en-US"/>
        </w:rPr>
        <w:t>Critikon</w:t>
      </w:r>
      <w:proofErr w:type="spellEnd"/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60AD">
        <w:rPr>
          <w:rFonts w:ascii="Times New Roman" w:hAnsi="Times New Roman" w:cs="Times New Roman"/>
          <w:sz w:val="24"/>
          <w:szCs w:val="24"/>
          <w:lang w:val="en-US"/>
        </w:rPr>
        <w:t>Dinamap</w:t>
      </w:r>
      <w:proofErr w:type="spellEnd"/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845XT and XL9301, acquired by </w:t>
      </w:r>
      <w:r>
        <w:rPr>
          <w:rFonts w:ascii="Times New Roman" w:hAnsi="Times New Roman" w:cs="Times New Roman"/>
          <w:sz w:val="24"/>
          <w:szCs w:val="24"/>
          <w:lang w:val="en-US"/>
        </w:rPr>
        <w:t>General Electric (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>GE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Medical Systems Information Technologies in 2000). Systolic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(SBP)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and diastolic blood pressure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(DBP)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and heart rate were read three times with one minute interval. In our analyses mean of second and third reading was used.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Mean arterial pressure (MAP) was calculated as: 1/3 systolic BP + 2/3 of diastolic BP. Pulse pressure (PP) is the difference between systolic and diastolic pressure readings.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 Venous blood was collected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during HUNT 2 (1995-1997)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t xml:space="preserve">, and serum total cholesterol was measured by an enzymatic colorimetric cholesterol esterase method. Non-fasting blood glucose was measured </w:t>
      </w:r>
      <w:r w:rsidRPr="00D360A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by using an enzymatic hexokinase method. </w:t>
      </w:r>
      <w:r>
        <w:rPr>
          <w:rFonts w:ascii="Times New Roman" w:hAnsi="Times New Roman" w:cs="Times New Roman"/>
          <w:sz w:val="24"/>
          <w:szCs w:val="24"/>
          <w:lang w:val="en-US"/>
        </w:rPr>
        <w:t>Glomerular filtration rate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eGFR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was calculated with the e</w:t>
      </w:r>
      <w:r w:rsidRPr="00E84278">
        <w:rPr>
          <w:rFonts w:ascii="Times New Roman" w:hAnsi="Times New Roman" w:cs="Times New Roman"/>
          <w:sz w:val="24"/>
          <w:szCs w:val="24"/>
          <w:lang w:val="en-US"/>
        </w:rPr>
        <w:t>stimated creatinine clearance rate (</w:t>
      </w:r>
      <w:proofErr w:type="spellStart"/>
      <w:r w:rsidRPr="00E84278">
        <w:rPr>
          <w:rFonts w:ascii="Times New Roman" w:hAnsi="Times New Roman" w:cs="Times New Roman"/>
          <w:sz w:val="24"/>
          <w:szCs w:val="24"/>
          <w:lang w:val="en-US"/>
        </w:rPr>
        <w:t>eCCr</w:t>
      </w:r>
      <w:proofErr w:type="spellEnd"/>
      <w:r w:rsidRPr="00E84278">
        <w:rPr>
          <w:rFonts w:ascii="Times New Roman" w:hAnsi="Times New Roman" w:cs="Times New Roman"/>
          <w:sz w:val="24"/>
          <w:szCs w:val="24"/>
          <w:lang w:val="en-US"/>
        </w:rPr>
        <w:t xml:space="preserve">) using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84278">
        <w:rPr>
          <w:rFonts w:ascii="Times New Roman" w:hAnsi="Times New Roman" w:cs="Times New Roman"/>
          <w:sz w:val="24"/>
          <w:szCs w:val="24"/>
          <w:lang w:val="en-US"/>
        </w:rPr>
        <w:t>Cockcroft-Gault formula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7134B" w:rsidRDefault="0037134B" w:rsidP="00CB2D7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B2D78" w:rsidRPr="00CB2D78" w:rsidRDefault="00CB2D78" w:rsidP="00CB2D7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CB2D78">
        <w:rPr>
          <w:rFonts w:ascii="Times New Roman" w:hAnsi="Times New Roman" w:cs="Times New Roman"/>
          <w:sz w:val="24"/>
          <w:szCs w:val="24"/>
          <w:lang w:val="en-US"/>
        </w:rPr>
        <w:t>Missing data</w:t>
      </w:r>
    </w:p>
    <w:p w:rsidR="00CB2D78" w:rsidRPr="004D19C9" w:rsidRDefault="00CB2D78" w:rsidP="00CB2D78">
      <w:pPr>
        <w:pStyle w:val="NoSpacing"/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B2D78">
        <w:rPr>
          <w:rFonts w:ascii="Times New Roman" w:hAnsi="Times New Roman" w:cs="Times New Roman"/>
          <w:sz w:val="24"/>
          <w:szCs w:val="24"/>
          <w:lang w:val="en-US"/>
        </w:rPr>
        <w:t xml:space="preserve">Inclusion criteria are based on both HUNT 1 and 2 survey participation alive in 1995 and who were over the age of 60 in 2011 (n=28,116). The material is presented with complete covariate data (n=24,638) and 3,478 had portions of data missing. The following variables contained missing data: exercise status (n=674); history of taking BP medication (n=78); blood glucose levels (n=60); cholesterol level (n=40); </w:t>
      </w:r>
      <w:proofErr w:type="spellStart"/>
      <w:r w:rsidRPr="00CB2D78">
        <w:rPr>
          <w:rFonts w:ascii="Times New Roman" w:hAnsi="Times New Roman" w:cs="Times New Roman"/>
          <w:sz w:val="24"/>
          <w:szCs w:val="24"/>
          <w:lang w:val="en-US"/>
        </w:rPr>
        <w:t>eGFR</w:t>
      </w:r>
      <w:proofErr w:type="spellEnd"/>
      <w:r w:rsidRPr="00CB2D78">
        <w:rPr>
          <w:rFonts w:ascii="Times New Roman" w:hAnsi="Times New Roman" w:cs="Times New Roman"/>
          <w:sz w:val="24"/>
          <w:szCs w:val="24"/>
          <w:lang w:val="en-US"/>
        </w:rPr>
        <w:t xml:space="preserve"> (n=41); education status (n=990); smoking status (n=627); subjective health status (n=2); waist-hip ratio (n=214); BMI (n=31); pulse (n=106); SBP H1 (n=19); DBP H1 (n=15); SBP H2 (n=81); DBP (n=81); MAP H1 (n=19); MAP H2 (n=82); alcohol (n=777).</w:t>
      </w:r>
    </w:p>
    <w:sectPr w:rsidR="00CB2D78" w:rsidRPr="004D1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9C9"/>
    <w:rsid w:val="0037134B"/>
    <w:rsid w:val="004D19C9"/>
    <w:rsid w:val="005D1FF7"/>
    <w:rsid w:val="007031B0"/>
    <w:rsid w:val="00CB2D78"/>
    <w:rsid w:val="00E25D78"/>
    <w:rsid w:val="00F31BDB"/>
    <w:rsid w:val="00FA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19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1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 DMF</Company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Mira Gabin</dc:creator>
  <cp:lastModifiedBy>Jessica Mira Gabin</cp:lastModifiedBy>
  <cp:revision>3</cp:revision>
  <dcterms:created xsi:type="dcterms:W3CDTF">2016-12-26T11:38:00Z</dcterms:created>
  <dcterms:modified xsi:type="dcterms:W3CDTF">2017-01-03T17:08:00Z</dcterms:modified>
</cp:coreProperties>
</file>