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C4A" w:rsidRDefault="00F97542" w:rsidP="00251C4A">
      <w:pPr>
        <w:spacing w:after="0"/>
        <w:rPr>
          <w:rFonts w:ascii="Arial" w:hAnsi="Arial"/>
          <w:sz w:val="20"/>
        </w:rPr>
      </w:pPr>
      <w:r>
        <w:rPr>
          <w:rFonts w:ascii="Arial" w:hAnsi="Arial"/>
          <w:sz w:val="20"/>
        </w:rPr>
        <w:t>Figure 1.1</w:t>
      </w:r>
      <w:r w:rsidR="00251C4A">
        <w:rPr>
          <w:rFonts w:ascii="Arial" w:hAnsi="Arial"/>
          <w:sz w:val="20"/>
        </w:rPr>
        <w:t>: Counseling and medication prescription in patients with MCI</w:t>
      </w:r>
    </w:p>
    <w:p w:rsidR="00251C4A" w:rsidRDefault="00251C4A" w:rsidP="00251C4A">
      <w:pPr>
        <w:spacing w:after="0"/>
        <w:rPr>
          <w:rFonts w:ascii="Arial" w:hAnsi="Arial"/>
          <w:sz w:val="20"/>
        </w:rPr>
      </w:pPr>
      <w:r w:rsidRPr="00DD2347">
        <w:t xml:space="preserve"> </w:t>
      </w:r>
      <w:r w:rsidRPr="00DD2347">
        <w:rPr>
          <w:noProof/>
          <w:lang w:eastAsia="nl-NL"/>
        </w:rPr>
        <w:drawing>
          <wp:inline distT="0" distB="0" distL="0" distR="0" wp14:anchorId="2B36114F" wp14:editId="5442DC90">
            <wp:extent cx="5270500" cy="2281491"/>
            <wp:effectExtent l="0" t="0" r="0" b="5080"/>
            <wp:docPr id="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28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C4A" w:rsidRPr="001676DF" w:rsidRDefault="00251C4A" w:rsidP="00251C4A">
      <w:pPr>
        <w:spacing w:after="0"/>
        <w:rPr>
          <w:rFonts w:ascii="Arial" w:hAnsi="Arial"/>
          <w:iCs/>
          <w:sz w:val="20"/>
          <w:szCs w:val="20"/>
        </w:rPr>
      </w:pPr>
      <w:proofErr w:type="gramStart"/>
      <w:r w:rsidRPr="001676DF">
        <w:rPr>
          <w:rFonts w:ascii="Arial" w:hAnsi="Arial"/>
          <w:iCs/>
          <w:sz w:val="20"/>
          <w:szCs w:val="20"/>
        </w:rPr>
        <w:t>Frequency of response (%) in EAN/EADC survey (blue column) and AAN survey (red column)</w:t>
      </w:r>
      <w:r>
        <w:rPr>
          <w:rFonts w:ascii="Arial" w:hAnsi="Arial"/>
          <w:iCs/>
          <w:sz w:val="20"/>
          <w:szCs w:val="20"/>
        </w:rPr>
        <w:t xml:space="preserve"> who routinely counsel on the above topics</w:t>
      </w:r>
      <w:r w:rsidRPr="001676DF">
        <w:rPr>
          <w:rFonts w:ascii="Arial" w:hAnsi="Arial"/>
          <w:iCs/>
          <w:sz w:val="20"/>
          <w:szCs w:val="20"/>
        </w:rPr>
        <w:t>.</w:t>
      </w:r>
      <w:proofErr w:type="gramEnd"/>
    </w:p>
    <w:p w:rsidR="00251C4A" w:rsidRPr="001676DF" w:rsidRDefault="00251C4A" w:rsidP="00251C4A">
      <w:pPr>
        <w:spacing w:after="0"/>
        <w:rPr>
          <w:rFonts w:ascii="Arial" w:hAnsi="Arial"/>
          <w:iCs/>
          <w:sz w:val="20"/>
          <w:szCs w:val="20"/>
        </w:rPr>
      </w:pPr>
      <w:r w:rsidRPr="001676DF">
        <w:rPr>
          <w:rFonts w:ascii="Arial" w:hAnsi="Arial"/>
          <w:iCs/>
          <w:sz w:val="20"/>
          <w:szCs w:val="20"/>
        </w:rPr>
        <w:t xml:space="preserve">Differences frequencies between EAN/EADC and AAN members were tested using chi-square.  </w:t>
      </w:r>
      <w:r>
        <w:rPr>
          <w:rFonts w:ascii="Arial" w:hAnsi="Arial"/>
          <w:iCs/>
          <w:sz w:val="20"/>
          <w:szCs w:val="20"/>
        </w:rPr>
        <w:t>*</w:t>
      </w:r>
      <w:proofErr w:type="gramStart"/>
      <w:r>
        <w:rPr>
          <w:rFonts w:ascii="Arial" w:hAnsi="Arial"/>
          <w:iCs/>
          <w:sz w:val="20"/>
          <w:szCs w:val="20"/>
        </w:rPr>
        <w:t>p</w:t>
      </w:r>
      <w:proofErr w:type="gramEnd"/>
      <w:r>
        <w:rPr>
          <w:rFonts w:ascii="Arial" w:hAnsi="Arial"/>
          <w:iCs/>
          <w:sz w:val="20"/>
          <w:szCs w:val="20"/>
        </w:rPr>
        <w:t>&lt;0.01</w:t>
      </w:r>
    </w:p>
    <w:p w:rsidR="00251C4A" w:rsidRPr="001676DF" w:rsidRDefault="00251C4A" w:rsidP="00251C4A">
      <w:pPr>
        <w:spacing w:after="0"/>
        <w:rPr>
          <w:rFonts w:ascii="Arial" w:hAnsi="Arial"/>
          <w:iCs/>
          <w:sz w:val="20"/>
          <w:szCs w:val="20"/>
        </w:rPr>
      </w:pPr>
    </w:p>
    <w:p w:rsidR="00251C4A" w:rsidRDefault="00251C4A" w:rsidP="00251C4A">
      <w:pPr>
        <w:spacing w:after="0"/>
        <w:rPr>
          <w:rFonts w:ascii="Arial" w:hAnsi="Arial"/>
          <w:i/>
          <w:iCs/>
          <w:sz w:val="20"/>
        </w:rPr>
      </w:pPr>
    </w:p>
    <w:p w:rsidR="00251C4A" w:rsidRDefault="00251C4A" w:rsidP="00251C4A">
      <w:pPr>
        <w:spacing w:after="0"/>
        <w:rPr>
          <w:rFonts w:ascii="Arial" w:hAnsi="Arial"/>
          <w:sz w:val="20"/>
        </w:rPr>
      </w:pPr>
    </w:p>
    <w:p w:rsidR="00251C4A" w:rsidRDefault="00251C4A" w:rsidP="00251C4A">
      <w:pPr>
        <w:spacing w:after="0"/>
        <w:rPr>
          <w:rFonts w:ascii="Arial" w:hAnsi="Arial"/>
          <w:iCs/>
          <w:sz w:val="20"/>
        </w:rPr>
      </w:pPr>
    </w:p>
    <w:p w:rsidR="00251C4A" w:rsidRPr="00754AFD" w:rsidRDefault="00754AFD" w:rsidP="00251C4A">
      <w:pPr>
        <w:spacing w:after="0"/>
        <w:rPr>
          <w:rFonts w:ascii="Arial" w:hAnsi="Arial"/>
          <w:iCs/>
          <w:sz w:val="20"/>
        </w:rPr>
      </w:pPr>
      <w:r>
        <w:rPr>
          <w:rFonts w:ascii="Arial" w:hAnsi="Arial"/>
          <w:iCs/>
          <w:sz w:val="20"/>
        </w:rPr>
        <w:br w:type="column"/>
      </w:r>
      <w:r w:rsidR="00251C4A" w:rsidRPr="0006627D">
        <w:rPr>
          <w:rFonts w:ascii="Arial" w:hAnsi="Arial"/>
          <w:sz w:val="20"/>
          <w:szCs w:val="20"/>
        </w:rPr>
        <w:lastRenderedPageBreak/>
        <w:t>Figure</w:t>
      </w:r>
      <w:r>
        <w:rPr>
          <w:rFonts w:ascii="Arial" w:hAnsi="Arial"/>
          <w:sz w:val="20"/>
          <w:szCs w:val="20"/>
        </w:rPr>
        <w:t xml:space="preserve"> 1.2</w:t>
      </w:r>
      <w:r w:rsidR="00251C4A">
        <w:rPr>
          <w:rFonts w:ascii="Arial" w:hAnsi="Arial"/>
          <w:sz w:val="20"/>
          <w:szCs w:val="20"/>
        </w:rPr>
        <w:t xml:space="preserve">: </w:t>
      </w:r>
      <w:r w:rsidR="00251C4A" w:rsidRPr="00752BC0">
        <w:rPr>
          <w:rFonts w:ascii="Arial" w:hAnsi="Arial"/>
          <w:sz w:val="20"/>
          <w:szCs w:val="20"/>
        </w:rPr>
        <w:t>Benefits and drawbacks of MCI as clinical diagnosis</w:t>
      </w:r>
    </w:p>
    <w:p w:rsidR="00BA60C4" w:rsidRDefault="00BA60C4" w:rsidP="00251C4A">
      <w:pPr>
        <w:spacing w:after="0"/>
        <w:rPr>
          <w:rFonts w:ascii="Arial" w:hAnsi="Arial"/>
          <w:sz w:val="20"/>
          <w:szCs w:val="20"/>
        </w:rPr>
      </w:pPr>
    </w:p>
    <w:p w:rsidR="00251C4A" w:rsidRDefault="00251C4A" w:rsidP="00251C4A">
      <w:pPr>
        <w:spacing w:after="0"/>
        <w:rPr>
          <w:rFonts w:ascii="Arial" w:hAnsi="Arial"/>
          <w:sz w:val="20"/>
          <w:szCs w:val="20"/>
        </w:rPr>
      </w:pPr>
    </w:p>
    <w:p w:rsidR="00251C4A" w:rsidRDefault="00251C4A" w:rsidP="00251C4A">
      <w:pPr>
        <w:spacing w:after="0"/>
        <w:rPr>
          <w:rFonts w:ascii="Arial" w:hAnsi="Arial"/>
          <w:sz w:val="20"/>
          <w:szCs w:val="20"/>
        </w:rPr>
      </w:pPr>
      <w:r w:rsidRPr="007E5EFE">
        <w:t xml:space="preserve"> </w:t>
      </w:r>
      <w:r w:rsidR="00BA60C4" w:rsidRPr="00BA60C4">
        <w:rPr>
          <w:noProof/>
          <w:lang w:eastAsia="nl-NL"/>
        </w:rPr>
        <w:drawing>
          <wp:inline distT="0" distB="0" distL="0" distR="0" wp14:anchorId="5BED6557" wp14:editId="3D559CC3">
            <wp:extent cx="5602654" cy="4201991"/>
            <wp:effectExtent l="0" t="0" r="10795" b="0"/>
            <wp:docPr id="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54" cy="420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C4A" w:rsidRDefault="00251C4A" w:rsidP="00251C4A">
      <w:pPr>
        <w:spacing w:after="0"/>
        <w:rPr>
          <w:rFonts w:ascii="Arial" w:hAnsi="Arial"/>
          <w:iCs/>
          <w:sz w:val="20"/>
        </w:rPr>
      </w:pPr>
    </w:p>
    <w:p w:rsidR="00BA60C4" w:rsidRDefault="00251C4A" w:rsidP="00BA60C4">
      <w:pPr>
        <w:spacing w:line="360" w:lineRule="auto"/>
        <w:rPr>
          <w:rFonts w:ascii="Arial" w:hAnsi="Arial"/>
          <w:iCs/>
          <w:sz w:val="20"/>
          <w:szCs w:val="20"/>
        </w:rPr>
      </w:pPr>
      <w:r w:rsidRPr="002C24E0">
        <w:rPr>
          <w:rFonts w:ascii="Arial" w:hAnsi="Arial"/>
          <w:iCs/>
          <w:sz w:val="20"/>
          <w:szCs w:val="20"/>
        </w:rPr>
        <w:t>Blue bars are frequencies (in %)of respondents of EAN/EADC. Red bars are frequencies (in %) of respondents of the AAN survey.</w:t>
      </w:r>
      <w:r w:rsidRPr="002C24E0">
        <w:rPr>
          <w:rFonts w:ascii="Arial" w:hAnsi="Arial"/>
          <w:sz w:val="20"/>
          <w:szCs w:val="20"/>
        </w:rPr>
        <w:t xml:space="preserve"> </w:t>
      </w:r>
      <w:r w:rsidRPr="001676DF">
        <w:rPr>
          <w:rFonts w:ascii="Arial" w:hAnsi="Arial"/>
          <w:iCs/>
          <w:sz w:val="20"/>
          <w:szCs w:val="20"/>
        </w:rPr>
        <w:t>Frequ</w:t>
      </w:r>
      <w:r>
        <w:rPr>
          <w:rFonts w:ascii="Arial" w:hAnsi="Arial"/>
          <w:iCs/>
          <w:sz w:val="20"/>
          <w:szCs w:val="20"/>
        </w:rPr>
        <w:t>ency (%) of respondents that strongly or somewh</w:t>
      </w:r>
      <w:r w:rsidR="00BA60C4">
        <w:rPr>
          <w:rFonts w:ascii="Arial" w:hAnsi="Arial"/>
          <w:iCs/>
          <w:sz w:val="20"/>
          <w:szCs w:val="20"/>
        </w:rPr>
        <w:t>at agreed on the above statements</w:t>
      </w:r>
      <w:r>
        <w:rPr>
          <w:rFonts w:ascii="Arial" w:hAnsi="Arial"/>
          <w:sz w:val="20"/>
          <w:szCs w:val="20"/>
        </w:rPr>
        <w:t xml:space="preserve">. </w:t>
      </w:r>
      <w:r w:rsidRPr="002C24E0">
        <w:rPr>
          <w:rFonts w:ascii="Arial" w:hAnsi="Arial"/>
          <w:sz w:val="20"/>
          <w:szCs w:val="20"/>
        </w:rPr>
        <w:t xml:space="preserve">Abbreviations: EAN, European Academy of Neurology; EADC, European Alzheimer’s Disease Consortium; AAN, American Academy of Neurology.  </w:t>
      </w:r>
    </w:p>
    <w:p w:rsidR="00251C4A" w:rsidRPr="00BA60C4" w:rsidRDefault="00754AFD" w:rsidP="00BA60C4">
      <w:pPr>
        <w:spacing w:line="360" w:lineRule="auto"/>
        <w:rPr>
          <w:rFonts w:ascii="Arial" w:hAnsi="Arial"/>
          <w:iCs/>
          <w:sz w:val="20"/>
          <w:szCs w:val="20"/>
        </w:rPr>
      </w:pPr>
      <w:r>
        <w:rPr>
          <w:rFonts w:ascii="Arial" w:hAnsi="Arial"/>
          <w:sz w:val="20"/>
          <w:szCs w:val="20"/>
        </w:rPr>
        <w:t>Figure 1.3</w:t>
      </w:r>
      <w:r w:rsidR="00251C4A">
        <w:rPr>
          <w:rFonts w:ascii="Arial" w:hAnsi="Arial"/>
          <w:sz w:val="20"/>
          <w:szCs w:val="20"/>
        </w:rPr>
        <w:t xml:space="preserve">: </w:t>
      </w:r>
      <w:r w:rsidR="00251C4A">
        <w:rPr>
          <w:rFonts w:ascii="Arial" w:hAnsi="Arial"/>
          <w:sz w:val="20"/>
        </w:rPr>
        <w:t>Counseling and medication prescription in patients with and without prodromal AD</w:t>
      </w:r>
      <w:r w:rsidR="00251C4A" w:rsidRPr="00EF5B67">
        <w:t xml:space="preserve"> </w:t>
      </w:r>
      <w:r w:rsidR="00251C4A" w:rsidRPr="00EF5B67">
        <w:rPr>
          <w:noProof/>
          <w:lang w:eastAsia="nl-NL"/>
        </w:rPr>
        <w:drawing>
          <wp:inline distT="0" distB="0" distL="0" distR="0" wp14:anchorId="76C7E1BE" wp14:editId="6D2C389F">
            <wp:extent cx="4312920" cy="3234690"/>
            <wp:effectExtent l="0" t="0" r="5080" b="0"/>
            <wp:docPr id="22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C4A" w:rsidRPr="001676DF" w:rsidRDefault="00251C4A" w:rsidP="00251C4A">
      <w:pPr>
        <w:spacing w:line="360" w:lineRule="auto"/>
        <w:rPr>
          <w:rFonts w:ascii="Arial" w:hAnsi="Arial"/>
          <w:iCs/>
          <w:sz w:val="20"/>
          <w:szCs w:val="20"/>
        </w:rPr>
      </w:pPr>
      <w:r w:rsidRPr="001676DF">
        <w:rPr>
          <w:rFonts w:ascii="Arial" w:hAnsi="Arial"/>
          <w:iCs/>
          <w:sz w:val="20"/>
          <w:szCs w:val="20"/>
        </w:rPr>
        <w:t>Frequ</w:t>
      </w:r>
      <w:r>
        <w:rPr>
          <w:rFonts w:ascii="Arial" w:hAnsi="Arial"/>
          <w:iCs/>
          <w:sz w:val="20"/>
          <w:szCs w:val="20"/>
        </w:rPr>
        <w:t xml:space="preserve">ency (%) of respondents that routinely counseled or prescribed treatment in patients with ‘prodromal AD’ </w:t>
      </w:r>
      <w:r w:rsidRPr="001676DF">
        <w:rPr>
          <w:rFonts w:ascii="Arial" w:hAnsi="Arial"/>
          <w:iCs/>
          <w:sz w:val="20"/>
          <w:szCs w:val="20"/>
        </w:rPr>
        <w:t xml:space="preserve">(blue column) </w:t>
      </w:r>
      <w:r>
        <w:rPr>
          <w:rFonts w:ascii="Arial" w:hAnsi="Arial"/>
          <w:iCs/>
          <w:sz w:val="20"/>
          <w:szCs w:val="20"/>
        </w:rPr>
        <w:t xml:space="preserve">or no prodromal </w:t>
      </w:r>
      <w:proofErr w:type="gramStart"/>
      <w:r>
        <w:rPr>
          <w:rFonts w:ascii="Arial" w:hAnsi="Arial"/>
          <w:iCs/>
          <w:sz w:val="20"/>
          <w:szCs w:val="20"/>
        </w:rPr>
        <w:t>AD’</w:t>
      </w:r>
      <w:r w:rsidRPr="001676DF">
        <w:rPr>
          <w:rFonts w:ascii="Arial" w:hAnsi="Arial"/>
          <w:iCs/>
          <w:sz w:val="20"/>
          <w:szCs w:val="20"/>
        </w:rPr>
        <w:t>(</w:t>
      </w:r>
      <w:proofErr w:type="gramEnd"/>
      <w:r w:rsidRPr="001676DF">
        <w:rPr>
          <w:rFonts w:ascii="Arial" w:hAnsi="Arial"/>
          <w:iCs/>
          <w:sz w:val="20"/>
          <w:szCs w:val="20"/>
        </w:rPr>
        <w:t>red column).</w:t>
      </w:r>
      <w:r>
        <w:rPr>
          <w:rFonts w:ascii="Arial" w:hAnsi="Arial"/>
          <w:iCs/>
          <w:sz w:val="20"/>
          <w:szCs w:val="20"/>
        </w:rPr>
        <w:t xml:space="preserve"> </w:t>
      </w:r>
      <w:r w:rsidRPr="001676DF">
        <w:rPr>
          <w:rFonts w:ascii="Arial" w:hAnsi="Arial"/>
          <w:iCs/>
          <w:sz w:val="20"/>
          <w:szCs w:val="20"/>
        </w:rPr>
        <w:t>Differences frequencies between</w:t>
      </w:r>
      <w:r>
        <w:rPr>
          <w:rFonts w:ascii="Arial" w:hAnsi="Arial"/>
          <w:iCs/>
          <w:sz w:val="20"/>
          <w:szCs w:val="20"/>
        </w:rPr>
        <w:t xml:space="preserve"> ‘prodromal AD’ </w:t>
      </w:r>
      <w:r w:rsidRPr="001676DF">
        <w:rPr>
          <w:rFonts w:ascii="Arial" w:hAnsi="Arial"/>
          <w:iCs/>
          <w:sz w:val="20"/>
          <w:szCs w:val="20"/>
        </w:rPr>
        <w:t xml:space="preserve">and </w:t>
      </w:r>
      <w:r>
        <w:rPr>
          <w:rFonts w:ascii="Arial" w:hAnsi="Arial"/>
          <w:iCs/>
          <w:sz w:val="20"/>
          <w:szCs w:val="20"/>
        </w:rPr>
        <w:t>‘ no prodromal AD’</w:t>
      </w:r>
      <w:r w:rsidRPr="001676DF">
        <w:rPr>
          <w:rFonts w:ascii="Arial" w:hAnsi="Arial"/>
          <w:iCs/>
          <w:sz w:val="20"/>
          <w:szCs w:val="20"/>
        </w:rPr>
        <w:t xml:space="preserve"> were tested using chi-square. </w:t>
      </w:r>
      <w:r>
        <w:rPr>
          <w:rFonts w:ascii="Arial" w:hAnsi="Arial"/>
          <w:iCs/>
          <w:sz w:val="20"/>
          <w:szCs w:val="20"/>
        </w:rPr>
        <w:t>*</w:t>
      </w:r>
      <w:proofErr w:type="gramStart"/>
      <w:r>
        <w:rPr>
          <w:rFonts w:ascii="Arial" w:hAnsi="Arial"/>
          <w:iCs/>
          <w:sz w:val="20"/>
          <w:szCs w:val="20"/>
        </w:rPr>
        <w:t>p</w:t>
      </w:r>
      <w:proofErr w:type="gramEnd"/>
      <w:r>
        <w:rPr>
          <w:rFonts w:ascii="Arial" w:hAnsi="Arial"/>
          <w:iCs/>
          <w:sz w:val="20"/>
          <w:szCs w:val="20"/>
        </w:rPr>
        <w:t>&lt;0.01</w:t>
      </w:r>
    </w:p>
    <w:p w:rsidR="00251C4A" w:rsidRPr="001676DF" w:rsidRDefault="00251C4A" w:rsidP="00251C4A">
      <w:pPr>
        <w:spacing w:after="0"/>
        <w:rPr>
          <w:rFonts w:ascii="Arial" w:hAnsi="Arial"/>
          <w:iCs/>
          <w:sz w:val="20"/>
          <w:szCs w:val="20"/>
        </w:rPr>
      </w:pPr>
    </w:p>
    <w:p w:rsidR="00251C4A" w:rsidRDefault="00251C4A" w:rsidP="00251C4A">
      <w:pPr>
        <w:spacing w:after="0"/>
        <w:rPr>
          <w:rFonts w:ascii="Arial" w:hAnsi="Arial"/>
        </w:rPr>
      </w:pPr>
    </w:p>
    <w:p w:rsidR="00251C4A" w:rsidRPr="00B81C09" w:rsidRDefault="00251C4A" w:rsidP="00251C4A">
      <w:pPr>
        <w:rPr>
          <w:rFonts w:ascii="Arial" w:hAnsi="Arial"/>
        </w:rPr>
      </w:pPr>
    </w:p>
    <w:p w:rsidR="00251C4A" w:rsidRDefault="00754AFD" w:rsidP="00754AFD">
      <w:pPr>
        <w:rPr>
          <w:rFonts w:ascii="Arial" w:hAnsi="Arial"/>
          <w:sz w:val="20"/>
          <w:szCs w:val="20"/>
        </w:rPr>
      </w:pPr>
      <w:bookmarkStart w:id="0" w:name="_GoBack"/>
      <w:bookmarkEnd w:id="0"/>
      <w:r>
        <w:rPr>
          <w:rFonts w:ascii="Arial" w:hAnsi="Arial"/>
          <w:sz w:val="20"/>
          <w:szCs w:val="20"/>
        </w:rPr>
        <w:t xml:space="preserve"> </w:t>
      </w:r>
    </w:p>
    <w:p w:rsidR="00702E2C" w:rsidRPr="00BA60C4" w:rsidRDefault="00702E2C" w:rsidP="00BA60C4">
      <w:pPr>
        <w:rPr>
          <w:rFonts w:ascii="Arial" w:hAnsi="Arial"/>
          <w:sz w:val="20"/>
          <w:szCs w:val="20"/>
        </w:rPr>
      </w:pPr>
    </w:p>
    <w:sectPr w:rsidR="00702E2C" w:rsidRPr="00BA60C4" w:rsidSect="00F97542">
      <w:pgSz w:w="11900" w:h="16840"/>
      <w:pgMar w:top="1440" w:right="56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C4A"/>
    <w:rsid w:val="00251C4A"/>
    <w:rsid w:val="004954E1"/>
    <w:rsid w:val="004B326E"/>
    <w:rsid w:val="00702E2C"/>
    <w:rsid w:val="00754AFD"/>
    <w:rsid w:val="008A2E02"/>
    <w:rsid w:val="009F6F14"/>
    <w:rsid w:val="00BA60C4"/>
    <w:rsid w:val="00D3599B"/>
    <w:rsid w:val="00F9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251C4A"/>
    <w:pPr>
      <w:spacing w:after="200"/>
    </w:pPr>
    <w:rPr>
      <w:rFonts w:ascii="Cambria" w:eastAsia="Cambria" w:hAnsi="Cambria" w:cs="Times New Roman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251C4A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251C4A"/>
    <w:rPr>
      <w:rFonts w:ascii="Lucida Grande" w:eastAsia="Cambria" w:hAnsi="Lucida Grande" w:cs="Lucida Grande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251C4A"/>
    <w:pPr>
      <w:spacing w:after="200"/>
    </w:pPr>
    <w:rPr>
      <w:rFonts w:ascii="Cambria" w:eastAsia="Cambria" w:hAnsi="Cambria" w:cs="Times New Roman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251C4A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251C4A"/>
    <w:rPr>
      <w:rFonts w:ascii="Lucida Grande" w:eastAsia="Cambria" w:hAnsi="Lucida Grande" w:cs="Lucida Grande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167</Words>
  <Characters>924</Characters>
  <Application>Microsoft Macintosh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Bertens</dc:creator>
  <cp:keywords/>
  <dc:description/>
  <cp:lastModifiedBy>Daniela Bertens</cp:lastModifiedBy>
  <cp:revision>2</cp:revision>
  <dcterms:created xsi:type="dcterms:W3CDTF">2019-06-25T20:21:00Z</dcterms:created>
  <dcterms:modified xsi:type="dcterms:W3CDTF">2019-06-25T20:21:00Z</dcterms:modified>
</cp:coreProperties>
</file>