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4B345" w14:textId="1CF8BBF4" w:rsidR="00364DBF" w:rsidRPr="00CD4BCD" w:rsidRDefault="00364DBF" w:rsidP="00CD4BCD">
      <w:pPr>
        <w:widowControl/>
        <w:wordWrap/>
        <w:autoSpaceDE/>
        <w:autoSpaceDN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D4B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 </w:t>
      </w:r>
      <w:r w:rsidR="006F35FD" w:rsidRPr="00CD4BC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Content</w:t>
      </w:r>
      <w:r w:rsidR="00910C7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</w:t>
      </w:r>
    </w:p>
    <w:p w14:paraId="398E11B1" w14:textId="77777777" w:rsidR="006F35FD" w:rsidRDefault="006F35FD" w:rsidP="00CD4BCD">
      <w:pPr>
        <w:widowControl/>
        <w:wordWrap/>
        <w:autoSpaceDE/>
        <w:autoSpaceDN/>
        <w:spacing w:after="0" w:line="240" w:lineRule="auto"/>
        <w:jc w:val="left"/>
        <w:rPr>
          <w:rFonts w:ascii="Times New Roman" w:eastAsia="굴림" w:hAnsi="Times New Roman" w:cs="Times New Roman"/>
          <w:b/>
          <w:bCs/>
          <w:color w:val="000000" w:themeColor="text1"/>
          <w:kern w:val="0"/>
          <w:sz w:val="28"/>
          <w:szCs w:val="32"/>
        </w:rPr>
      </w:pPr>
    </w:p>
    <w:p w14:paraId="67653B50" w14:textId="77777777" w:rsidR="006F35FD" w:rsidRDefault="006F35FD" w:rsidP="00CD4BCD">
      <w:pPr>
        <w:pStyle w:val="a5"/>
        <w:wordWrap/>
        <w:spacing w:after="0" w:line="240" w:lineRule="auto"/>
        <w:rPr>
          <w:rFonts w:ascii="Times New Roman" w:hAnsi="Times New Roman" w:cs="Times New Roman"/>
          <w:bCs w:val="0"/>
          <w:color w:val="000000" w:themeColor="text1"/>
          <w:szCs w:val="22"/>
        </w:rPr>
      </w:pPr>
      <w:r>
        <w:rPr>
          <w:rFonts w:ascii="Times New Roman" w:hAnsi="Times New Roman" w:cs="Times New Roman"/>
          <w:bCs w:val="0"/>
          <w:noProof/>
          <w:color w:val="000000" w:themeColor="text1"/>
          <w:szCs w:val="22"/>
        </w:rPr>
        <w:drawing>
          <wp:inline distT="0" distB="0" distL="0" distR="0" wp14:anchorId="2EB6F1AA" wp14:editId="3B61C254">
            <wp:extent cx="5701419" cy="17208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04" cy="1729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A15843" w14:textId="652B8A21" w:rsidR="006F35FD" w:rsidRPr="00144FE9" w:rsidRDefault="00910C7D" w:rsidP="00CD4BCD">
      <w:pPr>
        <w:pStyle w:val="a5"/>
        <w:wordWrap/>
        <w:spacing w:after="0" w:line="240" w:lineRule="auto"/>
        <w:rPr>
          <w:rFonts w:ascii="Times New Roman" w:hAnsi="Times New Roman" w:cs="Times New Roman"/>
          <w:b w:val="0"/>
          <w:color w:val="000000" w:themeColor="text1"/>
          <w:szCs w:val="22"/>
        </w:rPr>
      </w:pPr>
      <w:r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Supplement </w:t>
      </w:r>
      <w:r w:rsidR="006F35FD"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>Fig</w:t>
      </w:r>
      <w:r w:rsidR="00422DA0">
        <w:rPr>
          <w:rFonts w:ascii="Times New Roman" w:hAnsi="Times New Roman" w:cs="Times New Roman"/>
          <w:bCs w:val="0"/>
          <w:color w:val="000000" w:themeColor="text1"/>
          <w:szCs w:val="22"/>
        </w:rPr>
        <w:t>ure</w:t>
      </w:r>
      <w:r w:rsidR="006F35FD"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bCs w:val="0"/>
          <w:color w:val="000000" w:themeColor="text1"/>
          <w:szCs w:val="22"/>
        </w:rPr>
        <w:t>1</w:t>
      </w:r>
      <w:r w:rsidR="006F35FD"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 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The</w:t>
      </w:r>
      <w:proofErr w:type="gramEnd"/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levels of α-syn between two groups selected by CSF biomarker value</w:t>
      </w:r>
      <w:r w:rsidR="006F35FD">
        <w:rPr>
          <w:rFonts w:ascii="Times New Roman" w:hAnsi="Times New Roman" w:cs="Times New Roman"/>
          <w:b w:val="0"/>
          <w:color w:val="000000" w:themeColor="text1"/>
          <w:szCs w:val="22"/>
        </w:rPr>
        <w:t>,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the visual PET reading</w:t>
      </w:r>
      <w:r w:rsidR="006F35FD">
        <w:rPr>
          <w:rFonts w:ascii="Times New Roman" w:hAnsi="Times New Roman" w:cs="Times New Roman"/>
          <w:b w:val="0"/>
          <w:color w:val="000000" w:themeColor="text1"/>
          <w:szCs w:val="22"/>
        </w:rPr>
        <w:t>, and</w:t>
      </w:r>
      <w:r w:rsidR="006F35FD" w:rsidRPr="006F35FD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proofErr w:type="spellStart"/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APOEε</w:t>
      </w:r>
      <w:proofErr w:type="spellEnd"/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genotype. </w:t>
      </w:r>
      <w:r w:rsidR="006F35FD" w:rsidRPr="007047C3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>(A)</w:t>
      </w:r>
      <w:r w:rsidR="006F35FD" w:rsidRPr="00144FE9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 xml:space="preserve"> 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AD patients with all positive CSF triple marker levels were sorted as CSF-positive. Oppositely, the CSF-negative group involves HC with all negative CSF triple marker levels. </w:t>
      </w:r>
      <w:r w:rsidR="006F35FD" w:rsidRPr="007047C3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>(</w:t>
      </w:r>
      <w:r w:rsidR="006F35FD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>B</w:t>
      </w:r>
      <w:r w:rsidR="006F35FD" w:rsidRPr="007047C3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>)</w:t>
      </w:r>
      <w:r w:rsidR="006F35FD"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  <w:t xml:space="preserve"> 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PET-positive and -negative groups were classified through visual PET reading from AD and HC, respectively.</w:t>
      </w:r>
      <w:r w:rsidR="006F35FD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(C) 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groups were</w:t>
      </w:r>
      <w:r w:rsidR="006F35FD"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 w:rsidR="006F35FD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divided by </w:t>
      </w:r>
      <w:proofErr w:type="spellStart"/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APOEε</w:t>
      </w:r>
      <w:proofErr w:type="spellEnd"/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genotype</w:t>
      </w:r>
      <w:r w:rsidR="006F35FD">
        <w:rPr>
          <w:rFonts w:ascii="Times New Roman" w:hAnsi="Times New Roman" w:cs="Times New Roman"/>
          <w:b w:val="0"/>
          <w:color w:val="000000" w:themeColor="text1"/>
          <w:szCs w:val="22"/>
        </w:rPr>
        <w:t>.</w:t>
      </w:r>
      <w:r w:rsidR="006F35FD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 w:rsidR="006F35FD"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Abbreviation: α-syn, α-synuclein; CSF, cerebrospinal fluid; PET, positron emission tomography; AD, </w:t>
      </w:r>
      <w:r w:rsidR="006F35FD" w:rsidRPr="00542EDB">
        <w:rPr>
          <w:rFonts w:ascii="Times New Roman" w:eastAsia="함초롬바탕" w:hAnsi="Times New Roman" w:cs="Times New Roman"/>
          <w:b w:val="0"/>
          <w:color w:val="000000" w:themeColor="text1"/>
        </w:rPr>
        <w:t>Alzheimer’s disease; HC, healthy control.</w:t>
      </w:r>
    </w:p>
    <w:p w14:paraId="11CC5176" w14:textId="7F1A25FA" w:rsidR="00F51418" w:rsidRDefault="006F35FD" w:rsidP="00CD4BCD">
      <w:pPr>
        <w:pStyle w:val="a5"/>
        <w:wordWrap/>
        <w:spacing w:after="0" w:line="240" w:lineRule="auto"/>
        <w:rPr>
          <w:rFonts w:ascii="Times New Roman" w:hAnsi="Times New Roman" w:cs="Times New Roman"/>
          <w:bCs w:val="0"/>
          <w:color w:val="000000" w:themeColor="text1"/>
          <w:szCs w:val="22"/>
        </w:rPr>
      </w:pPr>
      <w:r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</w:p>
    <w:p w14:paraId="292FDC8F" w14:textId="77777777" w:rsidR="00F51418" w:rsidRDefault="00F51418" w:rsidP="00CD4BCD">
      <w:pPr>
        <w:widowControl/>
        <w:wordWrap/>
        <w:autoSpaceDE/>
        <w:autoSpaceDN/>
        <w:spacing w:after="0" w:line="24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br w:type="page"/>
      </w:r>
    </w:p>
    <w:p w14:paraId="47E38961" w14:textId="77777777" w:rsidR="00364DBF" w:rsidRPr="006F35FD" w:rsidRDefault="00364DBF" w:rsidP="00CD4BCD">
      <w:pPr>
        <w:pStyle w:val="a5"/>
        <w:wordWrap/>
        <w:spacing w:after="0" w:line="240" w:lineRule="auto"/>
        <w:rPr>
          <w:rFonts w:ascii="Times New Roman" w:hAnsi="Times New Roman" w:cs="Times New Roman"/>
          <w:b w:val="0"/>
          <w:bCs w:val="0"/>
          <w:color w:val="000000" w:themeColor="text1"/>
          <w:szCs w:val="22"/>
        </w:rPr>
      </w:pPr>
    </w:p>
    <w:p w14:paraId="665DD2CA" w14:textId="77777777" w:rsidR="00364DBF" w:rsidRPr="00144FE9" w:rsidRDefault="00364DBF" w:rsidP="00CD4BC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C3A94AD" wp14:editId="3E665989">
            <wp:extent cx="5725160" cy="4988560"/>
            <wp:effectExtent l="0" t="0" r="8890" b="254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498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C6EB1" w14:textId="7881B2AE" w:rsidR="00D84344" w:rsidRDefault="00910C7D" w:rsidP="00CD4BCD">
      <w:pPr>
        <w:pStyle w:val="a5"/>
        <w:wordWrap/>
        <w:spacing w:after="0" w:line="240" w:lineRule="auto"/>
        <w:rPr>
          <w:rFonts w:ascii="Times New Roman" w:eastAsia="함초롬바탕" w:hAnsi="Times New Roman" w:cs="Times New Roman"/>
          <w:b w:val="0"/>
          <w:color w:val="000000" w:themeColor="text1"/>
        </w:rPr>
      </w:pPr>
      <w:r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Supplement </w:t>
      </w:r>
      <w:r w:rsidR="00364DBF"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>Fi</w:t>
      </w:r>
      <w:r>
        <w:rPr>
          <w:rFonts w:ascii="Times New Roman" w:hAnsi="Times New Roman" w:cs="Times New Roman"/>
          <w:bCs w:val="0"/>
          <w:color w:val="000000" w:themeColor="text1"/>
          <w:szCs w:val="22"/>
        </w:rPr>
        <w:t>g</w:t>
      </w:r>
      <w:r w:rsidR="00422DA0">
        <w:rPr>
          <w:rFonts w:ascii="Times New Roman" w:hAnsi="Times New Roman" w:cs="Times New Roman"/>
          <w:bCs w:val="0"/>
          <w:color w:val="000000" w:themeColor="text1"/>
          <w:szCs w:val="22"/>
        </w:rPr>
        <w:t>ure</w:t>
      </w:r>
      <w:r w:rsidR="00364DBF"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 w:rsidR="00F51418">
        <w:rPr>
          <w:rFonts w:ascii="Times New Roman" w:hAnsi="Times New Roman" w:cs="Times New Roman"/>
          <w:bCs w:val="0"/>
          <w:color w:val="000000" w:themeColor="text1"/>
          <w:szCs w:val="22"/>
        </w:rPr>
        <w:t>2</w:t>
      </w:r>
      <w:r w:rsidR="00364DBF"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Correlation with cognitive decline and biomarkers. 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>(A)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T-tau and MMSE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>.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(B) 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T-tau/α-syn ratio and MMSE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>.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>(C)</w:t>
      </w:r>
      <w:r w:rsidR="00364DBF"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>T-tau and CDR</w:t>
      </w:r>
      <w:r w:rsidR="00364DBF">
        <w:rPr>
          <w:rFonts w:ascii="Times New Roman" w:hAnsi="Times New Roman" w:cs="Times New Roman"/>
          <w:b w:val="0"/>
          <w:color w:val="000000" w:themeColor="text1"/>
          <w:szCs w:val="22"/>
        </w:rPr>
        <w:t>. (D)</w:t>
      </w:r>
      <w:r w:rsidR="00364DBF"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 w:rsidR="00364DBF"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T-tau/α-syn ratio and CDR. </w:t>
      </w:r>
      <w:r w:rsidR="00364DBF"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>Abbreviation: MMSE, Mini Mental State Examination; CDR, Clinical Dementia Rating; EOAD, early-onset Alzheimer’s disease; LOAD, late-onset</w:t>
      </w:r>
      <w:r w:rsidR="00364DBF" w:rsidRPr="00542EDB">
        <w:rPr>
          <w:rFonts w:ascii="Times New Roman" w:eastAsia="함초롬바탕" w:hAnsi="Times New Roman" w:cs="Times New Roman"/>
          <w:b w:val="0"/>
          <w:color w:val="000000" w:themeColor="text1"/>
        </w:rPr>
        <w:t xml:space="preserve"> Alzheimer’s disease; MCI, mild cognitive impairment; SCD, subjective cognitive decline; PD, Parkinson’s disease; HC, healthy control;</w:t>
      </w:r>
      <w:r w:rsidR="00364DBF" w:rsidRPr="00542EDB">
        <w:rPr>
          <w:rFonts w:ascii="Times New Roman" w:eastAsia="함초롬바탕" w:hAnsi="Times New Roman" w:cs="Times New Roman"/>
          <w:color w:val="000000" w:themeColor="text1"/>
        </w:rPr>
        <w:t xml:space="preserve"> </w:t>
      </w:r>
      <w:r w:rsidR="00364DBF"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T-tau, total tau; </w:t>
      </w:r>
      <w:r w:rsidR="00364DBF" w:rsidRPr="00542EDB">
        <w:rPr>
          <w:rFonts w:ascii="Times New Roman" w:eastAsia="함초롬바탕" w:hAnsi="Times New Roman" w:cs="Times New Roman"/>
          <w:b w:val="0"/>
          <w:color w:val="000000" w:themeColor="text1"/>
        </w:rPr>
        <w:t>P-tau</w:t>
      </w:r>
      <w:r w:rsidR="00364DBF" w:rsidRPr="00542EDB">
        <w:rPr>
          <w:rFonts w:ascii="Times New Roman" w:eastAsia="함초롬바탕" w:hAnsi="Times New Roman" w:cs="Times New Roman"/>
          <w:b w:val="0"/>
          <w:color w:val="000000" w:themeColor="text1"/>
          <w:vertAlign w:val="subscript"/>
        </w:rPr>
        <w:t>181</w:t>
      </w:r>
      <w:r w:rsidR="00364DBF" w:rsidRPr="00542EDB">
        <w:rPr>
          <w:rFonts w:ascii="Times New Roman" w:eastAsia="함초롬바탕" w:hAnsi="Times New Roman" w:cs="Times New Roman"/>
          <w:b w:val="0"/>
          <w:color w:val="000000" w:themeColor="text1"/>
        </w:rPr>
        <w:t>, phosphorylated tau 181; α-syn, α-synuclein.</w:t>
      </w:r>
    </w:p>
    <w:p w14:paraId="22B0C582" w14:textId="77777777" w:rsidR="00D84344" w:rsidRDefault="00D84344">
      <w:pPr>
        <w:widowControl/>
        <w:wordWrap/>
        <w:autoSpaceDE/>
        <w:autoSpaceDN/>
        <w:spacing w:after="160" w:line="259" w:lineRule="auto"/>
        <w:jc w:val="left"/>
        <w:rPr>
          <w:rFonts w:ascii="Times New Roman" w:eastAsia="함초롬바탕" w:hAnsi="Times New Roman" w:cs="Times New Roman"/>
          <w:bCs/>
          <w:color w:val="000000" w:themeColor="text1"/>
          <w:szCs w:val="20"/>
        </w:rPr>
      </w:pPr>
      <w:r>
        <w:rPr>
          <w:rFonts w:ascii="Times New Roman" w:eastAsia="함초롬바탕" w:hAnsi="Times New Roman" w:cs="Times New Roman"/>
          <w:b/>
          <w:color w:val="000000" w:themeColor="text1"/>
        </w:rPr>
        <w:br w:type="page"/>
      </w:r>
    </w:p>
    <w:p w14:paraId="3C6B394A" w14:textId="30C6BE0D" w:rsidR="00364DBF" w:rsidRPr="00D84344" w:rsidRDefault="00D84344" w:rsidP="00CD4BCD">
      <w:pPr>
        <w:pStyle w:val="a5"/>
        <w:wordWrap/>
        <w:spacing w:after="0" w:line="240" w:lineRule="auto"/>
        <w:rPr>
          <w:rFonts w:ascii="Times New Roman" w:eastAsia="함초롬바탕" w:hAnsi="Times New Roman" w:cs="Times New Roman"/>
          <w:bCs w:val="0"/>
          <w:color w:val="000000" w:themeColor="text1"/>
        </w:rPr>
      </w:pPr>
      <w:r>
        <w:rPr>
          <w:rFonts w:ascii="Times New Roman" w:eastAsia="함초롬바탕" w:hAnsi="Times New Roman" w:cs="Times New Roman"/>
          <w:bCs w:val="0"/>
          <w:noProof/>
          <w:color w:val="000000" w:themeColor="text1"/>
        </w:rPr>
        <w:lastRenderedPageBreak/>
        <w:drawing>
          <wp:inline distT="0" distB="0" distL="0" distR="0" wp14:anchorId="23D65733" wp14:editId="206C76E7">
            <wp:extent cx="5715414" cy="214320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350" cy="215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F314E" w14:textId="74A30222" w:rsidR="00FF33A0" w:rsidRDefault="00D84344" w:rsidP="00D84344">
      <w:pPr>
        <w:pStyle w:val="a5"/>
        <w:wordWrap/>
        <w:spacing w:after="0" w:line="240" w:lineRule="auto"/>
        <w:rPr>
          <w:rFonts w:ascii="Times New Roman" w:hAnsi="Times New Roman" w:cs="Times New Roman"/>
          <w:b w:val="0"/>
          <w:color w:val="000000" w:themeColor="text1"/>
          <w:szCs w:val="22"/>
        </w:rPr>
      </w:pPr>
      <w:r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Supplement </w:t>
      </w:r>
      <w:r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>Fi</w:t>
      </w:r>
      <w:r>
        <w:rPr>
          <w:rFonts w:ascii="Times New Roman" w:hAnsi="Times New Roman" w:cs="Times New Roman"/>
          <w:bCs w:val="0"/>
          <w:color w:val="000000" w:themeColor="text1"/>
          <w:szCs w:val="22"/>
        </w:rPr>
        <w:t>gure</w:t>
      </w:r>
      <w:r w:rsidRPr="006F35FD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bCs w:val="0"/>
          <w:color w:val="000000" w:themeColor="text1"/>
          <w:szCs w:val="22"/>
        </w:rPr>
        <w:t>3</w:t>
      </w:r>
      <w:r w:rsidRPr="00144FE9">
        <w:rPr>
          <w:rFonts w:ascii="Times New Roman" w:hAnsi="Times New Roman" w:cs="Times New Roman"/>
          <w:bCs w:val="0"/>
          <w:color w:val="000000" w:themeColor="text1"/>
          <w:szCs w:val="22"/>
        </w:rPr>
        <w:t xml:space="preserve"> </w:t>
      </w:r>
      <w:r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Correlation </w:t>
      </w:r>
      <w:r>
        <w:rPr>
          <w:rFonts w:ascii="Times New Roman" w:hAnsi="Times New Roman" w:cs="Times New Roman"/>
          <w:b w:val="0"/>
          <w:color w:val="000000" w:themeColor="text1"/>
          <w:szCs w:val="22"/>
        </w:rPr>
        <w:t>between T-tau and P-tau</w:t>
      </w:r>
      <w:r w:rsidRPr="00D84344">
        <w:rPr>
          <w:rFonts w:ascii="Times New Roman" w:hAnsi="Times New Roman" w:cs="Times New Roman"/>
          <w:b w:val="0"/>
          <w:color w:val="000000" w:themeColor="text1"/>
          <w:szCs w:val="22"/>
          <w:vertAlign w:val="subscript"/>
        </w:rPr>
        <w:t>181</w:t>
      </w:r>
      <w:r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. </w:t>
      </w:r>
      <w:r>
        <w:rPr>
          <w:rFonts w:ascii="Times New Roman" w:hAnsi="Times New Roman" w:cs="Times New Roman"/>
          <w:b w:val="0"/>
          <w:color w:val="000000" w:themeColor="text1"/>
          <w:szCs w:val="22"/>
        </w:rPr>
        <w:t>(A)</w:t>
      </w:r>
      <w:r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T-tau and </w:t>
      </w:r>
      <w:r>
        <w:rPr>
          <w:rFonts w:ascii="Times New Roman" w:hAnsi="Times New Roman" w:cs="Times New Roman"/>
          <w:b w:val="0"/>
          <w:color w:val="000000" w:themeColor="text1"/>
          <w:szCs w:val="22"/>
        </w:rPr>
        <w:t>P-tau</w:t>
      </w:r>
      <w:r w:rsidRPr="00D84344">
        <w:rPr>
          <w:rFonts w:ascii="Times New Roman" w:hAnsi="Times New Roman" w:cs="Times New Roman"/>
          <w:b w:val="0"/>
          <w:color w:val="000000" w:themeColor="text1"/>
          <w:szCs w:val="22"/>
          <w:vertAlign w:val="subscript"/>
        </w:rPr>
        <w:t>181</w:t>
      </w:r>
      <w:r>
        <w:rPr>
          <w:rFonts w:ascii="Times New Roman" w:hAnsi="Times New Roman" w:cs="Times New Roman"/>
          <w:b w:val="0"/>
          <w:color w:val="000000" w:themeColor="text1"/>
          <w:szCs w:val="22"/>
        </w:rPr>
        <w:t>.</w:t>
      </w:r>
      <w:r w:rsidRPr="00144FE9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</w:t>
      </w:r>
      <w:r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(B) </w:t>
      </w:r>
      <w:r w:rsidR="00FF33A0" w:rsidRPr="00FF33A0">
        <w:rPr>
          <w:rFonts w:ascii="Times New Roman" w:hAnsi="Times New Roman" w:cs="Times New Roman"/>
          <w:b w:val="0"/>
          <w:color w:val="000000" w:themeColor="text1"/>
          <w:szCs w:val="22"/>
        </w:rPr>
        <w:t>T-tau and P-tau</w:t>
      </w:r>
      <w:r w:rsidR="00FF33A0" w:rsidRPr="00FF33A0">
        <w:rPr>
          <w:rFonts w:ascii="Times New Roman" w:hAnsi="Times New Roman" w:cs="Times New Roman"/>
          <w:b w:val="0"/>
          <w:color w:val="000000" w:themeColor="text1"/>
          <w:szCs w:val="22"/>
          <w:vertAlign w:val="subscript"/>
        </w:rPr>
        <w:t>181</w:t>
      </w:r>
      <w:r w:rsidR="00FF33A0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 in each group.</w:t>
      </w:r>
    </w:p>
    <w:p w14:paraId="5216E23E" w14:textId="71B62B2B" w:rsidR="00D84344" w:rsidRDefault="00D84344" w:rsidP="00D84344">
      <w:pPr>
        <w:pStyle w:val="a5"/>
        <w:wordWrap/>
        <w:spacing w:after="0" w:line="240" w:lineRule="auto"/>
        <w:rPr>
          <w:rFonts w:ascii="Times New Roman" w:eastAsia="함초롬바탕" w:hAnsi="Times New Roman" w:cs="Times New Roman"/>
          <w:b w:val="0"/>
          <w:color w:val="000000" w:themeColor="text1"/>
        </w:rPr>
      </w:pPr>
      <w:r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>Abbreviation: EOAD, early-onset Alzheimer’s disease; LOAD, late-onset</w:t>
      </w:r>
      <w:r w:rsidRPr="00542EDB">
        <w:rPr>
          <w:rFonts w:ascii="Times New Roman" w:eastAsia="함초롬바탕" w:hAnsi="Times New Roman" w:cs="Times New Roman"/>
          <w:b w:val="0"/>
          <w:color w:val="000000" w:themeColor="text1"/>
        </w:rPr>
        <w:t xml:space="preserve"> Alzheimer’s disease; MCI, mild cognitive impairment; SCD, subjective cognitive decline; PD, Parkinson’s disease; HC, healthy control;</w:t>
      </w:r>
      <w:r w:rsidRPr="00542EDB">
        <w:rPr>
          <w:rFonts w:ascii="Times New Roman" w:eastAsia="함초롬바탕" w:hAnsi="Times New Roman" w:cs="Times New Roman"/>
          <w:color w:val="000000" w:themeColor="text1"/>
        </w:rPr>
        <w:t xml:space="preserve"> </w:t>
      </w:r>
      <w:r w:rsidRPr="00542EDB">
        <w:rPr>
          <w:rFonts w:ascii="Times New Roman" w:hAnsi="Times New Roman" w:cs="Times New Roman"/>
          <w:b w:val="0"/>
          <w:color w:val="000000" w:themeColor="text1"/>
          <w:szCs w:val="22"/>
        </w:rPr>
        <w:t xml:space="preserve">T-tau, total tau; </w:t>
      </w:r>
      <w:r w:rsidRPr="00542EDB">
        <w:rPr>
          <w:rFonts w:ascii="Times New Roman" w:eastAsia="함초롬바탕" w:hAnsi="Times New Roman" w:cs="Times New Roman"/>
          <w:b w:val="0"/>
          <w:color w:val="000000" w:themeColor="text1"/>
        </w:rPr>
        <w:t>P-tau</w:t>
      </w:r>
      <w:r w:rsidRPr="00542EDB">
        <w:rPr>
          <w:rFonts w:ascii="Times New Roman" w:eastAsia="함초롬바탕" w:hAnsi="Times New Roman" w:cs="Times New Roman"/>
          <w:b w:val="0"/>
          <w:color w:val="000000" w:themeColor="text1"/>
          <w:vertAlign w:val="subscript"/>
        </w:rPr>
        <w:t>181</w:t>
      </w:r>
      <w:r w:rsidRPr="00542EDB">
        <w:rPr>
          <w:rFonts w:ascii="Times New Roman" w:eastAsia="함초롬바탕" w:hAnsi="Times New Roman" w:cs="Times New Roman"/>
          <w:b w:val="0"/>
          <w:color w:val="000000" w:themeColor="text1"/>
        </w:rPr>
        <w:t>, phosphorylated tau 181.</w:t>
      </w:r>
    </w:p>
    <w:p w14:paraId="01165DBE" w14:textId="77777777" w:rsidR="00D84344" w:rsidRPr="00FF33A0" w:rsidRDefault="00D84344" w:rsidP="00CD4BCD">
      <w:pPr>
        <w:widowControl/>
        <w:wordWrap/>
        <w:autoSpaceDE/>
        <w:autoSpaceDN/>
        <w:spacing w:after="0" w:line="240" w:lineRule="auto"/>
        <w:rPr>
          <w:rFonts w:ascii="Times New Roman" w:eastAsia="함초롬바탕" w:hAnsi="Times New Roman" w:cs="Times New Roman"/>
          <w:b/>
          <w:color w:val="000000" w:themeColor="text1"/>
        </w:rPr>
      </w:pPr>
    </w:p>
    <w:p w14:paraId="32DF57F0" w14:textId="08DF7EF6" w:rsidR="00364DBF" w:rsidRPr="00D84344" w:rsidRDefault="00364DBF" w:rsidP="00CD4BCD">
      <w:pPr>
        <w:widowControl/>
        <w:wordWrap/>
        <w:autoSpaceDE/>
        <w:autoSpaceDN/>
        <w:spacing w:after="0" w:line="240" w:lineRule="auto"/>
        <w:rPr>
          <w:rFonts w:ascii="Times New Roman" w:eastAsia="함초롬바탕" w:hAnsi="Times New Roman" w:cs="Times New Roman"/>
          <w:bCs/>
          <w:color w:val="000000" w:themeColor="text1"/>
          <w:szCs w:val="20"/>
        </w:rPr>
      </w:pPr>
      <w:r>
        <w:rPr>
          <w:rFonts w:ascii="Times New Roman" w:eastAsia="함초롬바탕" w:hAnsi="Times New Roman" w:cs="Times New Roman"/>
          <w:b/>
          <w:color w:val="000000" w:themeColor="text1"/>
        </w:rPr>
        <w:br w:type="page"/>
      </w:r>
    </w:p>
    <w:p w14:paraId="42B7CD43" w14:textId="70361D1B" w:rsidR="00364DBF" w:rsidRPr="00910C7D" w:rsidRDefault="00910C7D" w:rsidP="00CD4BCD">
      <w:pPr>
        <w:widowControl/>
        <w:wordWrap/>
        <w:autoSpaceDE/>
        <w:autoSpaceDN/>
        <w:spacing w:after="0" w:line="240" w:lineRule="auto"/>
        <w:rPr>
          <w:rFonts w:ascii="Times New Roman" w:hAnsi="Times New Roman" w:cs="Times New Roman"/>
          <w:color w:val="000000" w:themeColor="text1"/>
          <w:szCs w:val="20"/>
        </w:rPr>
      </w:pPr>
      <w:r w:rsidRPr="00492EE6">
        <w:rPr>
          <w:rFonts w:ascii="Times New Roman" w:hAnsi="Times New Roman" w:cs="Times New Roman"/>
          <w:b/>
          <w:bCs/>
          <w:color w:val="000000" w:themeColor="text1"/>
          <w:szCs w:val="20"/>
        </w:rPr>
        <w:lastRenderedPageBreak/>
        <w:t xml:space="preserve">Supplement </w:t>
      </w:r>
      <w:r w:rsidR="00364DBF" w:rsidRPr="00492EE6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Table </w:t>
      </w:r>
      <w:r w:rsidR="00356424">
        <w:rPr>
          <w:rFonts w:ascii="Times New Roman" w:hAnsi="Times New Roman" w:cs="Times New Roman"/>
          <w:b/>
          <w:bCs/>
          <w:color w:val="000000" w:themeColor="text1"/>
          <w:szCs w:val="20"/>
        </w:rPr>
        <w:t>1</w:t>
      </w:r>
      <w:r w:rsidR="00364DBF" w:rsidRPr="00910C7D">
        <w:rPr>
          <w:rFonts w:ascii="Times New Roman" w:hAnsi="Times New Roman" w:cs="Times New Roman"/>
          <w:color w:val="000000" w:themeColor="text1"/>
          <w:szCs w:val="20"/>
        </w:rPr>
        <w:t xml:space="preserve"> Quadruple CSF biomarkers profiles and characteristics</w:t>
      </w:r>
    </w:p>
    <w:tbl>
      <w:tblPr>
        <w:tblStyle w:val="a6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6946"/>
      </w:tblGrid>
      <w:tr w:rsidR="00364DBF" w:rsidRPr="00910C7D" w14:paraId="7E86E3DC" w14:textId="77777777" w:rsidTr="00CD4BCD">
        <w:trPr>
          <w:trHeight w:val="397"/>
        </w:trPr>
        <w:tc>
          <w:tcPr>
            <w:tcW w:w="1980" w:type="dxa"/>
            <w:gridSpan w:val="2"/>
            <w:noWrap/>
            <w:vAlign w:val="center"/>
            <w:hideMark/>
          </w:tcPr>
          <w:p w14:paraId="204A57C9" w14:textId="77777777" w:rsidR="00364DBF" w:rsidRPr="00910C7D" w:rsidRDefault="00364DBF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b/>
                <w:bCs/>
                <w:color w:val="000000" w:themeColor="text1"/>
                <w:kern w:val="0"/>
                <w:szCs w:val="20"/>
              </w:rPr>
              <w:t>ATN profiles</w:t>
            </w:r>
          </w:p>
        </w:tc>
        <w:tc>
          <w:tcPr>
            <w:tcW w:w="6946" w:type="dxa"/>
            <w:vAlign w:val="center"/>
          </w:tcPr>
          <w:p w14:paraId="5F1688B1" w14:textId="77777777" w:rsidR="00364DBF" w:rsidRPr="00910C7D" w:rsidRDefault="00364DBF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b/>
                <w:bCs/>
                <w:color w:val="000000" w:themeColor="text1"/>
                <w:kern w:val="0"/>
                <w:szCs w:val="20"/>
              </w:rPr>
              <w:t>Characteristics</w:t>
            </w:r>
          </w:p>
        </w:tc>
      </w:tr>
      <w:tr w:rsidR="002119AA" w:rsidRPr="00910C7D" w14:paraId="31DB769E" w14:textId="77777777" w:rsidTr="00CD4BCD">
        <w:trPr>
          <w:trHeight w:val="397"/>
        </w:trPr>
        <w:tc>
          <w:tcPr>
            <w:tcW w:w="988" w:type="dxa"/>
            <w:vMerge w:val="restart"/>
            <w:noWrap/>
            <w:vAlign w:val="center"/>
            <w:hideMark/>
          </w:tcPr>
          <w:p w14:paraId="17E06EE7" w14:textId="555D1825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Cs w:val="20"/>
              </w:rPr>
              <w:t>A-T-N-</w:t>
            </w:r>
          </w:p>
        </w:tc>
        <w:tc>
          <w:tcPr>
            <w:tcW w:w="992" w:type="dxa"/>
            <w:noWrap/>
            <w:vAlign w:val="center"/>
            <w:hideMark/>
          </w:tcPr>
          <w:p w14:paraId="180B50B0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6946" w:type="dxa"/>
            <w:noWrap/>
            <w:vAlign w:val="center"/>
          </w:tcPr>
          <w:p w14:paraId="05232F55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Normal AD biomarkers</w:t>
            </w:r>
          </w:p>
        </w:tc>
      </w:tr>
      <w:tr w:rsidR="00364DBF" w:rsidRPr="00910C7D" w14:paraId="60752443" w14:textId="77777777" w:rsidTr="00CD4BCD">
        <w:trPr>
          <w:trHeight w:val="397"/>
        </w:trPr>
        <w:tc>
          <w:tcPr>
            <w:tcW w:w="988" w:type="dxa"/>
            <w:vMerge/>
            <w:vAlign w:val="center"/>
            <w:hideMark/>
          </w:tcPr>
          <w:p w14:paraId="4B6261B7" w14:textId="77777777" w:rsidR="00364DBF" w:rsidRPr="00910C7D" w:rsidRDefault="00364DBF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84B8CEA" w14:textId="77777777" w:rsidR="00364DBF" w:rsidRPr="00910C7D" w:rsidRDefault="00364DBF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+</w:t>
            </w:r>
          </w:p>
        </w:tc>
        <w:tc>
          <w:tcPr>
            <w:tcW w:w="6946" w:type="dxa"/>
            <w:noWrap/>
            <w:vAlign w:val="center"/>
          </w:tcPr>
          <w:p w14:paraId="2569A1E9" w14:textId="77777777" w:rsidR="00364DBF" w:rsidRPr="00910C7D" w:rsidRDefault="00364DBF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Possible neurodegenerative change with tau and α-synuclein pathophysiology</w:t>
            </w:r>
          </w:p>
        </w:tc>
      </w:tr>
      <w:tr w:rsidR="002119AA" w:rsidRPr="00910C7D" w14:paraId="01DF8F2E" w14:textId="77777777" w:rsidTr="00CD4BCD">
        <w:trPr>
          <w:trHeight w:val="397"/>
        </w:trPr>
        <w:tc>
          <w:tcPr>
            <w:tcW w:w="988" w:type="dxa"/>
            <w:vMerge w:val="restart"/>
            <w:noWrap/>
            <w:vAlign w:val="center"/>
            <w:hideMark/>
          </w:tcPr>
          <w:p w14:paraId="08FCF629" w14:textId="65903B32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Cs w:val="20"/>
              </w:rPr>
              <w:t>A+T-N-</w:t>
            </w:r>
          </w:p>
        </w:tc>
        <w:tc>
          <w:tcPr>
            <w:tcW w:w="992" w:type="dxa"/>
            <w:noWrap/>
            <w:vAlign w:val="center"/>
            <w:hideMark/>
          </w:tcPr>
          <w:p w14:paraId="6B7C31DF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6946" w:type="dxa"/>
            <w:noWrap/>
            <w:vAlign w:val="center"/>
          </w:tcPr>
          <w:p w14:paraId="169233F2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Alzheimer’s pathologic change or concomitant with synucleinopathies</w:t>
            </w:r>
          </w:p>
        </w:tc>
      </w:tr>
      <w:tr w:rsidR="002119AA" w:rsidRPr="00910C7D" w14:paraId="4253A54A" w14:textId="77777777" w:rsidTr="00CD4BCD">
        <w:trPr>
          <w:trHeight w:val="397"/>
        </w:trPr>
        <w:tc>
          <w:tcPr>
            <w:tcW w:w="988" w:type="dxa"/>
            <w:vMerge/>
            <w:vAlign w:val="center"/>
            <w:hideMark/>
          </w:tcPr>
          <w:p w14:paraId="78847707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CD744E7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+</w:t>
            </w:r>
          </w:p>
        </w:tc>
        <w:tc>
          <w:tcPr>
            <w:tcW w:w="6946" w:type="dxa"/>
            <w:noWrap/>
            <w:vAlign w:val="center"/>
          </w:tcPr>
          <w:p w14:paraId="397B17FA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Alzheimer’s pathologic change with tau and α-synuclein pathophysiology</w:t>
            </w:r>
          </w:p>
        </w:tc>
      </w:tr>
      <w:tr w:rsidR="002119AA" w:rsidRPr="00910C7D" w14:paraId="5EECF061" w14:textId="77777777" w:rsidTr="00CD4BCD">
        <w:trPr>
          <w:trHeight w:val="397"/>
        </w:trPr>
        <w:tc>
          <w:tcPr>
            <w:tcW w:w="988" w:type="dxa"/>
            <w:vMerge w:val="restart"/>
            <w:noWrap/>
            <w:vAlign w:val="center"/>
            <w:hideMark/>
          </w:tcPr>
          <w:p w14:paraId="1DF8EF10" w14:textId="5C8785B6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AD</w:t>
            </w:r>
          </w:p>
        </w:tc>
        <w:tc>
          <w:tcPr>
            <w:tcW w:w="992" w:type="dxa"/>
            <w:noWrap/>
            <w:vAlign w:val="center"/>
            <w:hideMark/>
          </w:tcPr>
          <w:p w14:paraId="71F7F0DB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6946" w:type="dxa"/>
            <w:noWrap/>
            <w:vAlign w:val="center"/>
          </w:tcPr>
          <w:p w14:paraId="4FDFFCAA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AD with over-production/secretion of α-synuclein or concomitant with other neurodegenerative disorders</w:t>
            </w:r>
          </w:p>
        </w:tc>
      </w:tr>
      <w:tr w:rsidR="002119AA" w:rsidRPr="00910C7D" w14:paraId="5209DC43" w14:textId="77777777" w:rsidTr="00CD4BCD">
        <w:trPr>
          <w:trHeight w:val="397"/>
        </w:trPr>
        <w:tc>
          <w:tcPr>
            <w:tcW w:w="988" w:type="dxa"/>
            <w:vMerge/>
            <w:vAlign w:val="center"/>
            <w:hideMark/>
          </w:tcPr>
          <w:p w14:paraId="42CEA549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0CA7B884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+</w:t>
            </w:r>
          </w:p>
        </w:tc>
        <w:tc>
          <w:tcPr>
            <w:tcW w:w="6946" w:type="dxa"/>
            <w:noWrap/>
            <w:vAlign w:val="center"/>
          </w:tcPr>
          <w:p w14:paraId="195E4F03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AD with tau and α-synuclein pathophysiology</w:t>
            </w:r>
          </w:p>
        </w:tc>
      </w:tr>
      <w:tr w:rsidR="002119AA" w:rsidRPr="00910C7D" w14:paraId="12268E5D" w14:textId="77777777" w:rsidTr="00CD4BCD">
        <w:trPr>
          <w:trHeight w:val="397"/>
        </w:trPr>
        <w:tc>
          <w:tcPr>
            <w:tcW w:w="988" w:type="dxa"/>
            <w:vMerge w:val="restart"/>
            <w:vAlign w:val="center"/>
          </w:tcPr>
          <w:p w14:paraId="5F53DCB1" w14:textId="16780A9A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bCs/>
                <w:color w:val="000000" w:themeColor="text1"/>
                <w:kern w:val="0"/>
                <w:szCs w:val="20"/>
              </w:rPr>
              <w:t>A+T-N+</w:t>
            </w:r>
          </w:p>
        </w:tc>
        <w:tc>
          <w:tcPr>
            <w:tcW w:w="992" w:type="dxa"/>
            <w:noWrap/>
            <w:vAlign w:val="center"/>
            <w:hideMark/>
          </w:tcPr>
          <w:p w14:paraId="2F4650C9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6946" w:type="dxa"/>
            <w:noWrap/>
            <w:vAlign w:val="center"/>
          </w:tcPr>
          <w:p w14:paraId="37960ABC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 xml:space="preserve">- </w:t>
            </w:r>
          </w:p>
        </w:tc>
      </w:tr>
      <w:tr w:rsidR="002119AA" w:rsidRPr="00910C7D" w14:paraId="754B2135" w14:textId="77777777" w:rsidTr="00CD4BCD">
        <w:trPr>
          <w:trHeight w:val="397"/>
        </w:trPr>
        <w:tc>
          <w:tcPr>
            <w:tcW w:w="988" w:type="dxa"/>
            <w:vMerge/>
            <w:vAlign w:val="center"/>
            <w:hideMark/>
          </w:tcPr>
          <w:p w14:paraId="6C3044DF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12CF1CF8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+</w:t>
            </w:r>
          </w:p>
        </w:tc>
        <w:tc>
          <w:tcPr>
            <w:tcW w:w="6946" w:type="dxa"/>
            <w:noWrap/>
            <w:vAlign w:val="center"/>
          </w:tcPr>
          <w:p w14:paraId="2E97169C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Alzheimer’s and concomitant suspected non-Alzheimer’s pathologic change with tau and α-synuclein pathophysiology</w:t>
            </w:r>
          </w:p>
        </w:tc>
      </w:tr>
      <w:tr w:rsidR="002119AA" w:rsidRPr="00910C7D" w14:paraId="213AECC8" w14:textId="77777777" w:rsidTr="00CD4BCD">
        <w:trPr>
          <w:trHeight w:val="397"/>
        </w:trPr>
        <w:tc>
          <w:tcPr>
            <w:tcW w:w="988" w:type="dxa"/>
            <w:vMerge w:val="restart"/>
            <w:noWrap/>
            <w:vAlign w:val="center"/>
            <w:hideMark/>
          </w:tcPr>
          <w:p w14:paraId="5E45D37B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SNAP</w:t>
            </w:r>
          </w:p>
        </w:tc>
        <w:tc>
          <w:tcPr>
            <w:tcW w:w="992" w:type="dxa"/>
            <w:noWrap/>
            <w:vAlign w:val="center"/>
            <w:hideMark/>
          </w:tcPr>
          <w:p w14:paraId="37CEFECF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-</w:t>
            </w:r>
          </w:p>
        </w:tc>
        <w:tc>
          <w:tcPr>
            <w:tcW w:w="6946" w:type="dxa"/>
            <w:noWrap/>
            <w:vAlign w:val="center"/>
          </w:tcPr>
          <w:p w14:paraId="1B121EF9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Non-Alzheimer’s pathologic change with over-production/secretion of α-synuclein</w:t>
            </w:r>
          </w:p>
        </w:tc>
      </w:tr>
      <w:tr w:rsidR="002119AA" w:rsidRPr="00910C7D" w14:paraId="0ECF4BCA" w14:textId="77777777" w:rsidTr="00CD4BCD">
        <w:trPr>
          <w:trHeight w:val="397"/>
        </w:trPr>
        <w:tc>
          <w:tcPr>
            <w:tcW w:w="988" w:type="dxa"/>
            <w:vMerge/>
            <w:vAlign w:val="center"/>
            <w:hideMark/>
          </w:tcPr>
          <w:p w14:paraId="6C9A8294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7E90645E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ind w:leftChars="50" w:left="100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hAnsi="Times New Roman" w:cs="Times New Roman"/>
                <w:color w:val="000000" w:themeColor="text1"/>
                <w:szCs w:val="20"/>
              </w:rPr>
              <w:t>N/αS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+</w:t>
            </w:r>
          </w:p>
        </w:tc>
        <w:tc>
          <w:tcPr>
            <w:tcW w:w="6946" w:type="dxa"/>
            <w:noWrap/>
            <w:vAlign w:val="center"/>
          </w:tcPr>
          <w:p w14:paraId="04676D0D" w14:textId="77777777" w:rsidR="002119AA" w:rsidRPr="00910C7D" w:rsidRDefault="002119AA" w:rsidP="00CD4BCD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</w:pP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</w:rPr>
              <w:t>Possibly preclinical AD with over-production/secretion of Aβ</w:t>
            </w:r>
            <w:r w:rsidRPr="00910C7D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0"/>
                <w:vertAlign w:val="subscript"/>
              </w:rPr>
              <w:t>42</w:t>
            </w:r>
          </w:p>
        </w:tc>
      </w:tr>
    </w:tbl>
    <w:p w14:paraId="419B4379" w14:textId="77777777" w:rsidR="00364DBF" w:rsidRPr="00910C7D" w:rsidRDefault="00364DBF" w:rsidP="00CD4BCD">
      <w:pPr>
        <w:pStyle w:val="a5"/>
        <w:wordWrap/>
        <w:spacing w:after="0" w:line="240" w:lineRule="auto"/>
        <w:rPr>
          <w:rFonts w:ascii="Times New Roman" w:hAnsi="Times New Roman" w:cs="Times New Roman"/>
          <w:b w:val="0"/>
          <w:bCs w:val="0"/>
        </w:rPr>
      </w:pPr>
      <w:bookmarkStart w:id="0" w:name="_Hlk15633658"/>
      <w:r w:rsidRPr="00910C7D">
        <w:rPr>
          <w:rFonts w:ascii="Times New Roman" w:eastAsia="함초롬바탕" w:hAnsi="Times New Roman" w:cs="Times New Roman"/>
          <w:b w:val="0"/>
          <w:bCs w:val="0"/>
          <w:color w:val="000000" w:themeColor="text1"/>
        </w:rPr>
        <w:t xml:space="preserve">Abbreviations: AD, Alzheimer’s disease; </w:t>
      </w:r>
      <w:r w:rsidRPr="00910C7D">
        <w:rPr>
          <w:rFonts w:ascii="Times New Roman" w:hAnsi="Times New Roman" w:cs="Times New Roman"/>
          <w:b w:val="0"/>
          <w:bCs w:val="0"/>
          <w:color w:val="000000" w:themeColor="text1"/>
        </w:rPr>
        <w:t>Pre-AD, preclinical Alzheimer’s disease;</w:t>
      </w:r>
      <w:r w:rsidRPr="00910C7D">
        <w:rPr>
          <w:rFonts w:ascii="Times New Roman" w:eastAsia="함초롬바탕" w:hAnsi="Times New Roman" w:cs="Times New Roman"/>
          <w:b w:val="0"/>
          <w:bCs w:val="0"/>
          <w:color w:val="000000" w:themeColor="text1"/>
        </w:rPr>
        <w:t xml:space="preserve"> SNAP, suspected non-Alzheimer’s disease pathophysiology.</w:t>
      </w:r>
      <w:bookmarkEnd w:id="0"/>
    </w:p>
    <w:p w14:paraId="7C78508B" w14:textId="6FE982B7" w:rsidR="00976164" w:rsidRDefault="00976164" w:rsidP="00CD4BCD">
      <w:pPr>
        <w:wordWrap/>
        <w:spacing w:after="0" w:line="240" w:lineRule="auto"/>
        <w:rPr>
          <w:rFonts w:ascii="Times New Roman" w:hAnsi="Times New Roman" w:cs="Times New Roman"/>
        </w:rPr>
      </w:pPr>
    </w:p>
    <w:p w14:paraId="393DE42F" w14:textId="1B48BEFF" w:rsidR="00356424" w:rsidRPr="005E2A0E" w:rsidRDefault="00356424" w:rsidP="00356424">
      <w:pPr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0"/>
          <w:lang w:eastAsia="en-US"/>
        </w:rPr>
      </w:pPr>
      <w:r w:rsidRPr="00492EE6">
        <w:rPr>
          <w:rFonts w:ascii="Times New Roman" w:hAnsi="Times New Roman" w:cs="Times New Roman"/>
          <w:b/>
          <w:bCs/>
          <w:color w:val="000000" w:themeColor="text1"/>
          <w:szCs w:val="20"/>
        </w:rPr>
        <w:t xml:space="preserve">Supplement Table </w:t>
      </w:r>
      <w:r>
        <w:rPr>
          <w:rFonts w:ascii="Times New Roman" w:hAnsi="Times New Roman" w:cs="Times New Roman"/>
          <w:b/>
          <w:bCs/>
          <w:color w:val="000000" w:themeColor="text1"/>
          <w:szCs w:val="20"/>
        </w:rPr>
        <w:t>2</w:t>
      </w:r>
      <w:r w:rsidRPr="00910C7D">
        <w:rPr>
          <w:rFonts w:ascii="Times New Roman" w:hAnsi="Times New Roman" w:cs="Times New Roman"/>
          <w:color w:val="000000" w:themeColor="text1"/>
          <w:szCs w:val="20"/>
        </w:rPr>
        <w:t xml:space="preserve"> Quadruple CSF biomarkers profiles and characteristics</w:t>
      </w:r>
    </w:p>
    <w:tbl>
      <w:tblPr>
        <w:tblStyle w:val="a6"/>
        <w:tblW w:w="7552" w:type="dxa"/>
        <w:tblLook w:val="04A0" w:firstRow="1" w:lastRow="0" w:firstColumn="1" w:lastColumn="0" w:noHBand="0" w:noVBand="1"/>
      </w:tblPr>
      <w:tblGrid>
        <w:gridCol w:w="1106"/>
        <w:gridCol w:w="1067"/>
        <w:gridCol w:w="1067"/>
        <w:gridCol w:w="1070"/>
        <w:gridCol w:w="1067"/>
        <w:gridCol w:w="1069"/>
        <w:gridCol w:w="1106"/>
      </w:tblGrid>
      <w:tr w:rsidR="00356424" w14:paraId="2B194856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1667C069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254D2DC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T-tau</w:t>
            </w:r>
          </w:p>
        </w:tc>
        <w:tc>
          <w:tcPr>
            <w:tcW w:w="1067" w:type="dxa"/>
            <w:vAlign w:val="center"/>
          </w:tcPr>
          <w:p w14:paraId="1CE0DBAB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</w:p>
        </w:tc>
        <w:tc>
          <w:tcPr>
            <w:tcW w:w="1070" w:type="dxa"/>
            <w:vAlign w:val="center"/>
          </w:tcPr>
          <w:p w14:paraId="7957FC72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Aβ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  <w:vertAlign w:val="subscript"/>
              </w:rPr>
              <w:t>42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/</w:t>
            </w:r>
          </w:p>
          <w:p w14:paraId="3F7C8CA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</w:p>
        </w:tc>
        <w:tc>
          <w:tcPr>
            <w:tcW w:w="1067" w:type="dxa"/>
            <w:vAlign w:val="center"/>
          </w:tcPr>
          <w:p w14:paraId="282C205C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T-tau/</w:t>
            </w:r>
          </w:p>
          <w:p w14:paraId="3FE2266A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α-syn</w:t>
            </w:r>
          </w:p>
        </w:tc>
        <w:tc>
          <w:tcPr>
            <w:tcW w:w="1069" w:type="dxa"/>
            <w:vAlign w:val="center"/>
          </w:tcPr>
          <w:p w14:paraId="61E884C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/</w:t>
            </w:r>
          </w:p>
          <w:p w14:paraId="303B939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α-syn</w:t>
            </w:r>
          </w:p>
        </w:tc>
        <w:tc>
          <w:tcPr>
            <w:tcW w:w="1106" w:type="dxa"/>
            <w:vAlign w:val="center"/>
          </w:tcPr>
          <w:p w14:paraId="789945D7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 w:hint="eastAsia"/>
                <w:b/>
                <w:szCs w:val="20"/>
                <w:shd w:val="clear" w:color="auto" w:fill="FFFFFF"/>
              </w:rPr>
              <w:t>C</w:t>
            </w:r>
            <w:r w:rsidRPr="00DF4211"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  <w:t>ombined</w:t>
            </w:r>
          </w:p>
        </w:tc>
      </w:tr>
      <w:tr w:rsidR="00356424" w14:paraId="4C4C0CF3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03F8CF35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Aβ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  <w:vertAlign w:val="subscript"/>
              </w:rPr>
              <w:t>42</w:t>
            </w:r>
          </w:p>
        </w:tc>
        <w:tc>
          <w:tcPr>
            <w:tcW w:w="1067" w:type="dxa"/>
            <w:vAlign w:val="center"/>
          </w:tcPr>
          <w:p w14:paraId="7B31CE1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0.775</w:t>
            </w:r>
          </w:p>
        </w:tc>
        <w:tc>
          <w:tcPr>
            <w:tcW w:w="1067" w:type="dxa"/>
            <w:vAlign w:val="center"/>
          </w:tcPr>
          <w:p w14:paraId="40BB234A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0.273</w:t>
            </w:r>
          </w:p>
        </w:tc>
        <w:tc>
          <w:tcPr>
            <w:tcW w:w="1070" w:type="dxa"/>
            <w:vAlign w:val="center"/>
          </w:tcPr>
          <w:p w14:paraId="6645A1E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0.009</w:t>
            </w:r>
          </w:p>
        </w:tc>
        <w:tc>
          <w:tcPr>
            <w:tcW w:w="1067" w:type="dxa"/>
            <w:vAlign w:val="center"/>
          </w:tcPr>
          <w:p w14:paraId="185FFFF8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0.261</w:t>
            </w:r>
          </w:p>
        </w:tc>
        <w:tc>
          <w:tcPr>
            <w:tcW w:w="1069" w:type="dxa"/>
            <w:vAlign w:val="center"/>
          </w:tcPr>
          <w:p w14:paraId="35EB8EA8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0.031</w:t>
            </w:r>
          </w:p>
        </w:tc>
        <w:tc>
          <w:tcPr>
            <w:tcW w:w="1106" w:type="dxa"/>
            <w:vAlign w:val="center"/>
          </w:tcPr>
          <w:p w14:paraId="28CC9A66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0.009</w:t>
            </w:r>
          </w:p>
        </w:tc>
      </w:tr>
      <w:tr w:rsidR="00356424" w14:paraId="03AAF9E1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1C99B49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T-tau</w:t>
            </w:r>
          </w:p>
        </w:tc>
        <w:tc>
          <w:tcPr>
            <w:tcW w:w="1067" w:type="dxa"/>
            <w:vAlign w:val="center"/>
          </w:tcPr>
          <w:p w14:paraId="4FB12D44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5B225694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0.002</w:t>
            </w:r>
          </w:p>
        </w:tc>
        <w:tc>
          <w:tcPr>
            <w:tcW w:w="1070" w:type="dxa"/>
            <w:vAlign w:val="center"/>
          </w:tcPr>
          <w:p w14:paraId="4F60538A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0.035</w:t>
            </w:r>
          </w:p>
        </w:tc>
        <w:tc>
          <w:tcPr>
            <w:tcW w:w="1067" w:type="dxa"/>
            <w:vAlign w:val="center"/>
          </w:tcPr>
          <w:p w14:paraId="3D71C4E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0.197</w:t>
            </w:r>
          </w:p>
        </w:tc>
        <w:tc>
          <w:tcPr>
            <w:tcW w:w="1069" w:type="dxa"/>
            <w:vAlign w:val="center"/>
          </w:tcPr>
          <w:p w14:paraId="509C923C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0.215</w:t>
            </w:r>
          </w:p>
        </w:tc>
        <w:tc>
          <w:tcPr>
            <w:tcW w:w="1106" w:type="dxa"/>
            <w:vAlign w:val="center"/>
          </w:tcPr>
          <w:p w14:paraId="21A2F558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0.006</w:t>
            </w:r>
          </w:p>
        </w:tc>
      </w:tr>
      <w:tr w:rsidR="00356424" w14:paraId="5EAF5A4C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5140D619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</w:p>
        </w:tc>
        <w:tc>
          <w:tcPr>
            <w:tcW w:w="1067" w:type="dxa"/>
            <w:vAlign w:val="center"/>
          </w:tcPr>
          <w:p w14:paraId="3F62611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3C345BD2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70" w:type="dxa"/>
            <w:vAlign w:val="center"/>
          </w:tcPr>
          <w:p w14:paraId="3FB3494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&lt;0.001</w:t>
            </w:r>
          </w:p>
        </w:tc>
        <w:tc>
          <w:tcPr>
            <w:tcW w:w="1067" w:type="dxa"/>
            <w:vAlign w:val="center"/>
          </w:tcPr>
          <w:p w14:paraId="5C0FE9C9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0.011</w:t>
            </w:r>
          </w:p>
        </w:tc>
        <w:tc>
          <w:tcPr>
            <w:tcW w:w="1069" w:type="dxa"/>
            <w:vAlign w:val="center"/>
          </w:tcPr>
          <w:p w14:paraId="6988A38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0.791</w:t>
            </w:r>
          </w:p>
        </w:tc>
        <w:tc>
          <w:tcPr>
            <w:tcW w:w="1106" w:type="dxa"/>
            <w:vAlign w:val="center"/>
          </w:tcPr>
          <w:p w14:paraId="39F748C4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&lt;0.001</w:t>
            </w:r>
          </w:p>
        </w:tc>
      </w:tr>
      <w:tr w:rsidR="00356424" w14:paraId="0E9D574E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0828005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Aβ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  <w:vertAlign w:val="subscript"/>
              </w:rPr>
              <w:t>42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/</w:t>
            </w:r>
          </w:p>
          <w:p w14:paraId="01A0A35B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</w:p>
        </w:tc>
        <w:tc>
          <w:tcPr>
            <w:tcW w:w="1067" w:type="dxa"/>
            <w:vAlign w:val="center"/>
          </w:tcPr>
          <w:p w14:paraId="0AA78692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57E23E78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70" w:type="dxa"/>
            <w:vAlign w:val="center"/>
          </w:tcPr>
          <w:p w14:paraId="1D83661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54F12087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0.336</w:t>
            </w:r>
          </w:p>
        </w:tc>
        <w:tc>
          <w:tcPr>
            <w:tcW w:w="1069" w:type="dxa"/>
            <w:vAlign w:val="center"/>
          </w:tcPr>
          <w:p w14:paraId="4179CB8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0.001</w:t>
            </w:r>
          </w:p>
        </w:tc>
        <w:tc>
          <w:tcPr>
            <w:tcW w:w="1106" w:type="dxa"/>
            <w:vAlign w:val="center"/>
          </w:tcPr>
          <w:p w14:paraId="78812CB7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0.318</w:t>
            </w:r>
          </w:p>
        </w:tc>
      </w:tr>
      <w:tr w:rsidR="00356424" w14:paraId="369FC58F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452AF15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T-tau/</w:t>
            </w:r>
          </w:p>
          <w:p w14:paraId="1B78DA84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α-syn</w:t>
            </w:r>
          </w:p>
        </w:tc>
        <w:tc>
          <w:tcPr>
            <w:tcW w:w="1067" w:type="dxa"/>
            <w:vAlign w:val="center"/>
          </w:tcPr>
          <w:p w14:paraId="0663B9DF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3ADE512A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70" w:type="dxa"/>
            <w:vAlign w:val="center"/>
          </w:tcPr>
          <w:p w14:paraId="7DDC9816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12C39069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9" w:type="dxa"/>
            <w:vAlign w:val="center"/>
          </w:tcPr>
          <w:p w14:paraId="7387CEE7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0.014</w:t>
            </w:r>
          </w:p>
        </w:tc>
        <w:tc>
          <w:tcPr>
            <w:tcW w:w="1106" w:type="dxa"/>
            <w:vAlign w:val="center"/>
          </w:tcPr>
          <w:p w14:paraId="3C196E0D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  <w:t>0.069</w:t>
            </w:r>
          </w:p>
        </w:tc>
      </w:tr>
      <w:tr w:rsidR="00356424" w14:paraId="282DC802" w14:textId="77777777" w:rsidTr="00BB1550">
        <w:trPr>
          <w:trHeight w:val="567"/>
        </w:trPr>
        <w:tc>
          <w:tcPr>
            <w:tcW w:w="1106" w:type="dxa"/>
            <w:vAlign w:val="center"/>
          </w:tcPr>
          <w:p w14:paraId="2A6ADAD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P-tau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szCs w:val="20"/>
                <w:vertAlign w:val="subscript"/>
              </w:rPr>
              <w:t>181</w:t>
            </w: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/</w:t>
            </w:r>
          </w:p>
          <w:p w14:paraId="60592B90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  <w:shd w:val="clear" w:color="auto" w:fill="FFFFFF"/>
              </w:rPr>
            </w:pPr>
            <w:r w:rsidRPr="00DF4211">
              <w:rPr>
                <w:rFonts w:ascii="Times New Roman" w:eastAsia="함초롬바탕" w:hAnsi="Times New Roman" w:cs="Times New Roman"/>
                <w:b/>
                <w:color w:val="000000" w:themeColor="text1"/>
                <w:kern w:val="0"/>
                <w:szCs w:val="20"/>
              </w:rPr>
              <w:t>α-syn</w:t>
            </w:r>
          </w:p>
        </w:tc>
        <w:tc>
          <w:tcPr>
            <w:tcW w:w="1067" w:type="dxa"/>
            <w:vAlign w:val="center"/>
          </w:tcPr>
          <w:p w14:paraId="57E91086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232BBD06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70" w:type="dxa"/>
            <w:vAlign w:val="center"/>
          </w:tcPr>
          <w:p w14:paraId="5FFF4893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 w14:paraId="5F900E7C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069" w:type="dxa"/>
            <w:vAlign w:val="center"/>
          </w:tcPr>
          <w:p w14:paraId="34889825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shd w:val="clear" w:color="auto" w:fill="FFFFFF"/>
              </w:rPr>
            </w:pPr>
          </w:p>
        </w:tc>
        <w:tc>
          <w:tcPr>
            <w:tcW w:w="1106" w:type="dxa"/>
            <w:vAlign w:val="center"/>
          </w:tcPr>
          <w:p w14:paraId="774188E6" w14:textId="77777777" w:rsidR="00356424" w:rsidRPr="00DF4211" w:rsidRDefault="00356424" w:rsidP="00BB1550">
            <w:pPr>
              <w:wordWrap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</w:pPr>
            <w:r w:rsidRPr="00DF4211">
              <w:rPr>
                <w:rFonts w:ascii="Times New Roman" w:hAnsi="Times New Roman" w:cs="Times New Roman"/>
                <w:bCs/>
                <w:szCs w:val="20"/>
                <w:u w:val="single"/>
                <w:shd w:val="clear" w:color="auto" w:fill="FFFFFF"/>
              </w:rPr>
              <w:t>&lt;0.001</w:t>
            </w:r>
          </w:p>
        </w:tc>
      </w:tr>
    </w:tbl>
    <w:p w14:paraId="7F5EB04B" w14:textId="77777777" w:rsidR="00356424" w:rsidRDefault="00356424" w:rsidP="00356424">
      <w:pPr>
        <w:spacing w:after="0" w:line="240" w:lineRule="auto"/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The values with </w:t>
      </w:r>
      <w:r w:rsidRPr="004B7B1F">
        <w:rPr>
          <w:rFonts w:ascii="Times New Roman" w:eastAsia="함초롬바탕" w:hAnsi="Times New Roman" w:cs="Times New Roman"/>
          <w:i/>
          <w:iCs/>
          <w:color w:val="000000" w:themeColor="text1"/>
          <w:sz w:val="24"/>
          <w:szCs w:val="24"/>
        </w:rPr>
        <w:t>P</w:t>
      </w: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 xml:space="preserve"> &lt; 0.05 are underlined.</w:t>
      </w:r>
    </w:p>
    <w:p w14:paraId="6E9E1698" w14:textId="77777777" w:rsidR="00356424" w:rsidRPr="004C1DE7" w:rsidRDefault="00356424" w:rsidP="00356424">
      <w:pPr>
        <w:wordWrap/>
        <w:spacing w:after="0" w:line="240" w:lineRule="auto"/>
        <w:rPr>
          <w:rFonts w:ascii="Times New Roman" w:eastAsia="함초롬바탕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  <w:vertAlign w:val="superscript"/>
        </w:rPr>
        <w:t>*</w:t>
      </w: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Combined means ‘</w:t>
      </w:r>
      <w:r w:rsidRPr="008E263A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Aβ</w:t>
      </w:r>
      <w:r w:rsidRPr="004B7B1F">
        <w:rPr>
          <w:rFonts w:ascii="Times New Roman" w:eastAsia="함초롬바탕" w:hAnsi="Times New Roman" w:cs="Times New Roman"/>
          <w:color w:val="000000" w:themeColor="text1"/>
          <w:sz w:val="24"/>
          <w:szCs w:val="24"/>
          <w:vertAlign w:val="subscript"/>
        </w:rPr>
        <w:t>42</w:t>
      </w:r>
      <w:r w:rsidRPr="008E263A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/P-tau</w:t>
      </w:r>
      <w:r w:rsidRPr="004B7B1F">
        <w:rPr>
          <w:rFonts w:ascii="Times New Roman" w:eastAsia="함초롬바탕" w:hAnsi="Times New Roman" w:cs="Times New Roman"/>
          <w:color w:val="000000" w:themeColor="text1"/>
          <w:sz w:val="24"/>
          <w:szCs w:val="24"/>
          <w:vertAlign w:val="subscript"/>
        </w:rPr>
        <w:t>181</w:t>
      </w:r>
      <w:r w:rsidRPr="008E263A"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, T-tau/α-syn</w:t>
      </w:r>
      <w:r>
        <w:rPr>
          <w:rFonts w:ascii="Times New Roman" w:eastAsia="함초롬바탕" w:hAnsi="Times New Roman" w:cs="Times New Roman"/>
          <w:color w:val="000000" w:themeColor="text1"/>
          <w:sz w:val="24"/>
          <w:szCs w:val="24"/>
        </w:rPr>
        <w:t>’</w:t>
      </w:r>
    </w:p>
    <w:p w14:paraId="6C48A063" w14:textId="77777777" w:rsidR="00356424" w:rsidRPr="00356424" w:rsidRDefault="00356424" w:rsidP="00CD4BCD">
      <w:pPr>
        <w:wordWrap/>
        <w:spacing w:after="0" w:line="240" w:lineRule="auto"/>
        <w:rPr>
          <w:rFonts w:ascii="Times New Roman" w:hAnsi="Times New Roman" w:cs="Times New Roman"/>
        </w:rPr>
      </w:pPr>
    </w:p>
    <w:sectPr w:rsidR="00356424" w:rsidRPr="00356424" w:rsidSect="006F35FD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8787" w14:textId="77777777" w:rsidR="00234C90" w:rsidRDefault="00234C90">
      <w:pPr>
        <w:spacing w:after="0" w:line="240" w:lineRule="auto"/>
      </w:pPr>
      <w:r>
        <w:separator/>
      </w:r>
    </w:p>
  </w:endnote>
  <w:endnote w:type="continuationSeparator" w:id="0">
    <w:p w14:paraId="430BE324" w14:textId="77777777" w:rsidR="00234C90" w:rsidRDefault="0023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FFAEFF" w:usb1="FBDFFFFF" w:usb2="041FFFFF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96524323"/>
      <w:docPartObj>
        <w:docPartGallery w:val="Page Numbers (Bottom of Page)"/>
        <w:docPartUnique/>
      </w:docPartObj>
    </w:sdtPr>
    <w:sdtEndPr/>
    <w:sdtContent>
      <w:p w14:paraId="49F16289" w14:textId="77777777" w:rsidR="00817BB1" w:rsidRDefault="00437A0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D3074">
          <w:rPr>
            <w:noProof/>
            <w:lang w:val="ko-KR"/>
          </w:rPr>
          <w:t>3</w:t>
        </w:r>
        <w:r>
          <w:fldChar w:fldCharType="end"/>
        </w:r>
      </w:p>
    </w:sdtContent>
  </w:sdt>
  <w:p w14:paraId="4C5DFE61" w14:textId="77777777" w:rsidR="00817BB1" w:rsidRDefault="00234C9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90D794" w14:textId="77777777" w:rsidR="00234C90" w:rsidRDefault="00234C90">
      <w:pPr>
        <w:spacing w:after="0" w:line="240" w:lineRule="auto"/>
      </w:pPr>
      <w:r>
        <w:separator/>
      </w:r>
    </w:p>
  </w:footnote>
  <w:footnote w:type="continuationSeparator" w:id="0">
    <w:p w14:paraId="5412DB53" w14:textId="77777777" w:rsidR="00234C90" w:rsidRDefault="00234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LSwtDS3NLYwNjSxMDJW0lEKTi0uzszPAykwrwUAKOxkJywAAAA="/>
  </w:docVars>
  <w:rsids>
    <w:rsidRoot w:val="00364DBF"/>
    <w:rsid w:val="0010416B"/>
    <w:rsid w:val="00114AFA"/>
    <w:rsid w:val="00166CED"/>
    <w:rsid w:val="002119AA"/>
    <w:rsid w:val="00234C90"/>
    <w:rsid w:val="0034090C"/>
    <w:rsid w:val="00356424"/>
    <w:rsid w:val="00362E43"/>
    <w:rsid w:val="00364DBF"/>
    <w:rsid w:val="00422DA0"/>
    <w:rsid w:val="004315EE"/>
    <w:rsid w:val="00432BA0"/>
    <w:rsid w:val="00437A0A"/>
    <w:rsid w:val="00492EE6"/>
    <w:rsid w:val="004B7B1F"/>
    <w:rsid w:val="005343C8"/>
    <w:rsid w:val="006E37C5"/>
    <w:rsid w:val="006F35FD"/>
    <w:rsid w:val="00715C1E"/>
    <w:rsid w:val="007F707F"/>
    <w:rsid w:val="00821BF4"/>
    <w:rsid w:val="008425A3"/>
    <w:rsid w:val="00910C7D"/>
    <w:rsid w:val="00976164"/>
    <w:rsid w:val="009C5A67"/>
    <w:rsid w:val="009E0611"/>
    <w:rsid w:val="00A23650"/>
    <w:rsid w:val="00A30421"/>
    <w:rsid w:val="00B8022E"/>
    <w:rsid w:val="00CD4BCD"/>
    <w:rsid w:val="00D5665C"/>
    <w:rsid w:val="00D84344"/>
    <w:rsid w:val="00DA6247"/>
    <w:rsid w:val="00F51418"/>
    <w:rsid w:val="00FA4F68"/>
    <w:rsid w:val="00FF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099DB6"/>
  <w15:chartTrackingRefBased/>
  <w15:docId w15:val="{7D6C30E4-3B2A-4AF8-9D41-E40C6D4F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DBF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364DB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footer"/>
    <w:basedOn w:val="a"/>
    <w:link w:val="Char0"/>
    <w:uiPriority w:val="99"/>
    <w:unhideWhenUsed/>
    <w:rsid w:val="00364D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64DBF"/>
    <w:rPr>
      <w:kern w:val="2"/>
      <w:sz w:val="20"/>
    </w:rPr>
  </w:style>
  <w:style w:type="character" w:customStyle="1" w:styleId="Char">
    <w:name w:val="바탕글 Char"/>
    <w:basedOn w:val="a0"/>
    <w:link w:val="a3"/>
    <w:rsid w:val="00364DBF"/>
    <w:rPr>
      <w:rFonts w:ascii="굴림" w:eastAsia="굴림" w:hAnsi="굴림" w:cs="굴림"/>
      <w:color w:val="000000"/>
      <w:sz w:val="20"/>
      <w:szCs w:val="20"/>
    </w:rPr>
  </w:style>
  <w:style w:type="paragraph" w:styleId="a5">
    <w:name w:val="caption"/>
    <w:basedOn w:val="a"/>
    <w:next w:val="a"/>
    <w:uiPriority w:val="35"/>
    <w:unhideWhenUsed/>
    <w:qFormat/>
    <w:rsid w:val="00364DBF"/>
    <w:rPr>
      <w:b/>
      <w:bCs/>
      <w:szCs w:val="20"/>
    </w:rPr>
  </w:style>
  <w:style w:type="table" w:styleId="a6">
    <w:name w:val="Table Grid"/>
    <w:basedOn w:val="a1"/>
    <w:uiPriority w:val="39"/>
    <w:rsid w:val="00364DBF"/>
    <w:pPr>
      <w:spacing w:after="0" w:line="240" w:lineRule="auto"/>
      <w:jc w:val="both"/>
    </w:pPr>
    <w:rPr>
      <w:kern w:val="2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line number"/>
    <w:basedOn w:val="a0"/>
    <w:uiPriority w:val="99"/>
    <w:semiHidden/>
    <w:unhideWhenUsed/>
    <w:rsid w:val="00364DBF"/>
  </w:style>
  <w:style w:type="table" w:styleId="2">
    <w:name w:val="Plain Table 2"/>
    <w:basedOn w:val="a1"/>
    <w:uiPriority w:val="42"/>
    <w:rsid w:val="00437A0A"/>
    <w:pPr>
      <w:spacing w:after="0" w:line="240" w:lineRule="auto"/>
      <w:jc w:val="both"/>
    </w:pPr>
    <w:rPr>
      <w:kern w:val="2"/>
      <w:sz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header"/>
    <w:basedOn w:val="a"/>
    <w:link w:val="Char1"/>
    <w:uiPriority w:val="99"/>
    <w:unhideWhenUsed/>
    <w:rsid w:val="005343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0"/>
    <w:link w:val="a8"/>
    <w:uiPriority w:val="99"/>
    <w:rsid w:val="005343C8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5857A-CBE6-4EC9-B43B-37D490E05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심 규환</dc:creator>
  <cp:keywords/>
  <dc:description/>
  <cp:lastModifiedBy>심 규환</cp:lastModifiedBy>
  <cp:revision>11</cp:revision>
  <dcterms:created xsi:type="dcterms:W3CDTF">2020-01-29T02:11:00Z</dcterms:created>
  <dcterms:modified xsi:type="dcterms:W3CDTF">2020-05-21T08:29:00Z</dcterms:modified>
</cp:coreProperties>
</file>