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BD9" w:rsidRDefault="007A4BD9" w:rsidP="007A4BD9">
      <w:pPr>
        <w:spacing w:line="360" w:lineRule="auto"/>
        <w:rPr>
          <w:b/>
          <w:lang w:val="en-US"/>
        </w:rPr>
      </w:pPr>
      <w:r>
        <w:rPr>
          <w:b/>
          <w:lang w:val="en-US"/>
        </w:rPr>
        <w:t>SUPPLEMENTARY FILE</w:t>
      </w:r>
      <w:bookmarkStart w:id="0" w:name="_GoBack"/>
      <w:bookmarkEnd w:id="0"/>
    </w:p>
    <w:p w:rsidR="007A4BD9" w:rsidRPr="00342880" w:rsidRDefault="007A4BD9" w:rsidP="007A4BD9">
      <w:pPr>
        <w:spacing w:line="360" w:lineRule="auto"/>
        <w:rPr>
          <w:b/>
          <w:lang w:val="en-US"/>
        </w:rPr>
      </w:pPr>
      <w:r w:rsidRPr="00E47432">
        <w:rPr>
          <w:b/>
          <w:lang w:val="en-US"/>
        </w:rPr>
        <w:t>Supplementary table 1</w:t>
      </w:r>
      <w:r>
        <w:rPr>
          <w:b/>
          <w:i/>
          <w:lang w:val="en-US"/>
        </w:rPr>
        <w:t xml:space="preserve"> </w:t>
      </w:r>
      <w:r w:rsidRPr="002E7185">
        <w:rPr>
          <w:lang w:val="en-US"/>
        </w:rPr>
        <w:t>Demographics, clinical characteristics</w:t>
      </w:r>
      <w:r w:rsidRPr="00E26AF4">
        <w:rPr>
          <w:lang w:val="en-US"/>
        </w:rPr>
        <w:t>,</w:t>
      </w:r>
      <w:r w:rsidRPr="002E7185">
        <w:rPr>
          <w:lang w:val="en-US"/>
        </w:rPr>
        <w:t xml:space="preserve"> and </w:t>
      </w:r>
      <w:r>
        <w:rPr>
          <w:lang w:val="en-US"/>
        </w:rPr>
        <w:t>plasma marker</w:t>
      </w:r>
      <w:r w:rsidRPr="00E26AF4">
        <w:rPr>
          <w:lang w:val="en-US"/>
        </w:rPr>
        <w:t xml:space="preserve"> concentration</w:t>
      </w:r>
      <w:r w:rsidRPr="002E7185">
        <w:rPr>
          <w:lang w:val="en-US"/>
        </w:rPr>
        <w:t xml:space="preserve">s of the </w:t>
      </w:r>
      <w:r>
        <w:rPr>
          <w:lang w:val="en-US"/>
        </w:rPr>
        <w:t>study population stratified by</w:t>
      </w:r>
      <w:r w:rsidRPr="002E7185">
        <w:rPr>
          <w:lang w:val="en-US"/>
        </w:rPr>
        <w:t xml:space="preserve"> </w:t>
      </w:r>
      <w:r>
        <w:rPr>
          <w:lang w:val="en-US"/>
        </w:rPr>
        <w:t>syndrome diagnosis</w:t>
      </w:r>
      <w:r w:rsidRPr="002E7185">
        <w:rPr>
          <w:lang w:val="en-US"/>
        </w:rPr>
        <w:t>.</w:t>
      </w:r>
    </w:p>
    <w:tbl>
      <w:tblPr>
        <w:tblStyle w:val="Tabelraster"/>
        <w:tblW w:w="1012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11"/>
        <w:gridCol w:w="1911"/>
        <w:gridCol w:w="1911"/>
      </w:tblGrid>
      <w:tr w:rsidR="007A4BD9" w:rsidRPr="005731FD" w:rsidTr="00D36079">
        <w:trPr>
          <w:trHeight w:val="288"/>
          <w:jc w:val="center"/>
        </w:trPr>
        <w:tc>
          <w:tcPr>
            <w:tcW w:w="4395" w:type="dxa"/>
            <w:tcBorders>
              <w:top w:val="single" w:sz="4" w:space="0" w:color="auto"/>
              <w:bottom w:val="nil"/>
            </w:tcBorders>
            <w:vAlign w:val="center"/>
          </w:tcPr>
          <w:p w:rsidR="007A4BD9" w:rsidRPr="00D5283D" w:rsidRDefault="007A4BD9" w:rsidP="00D36079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bottom w:val="nil"/>
            </w:tcBorders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b/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b/>
                <w:color w:val="000000"/>
                <w:sz w:val="22"/>
                <w:szCs w:val="22"/>
                <w:lang w:val="en-US"/>
              </w:rPr>
              <w:t>SCD</w:t>
            </w:r>
          </w:p>
        </w:tc>
        <w:tc>
          <w:tcPr>
            <w:tcW w:w="1911" w:type="dxa"/>
            <w:tcBorders>
              <w:top w:val="single" w:sz="4" w:space="0" w:color="auto"/>
              <w:bottom w:val="nil"/>
            </w:tcBorders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b/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b/>
                <w:color w:val="000000"/>
                <w:sz w:val="22"/>
                <w:szCs w:val="22"/>
                <w:lang w:val="en-US"/>
              </w:rPr>
              <w:t>MCI</w:t>
            </w:r>
          </w:p>
        </w:tc>
        <w:tc>
          <w:tcPr>
            <w:tcW w:w="1911" w:type="dxa"/>
            <w:tcBorders>
              <w:top w:val="single" w:sz="4" w:space="0" w:color="auto"/>
              <w:bottom w:val="nil"/>
            </w:tcBorders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b/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b/>
                <w:color w:val="000000"/>
                <w:sz w:val="22"/>
                <w:szCs w:val="22"/>
                <w:lang w:val="en-US"/>
              </w:rPr>
              <w:t xml:space="preserve"> AD-dementia</w:t>
            </w:r>
          </w:p>
        </w:tc>
      </w:tr>
      <w:tr w:rsidR="007A4BD9" w:rsidRPr="005731FD" w:rsidTr="00D36079">
        <w:trPr>
          <w:trHeight w:val="288"/>
          <w:jc w:val="center"/>
        </w:trPr>
        <w:tc>
          <w:tcPr>
            <w:tcW w:w="4395" w:type="dxa"/>
            <w:tcBorders>
              <w:top w:val="nil"/>
            </w:tcBorders>
            <w:vAlign w:val="center"/>
          </w:tcPr>
          <w:p w:rsidR="007A4BD9" w:rsidRPr="00D5283D" w:rsidRDefault="007A4BD9" w:rsidP="00D36079">
            <w:pPr>
              <w:spacing w:after="0" w:line="36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11" w:type="dxa"/>
            <w:tcBorders>
              <w:top w:val="nil"/>
            </w:tcBorders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b/>
                <w:i/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b/>
                <w:i/>
                <w:color w:val="000000"/>
                <w:sz w:val="22"/>
                <w:szCs w:val="22"/>
                <w:lang w:val="en-US"/>
              </w:rPr>
              <w:t>n=70</w:t>
            </w:r>
          </w:p>
        </w:tc>
        <w:tc>
          <w:tcPr>
            <w:tcW w:w="1911" w:type="dxa"/>
            <w:tcBorders>
              <w:top w:val="nil"/>
            </w:tcBorders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b/>
                <w:i/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b/>
                <w:i/>
                <w:color w:val="000000"/>
                <w:sz w:val="22"/>
                <w:szCs w:val="22"/>
                <w:lang w:val="en-US"/>
              </w:rPr>
              <w:t>n=50</w:t>
            </w:r>
          </w:p>
        </w:tc>
        <w:tc>
          <w:tcPr>
            <w:tcW w:w="1911" w:type="dxa"/>
            <w:tcBorders>
              <w:top w:val="nil"/>
            </w:tcBorders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b/>
                <w:i/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b/>
                <w:i/>
                <w:color w:val="000000"/>
                <w:sz w:val="22"/>
                <w:szCs w:val="22"/>
                <w:lang w:val="en-US"/>
              </w:rPr>
              <w:t>n=132</w:t>
            </w:r>
          </w:p>
        </w:tc>
      </w:tr>
      <w:tr w:rsidR="007A4BD9" w:rsidRPr="005731FD" w:rsidTr="00D36079">
        <w:trPr>
          <w:trHeight w:val="288"/>
          <w:jc w:val="center"/>
        </w:trPr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 w:rsidRPr="00D5283D">
              <w:rPr>
                <w:sz w:val="22"/>
                <w:szCs w:val="22"/>
                <w:lang w:val="en-US"/>
              </w:rPr>
              <w:t>Age</w:t>
            </w:r>
          </w:p>
        </w:tc>
        <w:tc>
          <w:tcPr>
            <w:tcW w:w="1911" w:type="dxa"/>
            <w:tcBorders>
              <w:top w:val="single" w:sz="4" w:space="0" w:color="auto"/>
            </w:tcBorders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62 ± 9</w:t>
            </w:r>
          </w:p>
        </w:tc>
        <w:tc>
          <w:tcPr>
            <w:tcW w:w="1911" w:type="dxa"/>
            <w:tcBorders>
              <w:top w:val="single" w:sz="4" w:space="0" w:color="auto"/>
            </w:tcBorders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66 ± 8</w:t>
            </w:r>
          </w:p>
        </w:tc>
        <w:tc>
          <w:tcPr>
            <w:tcW w:w="1911" w:type="dxa"/>
            <w:tcBorders>
              <w:top w:val="single" w:sz="4" w:space="0" w:color="auto"/>
            </w:tcBorders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63 ± 7</w:t>
            </w:r>
          </w:p>
        </w:tc>
      </w:tr>
      <w:tr w:rsidR="007A4BD9" w:rsidRPr="005731FD" w:rsidTr="00D36079">
        <w:trPr>
          <w:trHeight w:val="288"/>
          <w:jc w:val="center"/>
        </w:trPr>
        <w:tc>
          <w:tcPr>
            <w:tcW w:w="4395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 w:rsidRPr="00D5283D">
              <w:rPr>
                <w:sz w:val="22"/>
                <w:szCs w:val="22"/>
                <w:lang w:val="en-US"/>
              </w:rPr>
              <w:t>Female sex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33 (47%)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14 (28%)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67 (51%)</w:t>
            </w:r>
          </w:p>
        </w:tc>
      </w:tr>
      <w:tr w:rsidR="007A4BD9" w:rsidRPr="005731FD" w:rsidTr="00D36079">
        <w:trPr>
          <w:trHeight w:val="288"/>
          <w:jc w:val="center"/>
        </w:trPr>
        <w:tc>
          <w:tcPr>
            <w:tcW w:w="4395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 w:rsidRPr="00D5283D">
              <w:rPr>
                <w:sz w:val="22"/>
                <w:szCs w:val="22"/>
                <w:lang w:val="en-US"/>
              </w:rPr>
              <w:t>Education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5.4 ± 1.3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5.6 ± 1.2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5.2 ± 1.1</w:t>
            </w:r>
          </w:p>
        </w:tc>
      </w:tr>
      <w:tr w:rsidR="007A4BD9" w:rsidRPr="005731FD" w:rsidTr="00D36079">
        <w:trPr>
          <w:trHeight w:val="288"/>
          <w:jc w:val="center"/>
        </w:trPr>
        <w:tc>
          <w:tcPr>
            <w:tcW w:w="4395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 w:rsidRPr="00D5283D">
              <w:rPr>
                <w:sz w:val="22"/>
                <w:szCs w:val="22"/>
                <w:lang w:val="en-US"/>
              </w:rPr>
              <w:t>Amyloid PET positivity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18 (26%)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26 (52%)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132 (100%)</w:t>
            </w:r>
          </w:p>
        </w:tc>
      </w:tr>
      <w:tr w:rsidR="007A4BD9" w:rsidRPr="005731FD" w:rsidTr="00D36079">
        <w:trPr>
          <w:trHeight w:val="288"/>
          <w:jc w:val="center"/>
        </w:trPr>
        <w:tc>
          <w:tcPr>
            <w:tcW w:w="4395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 w:rsidRPr="00D5283D">
              <w:rPr>
                <w:sz w:val="22"/>
                <w:szCs w:val="22"/>
                <w:lang w:val="en-US"/>
              </w:rPr>
              <w:t xml:space="preserve">APOE ε4 </w:t>
            </w:r>
            <w:proofErr w:type="spellStart"/>
            <w:r w:rsidRPr="00D5283D">
              <w:rPr>
                <w:sz w:val="22"/>
                <w:szCs w:val="22"/>
                <w:lang w:val="en-US"/>
              </w:rPr>
              <w:t>carriership</w:t>
            </w:r>
            <w:proofErr w:type="spellEnd"/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23 (33%)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27 (54%)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84 (64%)</w:t>
            </w:r>
          </w:p>
        </w:tc>
      </w:tr>
      <w:tr w:rsidR="007A4BD9" w:rsidRPr="005731FD" w:rsidTr="00D36079">
        <w:trPr>
          <w:trHeight w:val="288"/>
          <w:jc w:val="center"/>
        </w:trPr>
        <w:tc>
          <w:tcPr>
            <w:tcW w:w="4395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 w:rsidRPr="00D5283D">
              <w:rPr>
                <w:sz w:val="22"/>
                <w:szCs w:val="22"/>
                <w:lang w:val="en-US"/>
              </w:rPr>
              <w:t>MMSE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28 ± 2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26 ± 2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22 ± 4</w:t>
            </w:r>
          </w:p>
        </w:tc>
      </w:tr>
      <w:tr w:rsidR="007A4BD9" w:rsidTr="00D36079">
        <w:trPr>
          <w:trHeight w:val="288"/>
          <w:jc w:val="center"/>
        </w:trPr>
        <w:tc>
          <w:tcPr>
            <w:tcW w:w="4395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 w:rsidRPr="00D5283D">
              <w:rPr>
                <w:sz w:val="22"/>
                <w:szCs w:val="22"/>
                <w:lang w:val="en-US"/>
              </w:rPr>
              <w:t>MTA score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 w:rsidRPr="00D5283D">
              <w:rPr>
                <w:sz w:val="22"/>
                <w:szCs w:val="22"/>
                <w:lang w:val="en-US"/>
              </w:rPr>
              <w:t>0 (0 – 0)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1 (0 – 1.5)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1 (0.5 – 1.5)</w:t>
            </w:r>
          </w:p>
        </w:tc>
      </w:tr>
      <w:tr w:rsidR="007A4BD9" w:rsidRPr="005731FD" w:rsidTr="00D36079">
        <w:trPr>
          <w:trHeight w:val="288"/>
          <w:jc w:val="center"/>
        </w:trPr>
        <w:tc>
          <w:tcPr>
            <w:tcW w:w="4395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7A4BD9" w:rsidRPr="005731FD" w:rsidTr="00D36079">
        <w:trPr>
          <w:trHeight w:val="288"/>
          <w:jc w:val="center"/>
        </w:trPr>
        <w:tc>
          <w:tcPr>
            <w:tcW w:w="4395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 w:rsidRPr="00D5283D">
              <w:rPr>
                <w:sz w:val="22"/>
                <w:szCs w:val="22"/>
                <w:lang w:val="en-US"/>
              </w:rPr>
              <w:t xml:space="preserve">Plasma </w:t>
            </w:r>
            <w:proofErr w:type="spellStart"/>
            <w:r w:rsidRPr="00D5283D">
              <w:rPr>
                <w:sz w:val="22"/>
                <w:szCs w:val="22"/>
                <w:lang w:val="en-US"/>
              </w:rPr>
              <w:t>Abeta</w:t>
            </w:r>
            <w:proofErr w:type="spellEnd"/>
            <w:r w:rsidRPr="00D5283D">
              <w:rPr>
                <w:sz w:val="22"/>
                <w:szCs w:val="22"/>
                <w:vertAlign w:val="subscript"/>
                <w:lang w:val="en-US"/>
              </w:rPr>
              <w:t>(1-42/1-40)</w:t>
            </w:r>
            <w:r w:rsidRPr="00D5283D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0.16 ± 0.04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0.15 ± 0.04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0.14 ± 0.03</w:t>
            </w:r>
          </w:p>
        </w:tc>
      </w:tr>
      <w:tr w:rsidR="007A4BD9" w:rsidRPr="005731FD" w:rsidTr="00D36079">
        <w:trPr>
          <w:trHeight w:val="288"/>
          <w:jc w:val="center"/>
        </w:trPr>
        <w:tc>
          <w:tcPr>
            <w:tcW w:w="4395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 w:rsidRPr="00D5283D">
              <w:rPr>
                <w:sz w:val="22"/>
                <w:szCs w:val="22"/>
                <w:lang w:val="en-US"/>
              </w:rPr>
              <w:t xml:space="preserve">Plasma GFAP, </w:t>
            </w:r>
            <w:proofErr w:type="spellStart"/>
            <w:r w:rsidRPr="00D5283D">
              <w:rPr>
                <w:sz w:val="22"/>
                <w:szCs w:val="22"/>
                <w:lang w:val="en-US"/>
              </w:rPr>
              <w:t>pg</w:t>
            </w:r>
            <w:proofErr w:type="spellEnd"/>
            <w:r w:rsidRPr="00D5283D">
              <w:rPr>
                <w:sz w:val="22"/>
                <w:szCs w:val="22"/>
                <w:lang w:val="en-US"/>
              </w:rPr>
              <w:t>/mL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105 ± 65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130 ± 59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176 ± 79</w:t>
            </w:r>
          </w:p>
        </w:tc>
      </w:tr>
      <w:tr w:rsidR="007A4BD9" w:rsidRPr="005731FD" w:rsidTr="00D36079">
        <w:trPr>
          <w:trHeight w:val="288"/>
          <w:jc w:val="center"/>
        </w:trPr>
        <w:tc>
          <w:tcPr>
            <w:tcW w:w="4395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  <w:r w:rsidRPr="00D5283D">
              <w:rPr>
                <w:sz w:val="22"/>
                <w:szCs w:val="22"/>
                <w:lang w:val="en-US"/>
              </w:rPr>
              <w:t xml:space="preserve">Plasma </w:t>
            </w:r>
            <w:proofErr w:type="spellStart"/>
            <w:r w:rsidRPr="00D5283D">
              <w:rPr>
                <w:sz w:val="22"/>
                <w:szCs w:val="22"/>
                <w:lang w:val="en-US"/>
              </w:rPr>
              <w:t>NfL</w:t>
            </w:r>
            <w:proofErr w:type="spellEnd"/>
            <w:r w:rsidRPr="00D5283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5283D">
              <w:rPr>
                <w:sz w:val="22"/>
                <w:szCs w:val="22"/>
                <w:lang w:val="en-US"/>
              </w:rPr>
              <w:t>pg</w:t>
            </w:r>
            <w:proofErr w:type="spellEnd"/>
            <w:r w:rsidRPr="00D5283D">
              <w:rPr>
                <w:sz w:val="22"/>
                <w:szCs w:val="22"/>
                <w:lang w:val="en-US"/>
              </w:rPr>
              <w:t>/mL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10 ± 4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14 ± 6</w:t>
            </w:r>
          </w:p>
        </w:tc>
        <w:tc>
          <w:tcPr>
            <w:tcW w:w="1911" w:type="dxa"/>
            <w:vAlign w:val="center"/>
          </w:tcPr>
          <w:p w:rsidR="007A4BD9" w:rsidRPr="00D5283D" w:rsidRDefault="007A4BD9" w:rsidP="00D36079">
            <w:pPr>
              <w:spacing w:after="0" w:line="360" w:lineRule="auto"/>
              <w:rPr>
                <w:color w:val="000000"/>
                <w:sz w:val="22"/>
                <w:szCs w:val="22"/>
                <w:lang w:val="en-US"/>
              </w:rPr>
            </w:pPr>
            <w:r w:rsidRPr="00D5283D">
              <w:rPr>
                <w:color w:val="000000"/>
                <w:sz w:val="22"/>
                <w:szCs w:val="22"/>
                <w:lang w:val="en-US"/>
              </w:rPr>
              <w:t>16 ± 11</w:t>
            </w:r>
          </w:p>
        </w:tc>
      </w:tr>
    </w:tbl>
    <w:p w:rsidR="007A4BD9" w:rsidRDefault="007A4BD9" w:rsidP="007A4BD9">
      <w:pPr>
        <w:spacing w:line="360" w:lineRule="auto"/>
        <w:rPr>
          <w:lang w:val="en-US"/>
        </w:rPr>
      </w:pPr>
      <w:r w:rsidRPr="00D1555C">
        <w:rPr>
          <w:i/>
          <w:sz w:val="20"/>
          <w:szCs w:val="20"/>
          <w:lang w:val="en-US"/>
        </w:rPr>
        <w:t xml:space="preserve">Baseline demographic features of the study population stratified for syndrome diagnosis. Data is presented as mean </w:t>
      </w:r>
      <w:r w:rsidRPr="00D1555C">
        <w:rPr>
          <w:sz w:val="20"/>
          <w:szCs w:val="20"/>
          <w:lang w:val="en-US"/>
        </w:rPr>
        <w:t>± SD, median (25</w:t>
      </w:r>
      <w:r w:rsidRPr="00D1555C">
        <w:rPr>
          <w:sz w:val="20"/>
          <w:szCs w:val="20"/>
          <w:vertAlign w:val="superscript"/>
          <w:lang w:val="en-US"/>
        </w:rPr>
        <w:t>th</w:t>
      </w:r>
      <w:r w:rsidRPr="00D1555C">
        <w:rPr>
          <w:sz w:val="20"/>
          <w:szCs w:val="20"/>
          <w:lang w:val="en-US"/>
        </w:rPr>
        <w:t xml:space="preserve"> – 75</w:t>
      </w:r>
      <w:r w:rsidRPr="00D1555C">
        <w:rPr>
          <w:sz w:val="20"/>
          <w:szCs w:val="20"/>
          <w:vertAlign w:val="superscript"/>
          <w:lang w:val="en-US"/>
        </w:rPr>
        <w:t>th</w:t>
      </w:r>
      <w:r w:rsidRPr="00D1555C">
        <w:rPr>
          <w:sz w:val="20"/>
          <w:szCs w:val="20"/>
          <w:lang w:val="en-US"/>
        </w:rPr>
        <w:t xml:space="preserve"> percentile) or n (%). </w:t>
      </w:r>
      <w:r w:rsidRPr="00D1555C">
        <w:rPr>
          <w:rFonts w:cs="Times New Roman"/>
          <w:i/>
          <w:sz w:val="20"/>
          <w:szCs w:val="20"/>
          <w:lang w:val="en-US"/>
        </w:rPr>
        <w:t xml:space="preserve">Education scoring is according to the </w:t>
      </w:r>
      <w:proofErr w:type="spellStart"/>
      <w:r w:rsidRPr="00D1555C">
        <w:rPr>
          <w:rFonts w:cs="Times New Roman"/>
          <w:i/>
          <w:sz w:val="20"/>
          <w:szCs w:val="20"/>
          <w:lang w:val="en-US"/>
        </w:rPr>
        <w:t>Verhage</w:t>
      </w:r>
      <w:proofErr w:type="spellEnd"/>
      <w:r w:rsidRPr="00D1555C">
        <w:rPr>
          <w:rFonts w:cs="Times New Roman"/>
          <w:i/>
          <w:sz w:val="20"/>
          <w:szCs w:val="20"/>
          <w:lang w:val="en-US"/>
        </w:rPr>
        <w:t xml:space="preserve"> (1965) system with a scale ranging from 1 to 7</w:t>
      </w:r>
      <w:r w:rsidRPr="00D1555C">
        <w:rPr>
          <w:sz w:val="20"/>
          <w:szCs w:val="20"/>
          <w:lang w:val="en-US"/>
        </w:rPr>
        <w:t xml:space="preserve">. </w:t>
      </w:r>
      <w:r w:rsidRPr="00D1555C">
        <w:rPr>
          <w:i/>
          <w:sz w:val="20"/>
          <w:szCs w:val="20"/>
          <w:lang w:val="en-US"/>
        </w:rPr>
        <w:t xml:space="preserve">APOE status was available for n=244, MTA score (average of right and left) was available for n=182, plasma </w:t>
      </w:r>
      <w:proofErr w:type="spellStart"/>
      <w:r w:rsidRPr="00D1555C">
        <w:rPr>
          <w:i/>
          <w:sz w:val="20"/>
          <w:szCs w:val="20"/>
          <w:lang w:val="en-US"/>
        </w:rPr>
        <w:t>Abeta</w:t>
      </w:r>
      <w:proofErr w:type="spellEnd"/>
      <w:r w:rsidRPr="00D1555C">
        <w:rPr>
          <w:i/>
          <w:sz w:val="20"/>
          <w:szCs w:val="20"/>
          <w:vertAlign w:val="subscript"/>
          <w:lang w:val="en-US"/>
        </w:rPr>
        <w:t>(1-42/1-40)</w:t>
      </w:r>
      <w:r w:rsidRPr="00D1555C">
        <w:rPr>
          <w:i/>
          <w:sz w:val="20"/>
          <w:szCs w:val="20"/>
          <w:lang w:val="en-US"/>
        </w:rPr>
        <w:t xml:space="preserve">, plasma GFAP for n=247 and plasma </w:t>
      </w:r>
      <w:proofErr w:type="spellStart"/>
      <w:r w:rsidRPr="00D1555C">
        <w:rPr>
          <w:i/>
          <w:sz w:val="20"/>
          <w:szCs w:val="20"/>
          <w:lang w:val="en-US"/>
        </w:rPr>
        <w:t>NfL</w:t>
      </w:r>
      <w:proofErr w:type="spellEnd"/>
      <w:r w:rsidRPr="00D1555C">
        <w:rPr>
          <w:i/>
          <w:sz w:val="20"/>
          <w:szCs w:val="20"/>
          <w:lang w:val="en-US"/>
        </w:rPr>
        <w:t xml:space="preserve"> for n=251. SCD = subjective cognitive decline, MCI = mild cognitive impairment, AD = Alzheimer’s disease, PET=Positron Emission Tomography, APOE = </w:t>
      </w:r>
      <w:proofErr w:type="spellStart"/>
      <w:r w:rsidRPr="00D1555C">
        <w:rPr>
          <w:i/>
          <w:sz w:val="20"/>
          <w:szCs w:val="20"/>
          <w:lang w:val="en-US"/>
        </w:rPr>
        <w:t>apolipoprotein</w:t>
      </w:r>
      <w:proofErr w:type="spellEnd"/>
      <w:r w:rsidRPr="00D1555C">
        <w:rPr>
          <w:i/>
          <w:sz w:val="20"/>
          <w:szCs w:val="20"/>
          <w:lang w:val="en-US"/>
        </w:rPr>
        <w:t xml:space="preserve"> E, MMSE = mini mental state examination, MTA = medial temporal lobe atrophy,  </w:t>
      </w:r>
      <w:proofErr w:type="spellStart"/>
      <w:r w:rsidRPr="00D1555C">
        <w:rPr>
          <w:i/>
          <w:sz w:val="20"/>
          <w:szCs w:val="20"/>
          <w:lang w:val="en-US"/>
        </w:rPr>
        <w:t>Abeta</w:t>
      </w:r>
      <w:proofErr w:type="spellEnd"/>
      <w:r w:rsidRPr="00D1555C">
        <w:rPr>
          <w:i/>
          <w:sz w:val="20"/>
          <w:szCs w:val="20"/>
          <w:lang w:val="en-US"/>
        </w:rPr>
        <w:t xml:space="preserve"> = amyloid beta, GFAP = Glial fibrillary acidic protein, </w:t>
      </w:r>
      <w:proofErr w:type="spellStart"/>
      <w:r w:rsidRPr="00D1555C">
        <w:rPr>
          <w:i/>
          <w:sz w:val="20"/>
          <w:szCs w:val="20"/>
          <w:lang w:val="en-US"/>
        </w:rPr>
        <w:t>NfL</w:t>
      </w:r>
      <w:proofErr w:type="spellEnd"/>
      <w:r w:rsidRPr="00D1555C">
        <w:rPr>
          <w:i/>
          <w:sz w:val="20"/>
          <w:szCs w:val="20"/>
          <w:lang w:val="en-US"/>
        </w:rPr>
        <w:t xml:space="preserve"> = Neurofilament light.</w:t>
      </w:r>
    </w:p>
    <w:p w:rsidR="007A4BD9" w:rsidRDefault="007A4BD9" w:rsidP="007A4BD9">
      <w:pPr>
        <w:spacing w:after="160" w:line="259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7A4BD9" w:rsidRDefault="007A4BD9" w:rsidP="007A4BD9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lastRenderedPageBreak/>
        <w:t>Supplementary figure 1</w:t>
      </w:r>
      <w:r w:rsidRPr="00C3433D">
        <w:rPr>
          <w:b/>
          <w:lang w:val="en-US"/>
        </w:rPr>
        <w:t>. Heat</w:t>
      </w:r>
      <w:r>
        <w:rPr>
          <w:b/>
          <w:lang w:val="en-US"/>
        </w:rPr>
        <w:t xml:space="preserve"> </w:t>
      </w:r>
      <w:r w:rsidRPr="00C3433D">
        <w:rPr>
          <w:b/>
          <w:lang w:val="en-US"/>
        </w:rPr>
        <w:t xml:space="preserve">plots </w:t>
      </w:r>
      <w:r>
        <w:rPr>
          <w:b/>
          <w:lang w:val="en-US"/>
        </w:rPr>
        <w:t>with</w:t>
      </w:r>
      <w:r w:rsidRPr="00C3433D">
        <w:rPr>
          <w:b/>
          <w:lang w:val="en-US"/>
        </w:rPr>
        <w:t xml:space="preserve"> predicted probabilities </w:t>
      </w:r>
      <w:r>
        <w:rPr>
          <w:b/>
          <w:lang w:val="en-US"/>
        </w:rPr>
        <w:t>for</w:t>
      </w:r>
      <w:r w:rsidRPr="00C3433D">
        <w:rPr>
          <w:b/>
          <w:lang w:val="en-US"/>
        </w:rPr>
        <w:t xml:space="preserve"> </w:t>
      </w:r>
      <w:r>
        <w:rPr>
          <w:b/>
          <w:lang w:val="en-US"/>
        </w:rPr>
        <w:t>amyloid PET positivity in the non-demented subset</w:t>
      </w:r>
    </w:p>
    <w:p w:rsidR="007A4BD9" w:rsidRPr="00C3433D" w:rsidRDefault="007A4BD9" w:rsidP="007A4BD9">
      <w:pPr>
        <w:spacing w:after="0" w:line="360" w:lineRule="auto"/>
        <w:rPr>
          <w:b/>
          <w:lang w:val="en-US"/>
        </w:rPr>
      </w:pPr>
      <w:r>
        <w:rPr>
          <w:b/>
          <w:noProof/>
          <w:lang w:eastAsia="nl-NL"/>
        </w:rPr>
        <w:drawing>
          <wp:inline distT="0" distB="0" distL="0" distR="0" wp14:anchorId="7525C215" wp14:editId="4493A646">
            <wp:extent cx="5676900" cy="2295525"/>
            <wp:effectExtent l="0" t="0" r="0" b="9525"/>
            <wp:docPr id="1" name="Afbeelding 1" descr="\\vumc-cl-fs02-03\ccl2$\Laboratoria\NL\Scientific Results\Inge Verberk\ADx assays\4. PET-cohort 2019\3. Results\4. Figures\Heatplots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umc-cl-fs02-03\ccl2$\Laboratoria\NL\Scientific Results\Inge Verberk\ADx assays\4. PET-cohort 2019\3. Results\4. Figures\Heatplots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BD9" w:rsidRDefault="007A4BD9" w:rsidP="007A4BD9">
      <w:pPr>
        <w:spacing w:line="360" w:lineRule="auto"/>
        <w:rPr>
          <w:i/>
          <w:lang w:val="en-US"/>
        </w:rPr>
      </w:pPr>
      <w:r w:rsidRPr="00C3433D">
        <w:rPr>
          <w:i/>
          <w:lang w:val="en-US"/>
        </w:rPr>
        <w:t>Heat</w:t>
      </w:r>
      <w:r>
        <w:rPr>
          <w:i/>
          <w:lang w:val="en-US"/>
        </w:rPr>
        <w:t xml:space="preserve"> </w:t>
      </w:r>
      <w:r w:rsidRPr="00C3433D">
        <w:rPr>
          <w:i/>
          <w:lang w:val="en-US"/>
        </w:rPr>
        <w:t xml:space="preserve">plots were constructed by filling out the logistic regression formula of the </w:t>
      </w:r>
      <w:r>
        <w:rPr>
          <w:i/>
          <w:lang w:val="en-US"/>
        </w:rPr>
        <w:t>non-demented subset (SCD + MCI)</w:t>
      </w:r>
      <w:r w:rsidRPr="00C3433D">
        <w:rPr>
          <w:i/>
          <w:lang w:val="en-US"/>
        </w:rPr>
        <w:t xml:space="preserve"> with constant=</w:t>
      </w:r>
      <w:r>
        <w:rPr>
          <w:i/>
          <w:lang w:val="en-US"/>
        </w:rPr>
        <w:t>-1.</w:t>
      </w:r>
      <w:r w:rsidRPr="00D1555C">
        <w:rPr>
          <w:i/>
          <w:lang w:val="en-US"/>
        </w:rPr>
        <w:t>053</w:t>
      </w:r>
      <w:r>
        <w:rPr>
          <w:i/>
          <w:lang w:val="en-US"/>
        </w:rPr>
        <w:t>, and beta’s B=-11.</w:t>
      </w:r>
      <w:r w:rsidRPr="00D1555C">
        <w:rPr>
          <w:i/>
          <w:lang w:val="en-US"/>
        </w:rPr>
        <w:t>369</w:t>
      </w:r>
      <w:r w:rsidRPr="00C3433D">
        <w:rPr>
          <w:i/>
          <w:lang w:val="en-US"/>
        </w:rPr>
        <w:t xml:space="preserve"> for </w:t>
      </w:r>
      <w:proofErr w:type="spellStart"/>
      <w:r w:rsidRPr="00C3433D">
        <w:rPr>
          <w:i/>
          <w:lang w:val="en-US"/>
        </w:rPr>
        <w:t>Abeta</w:t>
      </w:r>
      <w:proofErr w:type="spellEnd"/>
      <w:r w:rsidRPr="00C3433D">
        <w:rPr>
          <w:i/>
          <w:vertAlign w:val="subscript"/>
          <w:lang w:val="en-US"/>
        </w:rPr>
        <w:t>(1-42/1-40)</w:t>
      </w:r>
      <w:r>
        <w:rPr>
          <w:i/>
          <w:lang w:val="en-US"/>
        </w:rPr>
        <w:t>, B=0.012 for GFAP and</w:t>
      </w:r>
      <w:r w:rsidRPr="00C3433D">
        <w:rPr>
          <w:i/>
          <w:lang w:val="en-US"/>
        </w:rPr>
        <w:t xml:space="preserve"> B=</w:t>
      </w:r>
      <w:r>
        <w:rPr>
          <w:i/>
          <w:lang w:val="en-US"/>
        </w:rPr>
        <w:t>1.845</w:t>
      </w:r>
      <w:r w:rsidRPr="00C3433D">
        <w:rPr>
          <w:i/>
          <w:lang w:val="en-US"/>
        </w:rPr>
        <w:t xml:space="preserve"> for APOE</w:t>
      </w:r>
      <w:r>
        <w:rPr>
          <w:i/>
          <w:lang w:val="en-US"/>
        </w:rPr>
        <w:t xml:space="preserve"> ε4</w:t>
      </w:r>
      <w:r w:rsidRPr="00C3433D">
        <w:rPr>
          <w:i/>
          <w:lang w:val="en-US"/>
        </w:rPr>
        <w:t xml:space="preserve"> </w:t>
      </w:r>
      <w:proofErr w:type="spellStart"/>
      <w:r w:rsidRPr="00C3433D">
        <w:rPr>
          <w:i/>
          <w:lang w:val="en-US"/>
        </w:rPr>
        <w:t>carriership</w:t>
      </w:r>
      <w:proofErr w:type="spellEnd"/>
      <w:r w:rsidRPr="00C3433D">
        <w:rPr>
          <w:i/>
          <w:lang w:val="en-US"/>
        </w:rPr>
        <w:t xml:space="preserve"> (</w:t>
      </w:r>
      <w:r>
        <w:rPr>
          <w:i/>
          <w:lang w:val="en-US"/>
        </w:rPr>
        <w:t>non-carrier=0, carrier=1</w:t>
      </w:r>
      <w:r w:rsidRPr="00C3433D">
        <w:rPr>
          <w:i/>
          <w:lang w:val="en-US"/>
        </w:rPr>
        <w:t xml:space="preserve">). </w:t>
      </w:r>
      <w:proofErr w:type="spellStart"/>
      <w:r w:rsidRPr="00C3433D">
        <w:rPr>
          <w:i/>
          <w:lang w:val="en-US"/>
        </w:rPr>
        <w:t>Abeta</w:t>
      </w:r>
      <w:proofErr w:type="spellEnd"/>
      <w:r w:rsidRPr="00C3433D">
        <w:rPr>
          <w:i/>
          <w:lang w:val="en-US"/>
        </w:rPr>
        <w:t xml:space="preserve">=amyloid beta, </w:t>
      </w:r>
      <w:r w:rsidRPr="00C3433D">
        <w:rPr>
          <w:rFonts w:cs="Times New Roman"/>
          <w:i/>
          <w:lang w:val="en-US"/>
        </w:rPr>
        <w:t xml:space="preserve">GFAP = </w:t>
      </w:r>
      <w:r w:rsidRPr="00C3433D">
        <w:rPr>
          <w:i/>
          <w:lang w:val="en-US"/>
        </w:rPr>
        <w:t xml:space="preserve">Glial fibrillary acidic protein, APOE = </w:t>
      </w:r>
      <w:proofErr w:type="spellStart"/>
      <w:r w:rsidRPr="00C3433D">
        <w:rPr>
          <w:i/>
          <w:lang w:val="en-US"/>
        </w:rPr>
        <w:t>Apolipoprotein</w:t>
      </w:r>
      <w:proofErr w:type="spellEnd"/>
      <w:r w:rsidRPr="00C3433D">
        <w:rPr>
          <w:i/>
          <w:lang w:val="en-US"/>
        </w:rPr>
        <w:t xml:space="preserve"> E.</w:t>
      </w:r>
    </w:p>
    <w:p w:rsidR="00A41341" w:rsidRPr="007A4BD9" w:rsidRDefault="007A4BD9">
      <w:pPr>
        <w:rPr>
          <w:lang w:val="en-US"/>
        </w:rPr>
      </w:pPr>
    </w:p>
    <w:sectPr w:rsidR="00A41341" w:rsidRPr="007A4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D9"/>
    <w:rsid w:val="00332329"/>
    <w:rsid w:val="007A4BD9"/>
    <w:rsid w:val="00AD5981"/>
    <w:rsid w:val="00E35AD6"/>
    <w:rsid w:val="00E6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28AB"/>
  <w15:chartTrackingRefBased/>
  <w15:docId w15:val="{6D33E416-0B9C-4DEF-A9C6-6D71AB62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A4BD9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A4BD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F07D06F0</Template>
  <TotalTime>0</TotalTime>
  <Pages>2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Verberk, I.M.W. (Inge)</dc:creator>
  <cp:keywords/>
  <dc:description/>
  <cp:lastModifiedBy>Verberk, I.M.W. (Inge)</cp:lastModifiedBy>
  <cp:revision>1</cp:revision>
  <dcterms:created xsi:type="dcterms:W3CDTF">2020-07-15T15:24:00Z</dcterms:created>
  <dcterms:modified xsi:type="dcterms:W3CDTF">2020-07-15T15:25:00Z</dcterms:modified>
</cp:coreProperties>
</file>