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26CA7B" w14:textId="77777777" w:rsidR="00C944C9" w:rsidRDefault="00C944C9" w:rsidP="00C944C9">
      <w:pPr>
        <w:pStyle w:val="Lijstalinea1"/>
        <w:spacing w:line="480" w:lineRule="auto"/>
        <w:ind w:left="0" w:firstLine="0"/>
        <w:jc w:val="both"/>
        <w:rPr>
          <w:sz w:val="32"/>
          <w:szCs w:val="32"/>
        </w:rPr>
      </w:pPr>
      <w:r>
        <w:rPr>
          <w:b/>
          <w:bCs/>
          <w:sz w:val="32"/>
          <w:szCs w:val="32"/>
          <w:lang w:val="en-GB"/>
        </w:rPr>
        <w:t>APPENDIX</w:t>
      </w:r>
    </w:p>
    <w:p w14:paraId="724B6FFC" w14:textId="5063689F" w:rsidR="00C270AB" w:rsidRDefault="00713799" w:rsidP="00C944C9">
      <w:pPr>
        <w:pStyle w:val="Lijstalinea1"/>
        <w:spacing w:after="0" w:line="480" w:lineRule="auto"/>
        <w:ind w:left="0" w:firstLine="0"/>
        <w:jc w:val="both"/>
        <w:rPr>
          <w:b/>
        </w:rPr>
      </w:pPr>
      <w:r>
        <w:t>Figure A1 presents a</w:t>
      </w:r>
      <w:r w:rsidR="007A10D5">
        <w:t>n overview of the study with the most important steps in data analysis.</w:t>
      </w:r>
    </w:p>
    <w:p w14:paraId="5C328D60" w14:textId="17DF72FF" w:rsidR="00C944C9" w:rsidRDefault="00C944C9" w:rsidP="00C944C9">
      <w:pPr>
        <w:pStyle w:val="Lijstalinea1"/>
        <w:spacing w:after="0" w:line="480" w:lineRule="auto"/>
        <w:ind w:left="0" w:firstLine="0"/>
        <w:jc w:val="both"/>
      </w:pPr>
      <w:r>
        <w:rPr>
          <w:b/>
        </w:rPr>
        <w:t>1. Preprocessing</w:t>
      </w:r>
    </w:p>
    <w:p w14:paraId="1A667AA9" w14:textId="77777777" w:rsidR="00C944C9" w:rsidRDefault="00C944C9" w:rsidP="00C944C9">
      <w:pPr>
        <w:spacing w:line="480" w:lineRule="auto"/>
        <w:rPr>
          <w:sz w:val="24"/>
          <w:szCs w:val="24"/>
          <w:lang w:val="en-US"/>
        </w:rPr>
      </w:pPr>
      <w:r>
        <w:rPr>
          <w:sz w:val="24"/>
          <w:szCs w:val="24"/>
          <w:lang w:val="en-US"/>
        </w:rPr>
        <w:t xml:space="preserve">Relative reflectance (compared to a white reference image) was computed for each hyperspectral image, denoting </w:t>
      </w:r>
      <m:oMath>
        <m:sSub>
          <m:sSubPr>
            <m:ctrlPr>
              <w:rPr>
                <w:rFonts w:ascii="Cambria Math" w:hAnsi="Cambria Math"/>
              </w:rPr>
            </m:ctrlPr>
          </m:sSubPr>
          <m:e>
            <m:r>
              <w:rPr>
                <w:rFonts w:ascii="Cambria Math" w:hAnsi="Cambria Math"/>
              </w:rPr>
              <m:t>R</m:t>
            </m:r>
          </m:e>
          <m:sub>
            <m:r>
              <w:rPr>
                <w:rFonts w:ascii="Cambria Math" w:hAnsi="Cambria Math"/>
              </w:rPr>
              <m:t>i</m:t>
            </m:r>
          </m:sub>
        </m:sSub>
      </m:oMath>
      <w:r>
        <w:rPr>
          <w:sz w:val="24"/>
          <w:szCs w:val="24"/>
          <w:lang w:val="en-US"/>
        </w:rPr>
        <w:t xml:space="preserve"> as the reflectance at the </w:t>
      </w:r>
      <m:oMath>
        <m:r>
          <w:rPr>
            <w:rFonts w:ascii="Cambria Math" w:hAnsi="Cambria Math"/>
          </w:rPr>
          <m:t>i</m:t>
        </m:r>
      </m:oMath>
      <w:r>
        <w:rPr>
          <w:sz w:val="24"/>
          <w:szCs w:val="24"/>
          <w:lang w:val="en-US"/>
        </w:rPr>
        <w:t>-</w:t>
      </w:r>
      <w:proofErr w:type="gramStart"/>
      <w:r>
        <w:rPr>
          <w:sz w:val="24"/>
          <w:szCs w:val="24"/>
          <w:lang w:val="en-US"/>
        </w:rPr>
        <w:t>th</w:t>
      </w:r>
      <w:proofErr w:type="gramEnd"/>
      <w:r>
        <w:rPr>
          <w:sz w:val="24"/>
          <w:szCs w:val="24"/>
          <w:lang w:val="en-US"/>
        </w:rPr>
        <w:t xml:space="preserve"> pixel for a given wavelength:</w:t>
      </w:r>
    </w:p>
    <w:p w14:paraId="30689340" w14:textId="77777777" w:rsidR="00C944C9" w:rsidRDefault="00FD6390" w:rsidP="00C944C9">
      <w:pPr>
        <w:spacing w:line="480" w:lineRule="auto"/>
        <w:rPr>
          <w:sz w:val="24"/>
          <w:szCs w:val="24"/>
          <w:lang w:val="en-US"/>
        </w:rPr>
      </w:pPr>
      <m:oMathPara>
        <m:oMath>
          <m:sSub>
            <m:sSubPr>
              <m:ctrlPr>
                <w:rPr>
                  <w:rFonts w:ascii="Cambria Math" w:hAnsi="Cambria Math"/>
                </w:rPr>
              </m:ctrlPr>
            </m:sSubPr>
            <m:e>
              <m:r>
                <w:rPr>
                  <w:rFonts w:ascii="Cambria Math" w:hAnsi="Cambria Math"/>
                </w:rPr>
                <m:t>R</m:t>
              </m:r>
            </m:e>
            <m:sub>
              <m:r>
                <w:rPr>
                  <w:rFonts w:ascii="Cambria Math" w:hAnsi="Cambria Math"/>
                </w:rPr>
                <m:t>i</m:t>
              </m:r>
            </m:sub>
          </m:sSub>
          <m:r>
            <w:rPr>
              <w:rFonts w:ascii="Cambria Math" w:hAnsi="Cambria Math"/>
            </w:rPr>
            <m:t>=</m:t>
          </m:r>
          <m:f>
            <m:fPr>
              <m:ctrlPr>
                <w:rPr>
                  <w:rFonts w:ascii="Cambria Math" w:hAnsi="Cambria Math"/>
                </w:rPr>
              </m:ctrlPr>
            </m:fPr>
            <m:num>
              <m:r>
                <w:rPr>
                  <w:rFonts w:ascii="Cambria Math" w:hAnsi="Cambria Math"/>
                </w:rPr>
                <m:t>R</m:t>
              </m:r>
              <m:sSub>
                <m:sSubPr>
                  <m:ctrlPr>
                    <w:rPr>
                      <w:rFonts w:ascii="Cambria Math" w:hAnsi="Cambria Math"/>
                    </w:rPr>
                  </m:ctrlPr>
                </m:sSubPr>
                <m:e>
                  <m:r>
                    <w:rPr>
                      <w:rFonts w:ascii="Cambria Math" w:hAnsi="Cambria Math"/>
                    </w:rPr>
                    <m:t>S</m:t>
                  </m:r>
                </m:e>
                <m:sub>
                  <m:r>
                    <w:rPr>
                      <w:rFonts w:ascii="Cambria Math" w:hAnsi="Cambria Math"/>
                    </w:rPr>
                    <m:t>i</m:t>
                  </m:r>
                </m:sub>
              </m:sSub>
              <m:r>
                <w:rPr>
                  <w:rFonts w:ascii="Cambria Math" w:hAnsi="Cambria Math"/>
                </w:rPr>
                <m:t>-R</m:t>
              </m:r>
              <m:sSub>
                <m:sSubPr>
                  <m:ctrlPr>
                    <w:rPr>
                      <w:rFonts w:ascii="Cambria Math" w:hAnsi="Cambria Math"/>
                    </w:rPr>
                  </m:ctrlPr>
                </m:sSubPr>
                <m:e>
                  <m:r>
                    <w:rPr>
                      <w:rFonts w:ascii="Cambria Math" w:hAnsi="Cambria Math"/>
                    </w:rPr>
                    <m:t>D</m:t>
                  </m:r>
                </m:e>
                <m:sub>
                  <m:r>
                    <w:rPr>
                      <w:rFonts w:ascii="Cambria Math" w:hAnsi="Cambria Math"/>
                    </w:rPr>
                    <m:t>i</m:t>
                  </m:r>
                </m:sub>
              </m:sSub>
            </m:num>
            <m:den>
              <m:r>
                <w:rPr>
                  <w:rFonts w:ascii="Cambria Math" w:hAnsi="Cambria Math"/>
                </w:rPr>
                <m:t>R</m:t>
              </m:r>
              <m:sSub>
                <m:sSubPr>
                  <m:ctrlPr>
                    <w:rPr>
                      <w:rFonts w:ascii="Cambria Math" w:hAnsi="Cambria Math"/>
                    </w:rPr>
                  </m:ctrlPr>
                </m:sSubPr>
                <m:e>
                  <m:r>
                    <w:rPr>
                      <w:rFonts w:ascii="Cambria Math" w:hAnsi="Cambria Math"/>
                    </w:rPr>
                    <m:t>W</m:t>
                  </m:r>
                </m:e>
                <m:sub>
                  <m:r>
                    <w:rPr>
                      <w:rFonts w:ascii="Cambria Math" w:hAnsi="Cambria Math"/>
                    </w:rPr>
                    <m:t>i</m:t>
                  </m:r>
                </m:sub>
              </m:sSub>
              <m:r>
                <w:rPr>
                  <w:rFonts w:ascii="Cambria Math" w:hAnsi="Cambria Math"/>
                </w:rPr>
                <m:t>-R</m:t>
              </m:r>
              <m:sSub>
                <m:sSubPr>
                  <m:ctrlPr>
                    <w:rPr>
                      <w:rFonts w:ascii="Cambria Math" w:hAnsi="Cambria Math"/>
                    </w:rPr>
                  </m:ctrlPr>
                </m:sSubPr>
                <m:e>
                  <m:r>
                    <w:rPr>
                      <w:rFonts w:ascii="Cambria Math" w:hAnsi="Cambria Math"/>
                    </w:rPr>
                    <m:t>DW</m:t>
                  </m:r>
                </m:e>
                <m:sub>
                  <m:r>
                    <w:rPr>
                      <w:rFonts w:ascii="Cambria Math" w:hAnsi="Cambria Math"/>
                    </w:rPr>
                    <m:t>i</m:t>
                  </m:r>
                </m:sub>
              </m:sSub>
            </m:den>
          </m:f>
        </m:oMath>
      </m:oMathPara>
    </w:p>
    <w:p w14:paraId="28D0AC4B" w14:textId="77777777" w:rsidR="00C944C9" w:rsidRDefault="00C944C9" w:rsidP="00C944C9">
      <w:pPr>
        <w:spacing w:line="480" w:lineRule="auto"/>
        <w:rPr>
          <w:lang w:val="en-GB"/>
        </w:rPr>
      </w:pPr>
      <m:oMath>
        <m:r>
          <w:rPr>
            <w:rFonts w:ascii="Cambria Math" w:hAnsi="Cambria Math"/>
          </w:rPr>
          <m:t>RS</m:t>
        </m:r>
      </m:oMath>
      <w:r>
        <w:rPr>
          <w:sz w:val="24"/>
          <w:szCs w:val="24"/>
          <w:lang w:val="en-US"/>
        </w:rPr>
        <w:t xml:space="preserve"> </w:t>
      </w:r>
      <w:proofErr w:type="gramStart"/>
      <w:r>
        <w:rPr>
          <w:sz w:val="24"/>
          <w:szCs w:val="24"/>
          <w:lang w:val="en-US"/>
        </w:rPr>
        <w:t>refers</w:t>
      </w:r>
      <w:proofErr w:type="gramEnd"/>
      <w:r>
        <w:rPr>
          <w:sz w:val="24"/>
          <w:szCs w:val="24"/>
          <w:lang w:val="en-US"/>
        </w:rPr>
        <w:t xml:space="preserve"> to the raw intensity values of the sample image, </w:t>
      </w:r>
      <m:oMath>
        <m:r>
          <w:rPr>
            <w:rFonts w:ascii="Cambria Math" w:hAnsi="Cambria Math"/>
          </w:rPr>
          <m:t>RD</m:t>
        </m:r>
      </m:oMath>
      <w:r>
        <w:rPr>
          <w:sz w:val="24"/>
          <w:szCs w:val="24"/>
          <w:lang w:val="en-US"/>
        </w:rPr>
        <w:t xml:space="preserve"> refers to the dark reference obtained with the light source turned off and the lens covered, which was used to correct for electrical pixel noise. Furthermore, </w:t>
      </w:r>
      <m:oMath>
        <m:r>
          <w:rPr>
            <w:rFonts w:ascii="Cambria Math" w:hAnsi="Cambria Math"/>
          </w:rPr>
          <m:t>RW</m:t>
        </m:r>
      </m:oMath>
      <w:r>
        <w:rPr>
          <w:sz w:val="24"/>
          <w:szCs w:val="24"/>
          <w:lang w:val="en-US"/>
        </w:rPr>
        <w:t xml:space="preserve"> refers to the white reference, obtained by imaging a standard white spectralon tile. </w:t>
      </w:r>
      <w:r>
        <w:rPr>
          <w:i/>
          <w:sz w:val="24"/>
          <w:szCs w:val="24"/>
          <w:lang w:val="en-US"/>
        </w:rPr>
        <w:t>RW</w:t>
      </w:r>
      <w:r>
        <w:rPr>
          <w:sz w:val="24"/>
          <w:szCs w:val="24"/>
          <w:lang w:val="en-US"/>
        </w:rPr>
        <w:t xml:space="preserve"> was used to eliminate the spectral profile of the light source. The white reference </w:t>
      </w:r>
      <m:oMath>
        <m:r>
          <w:rPr>
            <w:rFonts w:ascii="Cambria Math" w:hAnsi="Cambria Math"/>
          </w:rPr>
          <m:t>RW</m:t>
        </m:r>
      </m:oMath>
      <w:r>
        <w:rPr>
          <w:sz w:val="24"/>
          <w:szCs w:val="24"/>
          <w:lang w:val="en-US"/>
        </w:rPr>
        <w:t xml:space="preserve"> was taken with a shorter exposure time (0.15ms) than </w:t>
      </w:r>
      <m:oMath>
        <m:r>
          <w:rPr>
            <w:rFonts w:ascii="Cambria Math" w:hAnsi="Cambria Math"/>
          </w:rPr>
          <m:t>RS</m:t>
        </m:r>
      </m:oMath>
      <w:r>
        <w:rPr>
          <w:sz w:val="24"/>
          <w:szCs w:val="24"/>
          <w:lang w:val="en-US"/>
        </w:rPr>
        <w:t xml:space="preserve"> and </w:t>
      </w:r>
      <m:oMath>
        <m:r>
          <w:rPr>
            <w:rFonts w:ascii="Cambria Math" w:hAnsi="Cambria Math"/>
          </w:rPr>
          <m:t>RD</m:t>
        </m:r>
      </m:oMath>
      <w:r>
        <w:rPr>
          <w:sz w:val="24"/>
          <w:szCs w:val="24"/>
          <w:lang w:val="en-US"/>
        </w:rPr>
        <w:t xml:space="preserve"> (0.2ms) to avoid oversaturation. </w:t>
      </w:r>
      <m:oMath>
        <m:r>
          <w:rPr>
            <w:rFonts w:ascii="Cambria Math" w:hAnsi="Cambria Math"/>
          </w:rPr>
          <m:t>RDW</m:t>
        </m:r>
      </m:oMath>
      <w:r>
        <w:rPr>
          <w:sz w:val="24"/>
          <w:szCs w:val="24"/>
          <w:lang w:val="en-US"/>
        </w:rPr>
        <w:t xml:space="preserve"> </w:t>
      </w:r>
      <w:proofErr w:type="gramStart"/>
      <w:r>
        <w:rPr>
          <w:sz w:val="24"/>
          <w:szCs w:val="24"/>
          <w:lang w:val="en-US"/>
        </w:rPr>
        <w:t>is</w:t>
      </w:r>
      <w:proofErr w:type="gramEnd"/>
      <w:r>
        <w:rPr>
          <w:sz w:val="24"/>
          <w:szCs w:val="24"/>
          <w:lang w:val="en-US"/>
        </w:rPr>
        <w:t xml:space="preserve"> a second dark reference, taken with an exposure time of 0.15ms to match that of </w:t>
      </w:r>
      <m:oMath>
        <m:r>
          <w:rPr>
            <w:rFonts w:ascii="Cambria Math" w:hAnsi="Cambria Math"/>
          </w:rPr>
          <m:t>RW</m:t>
        </m:r>
      </m:oMath>
      <w:r>
        <w:rPr>
          <w:sz w:val="24"/>
          <w:szCs w:val="24"/>
          <w:lang w:val="en-US"/>
        </w:rPr>
        <w:t xml:space="preserve">. Note that no absolute reflectance was calculated as the intensity of the flash of the fundus camera was adapted per patient to maximize the reflected light. Therefore also the (constant) relative ratio of the exposure times of </w:t>
      </w:r>
      <w:r>
        <w:rPr>
          <w:i/>
          <w:sz w:val="24"/>
          <w:szCs w:val="24"/>
          <w:lang w:val="en-US"/>
        </w:rPr>
        <w:t>RS</w:t>
      </w:r>
      <w:r>
        <w:rPr>
          <w:sz w:val="24"/>
          <w:szCs w:val="24"/>
          <w:lang w:val="en-US"/>
        </w:rPr>
        <w:t xml:space="preserve"> and </w:t>
      </w:r>
      <w:r>
        <w:rPr>
          <w:i/>
          <w:sz w:val="24"/>
          <w:szCs w:val="24"/>
          <w:lang w:val="en-US"/>
        </w:rPr>
        <w:t>RD</w:t>
      </w:r>
      <w:r>
        <w:rPr>
          <w:sz w:val="24"/>
          <w:szCs w:val="24"/>
          <w:lang w:val="en-US"/>
        </w:rPr>
        <w:t xml:space="preserve"> was not used in the calculation of the relative </w:t>
      </w:r>
      <w:proofErr w:type="spellStart"/>
      <w:r>
        <w:rPr>
          <w:sz w:val="24"/>
          <w:szCs w:val="24"/>
          <w:lang w:val="en-US"/>
        </w:rPr>
        <w:t>reflectances</w:t>
      </w:r>
      <w:proofErr w:type="spellEnd"/>
      <w:r>
        <w:rPr>
          <w:sz w:val="24"/>
          <w:szCs w:val="24"/>
          <w:lang w:val="en-US"/>
        </w:rPr>
        <w:t>. Resulting differences in reflectance between subjects were corrected for in the standardization step described below. The resulting relative reflectance images were subsequently multiplied with a spectral correction matrix to correct for cross-talk, leakage, harmonics and camera-specific acquisition artefacts.</w:t>
      </w:r>
      <w:r w:rsidR="00BE7CFE" w:rsidRPr="00BE7CFE">
        <w:rPr>
          <w:vertAlign w:val="superscript"/>
          <w:lang w:val="en-US"/>
        </w:rPr>
        <w:t>1</w:t>
      </w:r>
      <w:r>
        <w:rPr>
          <w:sz w:val="24"/>
          <w:szCs w:val="24"/>
          <w:lang w:val="en-US"/>
        </w:rPr>
        <w:t xml:space="preserve"> </w:t>
      </w:r>
      <w:proofErr w:type="gramStart"/>
      <w:r>
        <w:rPr>
          <w:sz w:val="24"/>
          <w:szCs w:val="24"/>
          <w:lang w:val="en-US"/>
        </w:rPr>
        <w:t>These</w:t>
      </w:r>
      <w:proofErr w:type="gramEnd"/>
      <w:r>
        <w:rPr>
          <w:sz w:val="24"/>
          <w:szCs w:val="24"/>
          <w:lang w:val="en-US"/>
        </w:rPr>
        <w:t xml:space="preserve"> preprocessing steps resulted in a spectrum of relative reflectance values at 14 wavelengths for each hyperspectral pixel (two spectral bands are omitted due to their large signal-to-noise-ratio). </w:t>
      </w:r>
    </w:p>
    <w:p w14:paraId="686E81ED" w14:textId="77777777" w:rsidR="00C944C9" w:rsidRDefault="00C944C9" w:rsidP="00C944C9">
      <w:pPr>
        <w:spacing w:line="480" w:lineRule="auto"/>
        <w:rPr>
          <w:lang w:val="en-GB"/>
        </w:rPr>
      </w:pPr>
      <w:r>
        <w:rPr>
          <w:b/>
          <w:sz w:val="24"/>
          <w:szCs w:val="24"/>
          <w:lang w:val="en-US"/>
        </w:rPr>
        <w:t>2. Removal of retinal blood vessels</w:t>
      </w:r>
      <w:r>
        <w:rPr>
          <w:b/>
          <w:lang w:val="en-US"/>
        </w:rPr>
        <w:t xml:space="preserve"> </w:t>
      </w:r>
    </w:p>
    <w:p w14:paraId="727B4247" w14:textId="77777777" w:rsidR="00C944C9" w:rsidRDefault="00C944C9" w:rsidP="00C944C9">
      <w:pPr>
        <w:spacing w:line="480" w:lineRule="auto"/>
        <w:rPr>
          <w:sz w:val="24"/>
          <w:szCs w:val="24"/>
          <w:lang w:val="en-GB"/>
        </w:rPr>
      </w:pPr>
      <w:r>
        <w:rPr>
          <w:sz w:val="24"/>
          <w:szCs w:val="24"/>
          <w:lang w:val="en-US"/>
        </w:rPr>
        <w:lastRenderedPageBreak/>
        <w:t>Retinal blood v</w:t>
      </w:r>
      <w:proofErr w:type="spellStart"/>
      <w:r>
        <w:rPr>
          <w:sz w:val="24"/>
          <w:szCs w:val="24"/>
          <w:lang w:val="en-GB"/>
        </w:rPr>
        <w:t>essels</w:t>
      </w:r>
      <w:proofErr w:type="spellEnd"/>
      <w:r>
        <w:rPr>
          <w:sz w:val="24"/>
          <w:szCs w:val="24"/>
          <w:lang w:val="en-GB"/>
        </w:rPr>
        <w:t xml:space="preserve"> were removed</w:t>
      </w:r>
      <w:r>
        <w:rPr>
          <w:sz w:val="24"/>
          <w:szCs w:val="24"/>
          <w:lang w:val="en-CA"/>
        </w:rPr>
        <w:t xml:space="preserve"> from the hyperspectral images</w:t>
      </w:r>
      <w:r>
        <w:rPr>
          <w:sz w:val="24"/>
          <w:szCs w:val="24"/>
          <w:lang w:val="en-GB"/>
        </w:rPr>
        <w:t xml:space="preserve"> by applying </w:t>
      </w:r>
      <w:r>
        <w:rPr>
          <w:sz w:val="24"/>
          <w:szCs w:val="24"/>
          <w:lang w:val="en-CA"/>
        </w:rPr>
        <w:t xml:space="preserve">a </w:t>
      </w:r>
      <w:r>
        <w:rPr>
          <w:sz w:val="24"/>
          <w:szCs w:val="24"/>
          <w:lang w:val="en-GB"/>
        </w:rPr>
        <w:t>difference of Gaussians (</w:t>
      </w:r>
      <w:proofErr w:type="spellStart"/>
      <w:r>
        <w:rPr>
          <w:sz w:val="24"/>
          <w:szCs w:val="24"/>
          <w:lang w:val="en-GB"/>
        </w:rPr>
        <w:t>DoG</w:t>
      </w:r>
      <w:proofErr w:type="spellEnd"/>
      <w:r>
        <w:rPr>
          <w:sz w:val="24"/>
          <w:szCs w:val="24"/>
          <w:lang w:val="en-GB"/>
        </w:rPr>
        <w:t>)</w:t>
      </w:r>
      <w:r>
        <w:rPr>
          <w:sz w:val="24"/>
          <w:szCs w:val="24"/>
          <w:lang w:val="en-CA"/>
        </w:rPr>
        <w:t xml:space="preserve"> filter</w:t>
      </w:r>
      <w:r>
        <w:rPr>
          <w:sz w:val="24"/>
          <w:szCs w:val="24"/>
          <w:lang w:val="en-GB"/>
        </w:rPr>
        <w:t xml:space="preserve"> to the entire grayscale image</w:t>
      </w:r>
      <w:r>
        <w:rPr>
          <w:sz w:val="24"/>
          <w:szCs w:val="24"/>
          <w:lang w:val="en-CA"/>
        </w:rPr>
        <w:t>, which was</w:t>
      </w:r>
      <w:r>
        <w:rPr>
          <w:sz w:val="24"/>
          <w:szCs w:val="24"/>
          <w:lang w:val="en-GB"/>
        </w:rPr>
        <w:t xml:space="preserve"> obtained by averaging </w:t>
      </w:r>
      <w:r>
        <w:rPr>
          <w:sz w:val="24"/>
          <w:szCs w:val="24"/>
          <w:lang w:val="en-CA"/>
        </w:rPr>
        <w:t xml:space="preserve">results </w:t>
      </w:r>
      <w:r>
        <w:rPr>
          <w:sz w:val="24"/>
          <w:szCs w:val="24"/>
          <w:lang w:val="en-GB"/>
        </w:rPr>
        <w:t>over wavelengths 539</w:t>
      </w:r>
      <w:r>
        <w:rPr>
          <w:sz w:val="24"/>
          <w:szCs w:val="24"/>
          <w:lang w:val="en-US"/>
        </w:rPr>
        <w:t xml:space="preserve"> </w:t>
      </w:r>
      <w:r>
        <w:rPr>
          <w:sz w:val="24"/>
          <w:szCs w:val="24"/>
          <w:lang w:val="en-GB"/>
        </w:rPr>
        <w:t>nm to 589</w:t>
      </w:r>
      <w:r>
        <w:rPr>
          <w:sz w:val="24"/>
          <w:szCs w:val="24"/>
          <w:lang w:val="en-US"/>
        </w:rPr>
        <w:t xml:space="preserve"> </w:t>
      </w:r>
      <w:r>
        <w:rPr>
          <w:sz w:val="24"/>
          <w:szCs w:val="24"/>
          <w:lang w:val="en-GB"/>
        </w:rPr>
        <w:t xml:space="preserve">nm. </w:t>
      </w:r>
      <w:proofErr w:type="spellStart"/>
      <w:r>
        <w:rPr>
          <w:sz w:val="24"/>
          <w:szCs w:val="24"/>
          <w:lang w:val="en-GB"/>
        </w:rPr>
        <w:t>Th</w:t>
      </w:r>
      <w:proofErr w:type="spellEnd"/>
      <w:r>
        <w:rPr>
          <w:sz w:val="24"/>
          <w:szCs w:val="24"/>
          <w:lang w:val="en-CA"/>
        </w:rPr>
        <w:t>is</w:t>
      </w:r>
      <w:r>
        <w:rPr>
          <w:sz w:val="24"/>
          <w:szCs w:val="24"/>
          <w:lang w:val="en-GB"/>
        </w:rPr>
        <w:t xml:space="preserve"> wavelength</w:t>
      </w:r>
      <w:r>
        <w:rPr>
          <w:sz w:val="24"/>
          <w:szCs w:val="24"/>
          <w:lang w:val="en-CA"/>
        </w:rPr>
        <w:t xml:space="preserve"> range</w:t>
      </w:r>
      <w:r>
        <w:rPr>
          <w:sz w:val="24"/>
          <w:szCs w:val="24"/>
          <w:lang w:val="en-GB"/>
        </w:rPr>
        <w:t xml:space="preserve"> w</w:t>
      </w:r>
      <w:r>
        <w:rPr>
          <w:sz w:val="24"/>
          <w:szCs w:val="24"/>
          <w:lang w:val="en-CA"/>
        </w:rPr>
        <w:t>as</w:t>
      </w:r>
      <w:r>
        <w:rPr>
          <w:sz w:val="24"/>
          <w:szCs w:val="24"/>
          <w:lang w:val="en-GB"/>
        </w:rPr>
        <w:t xml:space="preserve"> chosen as </w:t>
      </w:r>
      <w:r>
        <w:rPr>
          <w:sz w:val="24"/>
          <w:szCs w:val="24"/>
          <w:lang w:val="en-CA"/>
        </w:rPr>
        <w:t>it</w:t>
      </w:r>
      <w:r>
        <w:rPr>
          <w:sz w:val="24"/>
          <w:szCs w:val="24"/>
          <w:lang w:val="en-GB"/>
        </w:rPr>
        <w:t xml:space="preserve"> most clearly </w:t>
      </w:r>
      <w:r>
        <w:rPr>
          <w:sz w:val="24"/>
          <w:szCs w:val="24"/>
          <w:lang w:val="en-US"/>
        </w:rPr>
        <w:t xml:space="preserve">delineates </w:t>
      </w:r>
      <w:r>
        <w:rPr>
          <w:sz w:val="24"/>
          <w:szCs w:val="24"/>
          <w:lang w:val="en-GB"/>
        </w:rPr>
        <w:t>vessel structure</w:t>
      </w:r>
      <w:r>
        <w:rPr>
          <w:sz w:val="24"/>
          <w:szCs w:val="24"/>
          <w:lang w:val="en-US"/>
        </w:rPr>
        <w:t>, based on visual qualitative assessment</w:t>
      </w:r>
      <w:r>
        <w:rPr>
          <w:sz w:val="24"/>
          <w:szCs w:val="24"/>
          <w:lang w:val="en-GB"/>
        </w:rPr>
        <w:t xml:space="preserve">. The </w:t>
      </w:r>
      <w:proofErr w:type="spellStart"/>
      <w:r>
        <w:rPr>
          <w:sz w:val="24"/>
          <w:szCs w:val="24"/>
          <w:lang w:val="en-GB"/>
        </w:rPr>
        <w:t>DoG</w:t>
      </w:r>
      <w:proofErr w:type="spellEnd"/>
      <w:r>
        <w:rPr>
          <w:sz w:val="24"/>
          <w:szCs w:val="24"/>
          <w:lang w:val="en-GB"/>
        </w:rPr>
        <w:t xml:space="preserve"> </w:t>
      </w:r>
      <w:r>
        <w:rPr>
          <w:sz w:val="24"/>
          <w:szCs w:val="24"/>
          <w:lang w:val="en-CA"/>
        </w:rPr>
        <w:t xml:space="preserve">filter </w:t>
      </w:r>
      <w:r>
        <w:rPr>
          <w:sz w:val="24"/>
          <w:szCs w:val="24"/>
          <w:lang w:val="en-GB"/>
        </w:rPr>
        <w:t xml:space="preserve">was </w:t>
      </w:r>
      <w:r>
        <w:rPr>
          <w:sz w:val="24"/>
          <w:szCs w:val="24"/>
          <w:lang w:val="en-CA"/>
        </w:rPr>
        <w:t>obtained</w:t>
      </w:r>
      <w:r>
        <w:rPr>
          <w:sz w:val="24"/>
          <w:szCs w:val="24"/>
          <w:lang w:val="en-GB"/>
        </w:rPr>
        <w:t xml:space="preserve"> by applying two Gaussian filters (one with variance 1, the other with variance 10) and subtracting the resulting images. </w:t>
      </w:r>
      <w:r>
        <w:rPr>
          <w:sz w:val="24"/>
          <w:szCs w:val="24"/>
          <w:lang w:val="en-CA"/>
        </w:rPr>
        <w:t>Forty percent</w:t>
      </w:r>
      <w:r>
        <w:rPr>
          <w:sz w:val="24"/>
          <w:szCs w:val="24"/>
          <w:lang w:val="en-GB"/>
        </w:rPr>
        <w:t xml:space="preserve"> of the pixels of the resulting image with the highest intensity were assumed to correspond to vessels and were excluded from further analysis. The 40% cut-off </w:t>
      </w:r>
      <w:r>
        <w:rPr>
          <w:sz w:val="24"/>
          <w:szCs w:val="24"/>
          <w:lang w:val="en-CA"/>
        </w:rPr>
        <w:t xml:space="preserve">threshold </w:t>
      </w:r>
      <w:r>
        <w:rPr>
          <w:sz w:val="24"/>
          <w:szCs w:val="24"/>
          <w:lang w:val="en-GB"/>
        </w:rPr>
        <w:t xml:space="preserve">was chosen based on </w:t>
      </w:r>
      <w:r>
        <w:rPr>
          <w:sz w:val="24"/>
          <w:szCs w:val="24"/>
          <w:lang w:val="en-CA"/>
        </w:rPr>
        <w:t xml:space="preserve">empirical </w:t>
      </w:r>
      <w:r>
        <w:rPr>
          <w:sz w:val="24"/>
          <w:szCs w:val="24"/>
          <w:lang w:val="en-GB"/>
        </w:rPr>
        <w:t xml:space="preserve">visual inspection of </w:t>
      </w:r>
      <w:r>
        <w:rPr>
          <w:sz w:val="24"/>
          <w:szCs w:val="24"/>
          <w:lang w:val="en-CA"/>
        </w:rPr>
        <w:t xml:space="preserve">the results of </w:t>
      </w:r>
      <w:r>
        <w:rPr>
          <w:sz w:val="24"/>
          <w:szCs w:val="24"/>
          <w:lang w:val="en-GB"/>
        </w:rPr>
        <w:t xml:space="preserve">vessel removal, </w:t>
      </w:r>
      <w:r>
        <w:rPr>
          <w:sz w:val="24"/>
          <w:szCs w:val="24"/>
          <w:lang w:val="en-CA"/>
        </w:rPr>
        <w:t xml:space="preserve">while </w:t>
      </w:r>
      <w:r>
        <w:rPr>
          <w:sz w:val="24"/>
          <w:szCs w:val="24"/>
          <w:lang w:val="en-GB"/>
        </w:rPr>
        <w:t xml:space="preserve">giving preference to </w:t>
      </w:r>
      <w:r>
        <w:rPr>
          <w:sz w:val="24"/>
          <w:szCs w:val="24"/>
          <w:lang w:val="en-CA"/>
        </w:rPr>
        <w:t>removing background</w:t>
      </w:r>
      <w:r>
        <w:rPr>
          <w:sz w:val="24"/>
          <w:szCs w:val="24"/>
          <w:lang w:val="en-GB"/>
        </w:rPr>
        <w:t xml:space="preserve"> pixels over retaining vessel pixels.</w:t>
      </w:r>
    </w:p>
    <w:p w14:paraId="7DAA8E2F" w14:textId="77777777" w:rsidR="00C944C9" w:rsidRDefault="00C944C9" w:rsidP="00C944C9">
      <w:pPr>
        <w:pStyle w:val="Lijstalinea1"/>
        <w:spacing w:before="0" w:after="0" w:line="480" w:lineRule="auto"/>
        <w:ind w:left="0" w:firstLine="0"/>
      </w:pPr>
      <w:r>
        <w:rPr>
          <w:b/>
        </w:rPr>
        <w:t>3.</w:t>
      </w:r>
      <w:r>
        <w:rPr>
          <w:b/>
          <w:sz w:val="28"/>
          <w:szCs w:val="28"/>
        </w:rPr>
        <w:t xml:space="preserve">  </w:t>
      </w:r>
      <w:r>
        <w:rPr>
          <w:b/>
        </w:rPr>
        <w:t>Standardization</w:t>
      </w:r>
    </w:p>
    <w:p w14:paraId="131D8C99" w14:textId="77777777" w:rsidR="00C944C9" w:rsidRDefault="00C944C9" w:rsidP="00C944C9">
      <w:pPr>
        <w:spacing w:line="480" w:lineRule="auto"/>
        <w:rPr>
          <w:lang w:val="en-GB"/>
        </w:rPr>
      </w:pPr>
      <w:r>
        <w:rPr>
          <w:sz w:val="24"/>
          <w:szCs w:val="24"/>
          <w:lang w:val="en-US"/>
        </w:rPr>
        <w:t xml:space="preserve">The </w:t>
      </w:r>
      <w:r>
        <w:rPr>
          <w:sz w:val="24"/>
          <w:szCs w:val="24"/>
          <w:lang w:val="en-GB"/>
        </w:rPr>
        <w:t xml:space="preserve">relative reflectance values </w:t>
      </w:r>
      <w:r>
        <w:rPr>
          <w:sz w:val="24"/>
          <w:szCs w:val="24"/>
          <w:lang w:val="en-US"/>
        </w:rPr>
        <w:t>of the spectrum were averaged in the four</w:t>
      </w:r>
      <w:r>
        <w:rPr>
          <w:sz w:val="24"/>
          <w:szCs w:val="24"/>
          <w:lang w:val="en-GB"/>
        </w:rPr>
        <w:t xml:space="preserve"> individual ROIs</w:t>
      </w:r>
      <w:r>
        <w:rPr>
          <w:sz w:val="24"/>
          <w:szCs w:val="24"/>
          <w:lang w:val="en-US"/>
        </w:rPr>
        <w:t>, resulting in a 14x1 vector for each RO</w:t>
      </w:r>
      <w:bookmarkStart w:id="0" w:name="__DdeLink__3541_1392580582"/>
      <w:bookmarkEnd w:id="0"/>
      <w:r>
        <w:rPr>
          <w:sz w:val="24"/>
          <w:szCs w:val="24"/>
          <w:lang w:val="en-US"/>
        </w:rPr>
        <w:t>I</w:t>
      </w:r>
      <w:r>
        <w:rPr>
          <w:sz w:val="24"/>
          <w:szCs w:val="24"/>
          <w:lang w:val="en-GB"/>
        </w:rPr>
        <w:t xml:space="preserve">. These spectra were </w:t>
      </w:r>
      <w:r>
        <w:rPr>
          <w:sz w:val="24"/>
          <w:szCs w:val="24"/>
          <w:lang w:val="en-US"/>
        </w:rPr>
        <w:t>standard</w:t>
      </w:r>
      <w:proofErr w:type="spellStart"/>
      <w:r>
        <w:rPr>
          <w:sz w:val="24"/>
          <w:szCs w:val="24"/>
          <w:lang w:val="en-GB"/>
        </w:rPr>
        <w:t>ized</w:t>
      </w:r>
      <w:proofErr w:type="spellEnd"/>
      <w:r>
        <w:rPr>
          <w:sz w:val="24"/>
          <w:szCs w:val="24"/>
          <w:lang w:val="en-GB"/>
        </w:rPr>
        <w:t xml:space="preserve"> by subtracting the mean spectrum of the entire image, and dividing by the standard deviation of the spectrum of the entire image. This standardization </w:t>
      </w:r>
      <w:r>
        <w:rPr>
          <w:sz w:val="24"/>
          <w:szCs w:val="24"/>
          <w:lang w:val="en-US"/>
        </w:rPr>
        <w:t>procedure reduces</w:t>
      </w:r>
      <w:r>
        <w:rPr>
          <w:sz w:val="24"/>
          <w:szCs w:val="24"/>
          <w:lang w:val="en-GB"/>
        </w:rPr>
        <w:t xml:space="preserve"> inter-subject variability</w:t>
      </w:r>
      <w:r>
        <w:rPr>
          <w:sz w:val="24"/>
          <w:szCs w:val="24"/>
          <w:lang w:val="en-CA"/>
        </w:rPr>
        <w:t xml:space="preserve"> related to differences in illumination, before performing statistical or machine-learning analysis</w:t>
      </w:r>
      <w:r>
        <w:rPr>
          <w:sz w:val="24"/>
          <w:szCs w:val="24"/>
          <w:lang w:val="en-GB"/>
        </w:rPr>
        <w:t xml:space="preserve">. The resulting standardized </w:t>
      </w:r>
      <w:r>
        <w:rPr>
          <w:sz w:val="24"/>
          <w:szCs w:val="24"/>
          <w:lang w:val="en-US"/>
        </w:rPr>
        <w:t xml:space="preserve">mean </w:t>
      </w:r>
      <w:r>
        <w:rPr>
          <w:sz w:val="24"/>
          <w:szCs w:val="24"/>
          <w:lang w:val="en-GB"/>
        </w:rPr>
        <w:t>spectra were used as input features to the classification model.</w:t>
      </w:r>
    </w:p>
    <w:p w14:paraId="6FA7963B" w14:textId="77777777" w:rsidR="00C944C9" w:rsidRDefault="00C944C9" w:rsidP="00C944C9">
      <w:pPr>
        <w:spacing w:line="480" w:lineRule="auto"/>
        <w:jc w:val="left"/>
        <w:rPr>
          <w:lang w:val="en-GB"/>
        </w:rPr>
      </w:pPr>
      <w:r>
        <w:rPr>
          <w:b/>
          <w:bCs/>
          <w:sz w:val="24"/>
          <w:szCs w:val="24"/>
          <w:lang w:val="en-GB"/>
        </w:rPr>
        <w:t>4. Nested leave-one-out cross-validation</w:t>
      </w:r>
    </w:p>
    <w:p w14:paraId="0B3B4EAC" w14:textId="3D4FCFE9" w:rsidR="00C944C9" w:rsidRDefault="00C944C9" w:rsidP="00C944C9">
      <w:pPr>
        <w:spacing w:line="480" w:lineRule="auto"/>
        <w:rPr>
          <w:sz w:val="24"/>
          <w:szCs w:val="24"/>
          <w:lang w:val="en-US"/>
        </w:rPr>
      </w:pPr>
      <w:bookmarkStart w:id="1" w:name="_Hlk43924283"/>
      <w:r>
        <w:rPr>
          <w:sz w:val="24"/>
          <w:szCs w:val="24"/>
          <w:lang w:val="en-CA"/>
        </w:rPr>
        <w:t xml:space="preserve">A </w:t>
      </w:r>
      <w:r>
        <w:rPr>
          <w:sz w:val="24"/>
          <w:szCs w:val="24"/>
          <w:lang w:val="en-US"/>
        </w:rPr>
        <w:t>n</w:t>
      </w:r>
      <w:proofErr w:type="spellStart"/>
      <w:r>
        <w:rPr>
          <w:sz w:val="24"/>
          <w:szCs w:val="24"/>
          <w:lang w:val="en-GB"/>
        </w:rPr>
        <w:t>ested</w:t>
      </w:r>
      <w:proofErr w:type="spellEnd"/>
      <w:r>
        <w:rPr>
          <w:sz w:val="24"/>
          <w:szCs w:val="24"/>
          <w:lang w:val="en-GB"/>
        </w:rPr>
        <w:t xml:space="preserve"> leave-one-out cross-validation (LOOCV) </w:t>
      </w:r>
      <w:r>
        <w:rPr>
          <w:sz w:val="24"/>
          <w:szCs w:val="24"/>
          <w:lang w:val="en-CA"/>
        </w:rPr>
        <w:t xml:space="preserve">method </w:t>
      </w:r>
      <w:r>
        <w:rPr>
          <w:sz w:val="24"/>
          <w:szCs w:val="24"/>
          <w:lang w:val="en-US"/>
        </w:rPr>
        <w:t>was</w:t>
      </w:r>
      <w:r>
        <w:rPr>
          <w:sz w:val="24"/>
          <w:szCs w:val="24"/>
          <w:lang w:val="en-GB"/>
        </w:rPr>
        <w:t xml:space="preserve"> </w:t>
      </w:r>
      <w:r>
        <w:rPr>
          <w:sz w:val="24"/>
          <w:szCs w:val="24"/>
          <w:lang w:val="en-CA"/>
        </w:rPr>
        <w:t>used</w:t>
      </w:r>
      <w:r>
        <w:rPr>
          <w:sz w:val="24"/>
          <w:szCs w:val="24"/>
          <w:lang w:val="en-GB"/>
        </w:rPr>
        <w:t xml:space="preserve"> </w:t>
      </w:r>
      <w:r>
        <w:rPr>
          <w:sz w:val="24"/>
          <w:szCs w:val="24"/>
          <w:lang w:val="en-US"/>
        </w:rPr>
        <w:t xml:space="preserve">to compare the performance of the four different configurations (2 ROIs that were selected as their SEM does not overlap for at least one wavelength, each input with/without RNFL) and evaluate the resulting classifier (Figure </w:t>
      </w:r>
      <w:r w:rsidR="009042DD">
        <w:rPr>
          <w:sz w:val="24"/>
          <w:szCs w:val="24"/>
          <w:lang w:val="en-US"/>
        </w:rPr>
        <w:t>A2</w:t>
      </w:r>
      <w:r>
        <w:rPr>
          <w:sz w:val="24"/>
          <w:szCs w:val="24"/>
          <w:lang w:val="en-US"/>
        </w:rPr>
        <w:t xml:space="preserve">). </w:t>
      </w:r>
      <w:bookmarkEnd w:id="1"/>
      <w:r>
        <w:rPr>
          <w:sz w:val="24"/>
          <w:szCs w:val="24"/>
          <w:lang w:val="en-US"/>
        </w:rPr>
        <w:t xml:space="preserve">The outer CV procedure was used for model evaluation, whereas the inner CV procedure was used for model selection. In each outer CV iteration, the dataset was split into an outer training dataset consisting of all samples except one and outer test dataset consisting of the remaining sample. An inner CV procedure was then performed on </w:t>
      </w:r>
      <w:r>
        <w:rPr>
          <w:sz w:val="24"/>
          <w:szCs w:val="24"/>
          <w:lang w:val="en-US"/>
        </w:rPr>
        <w:lastRenderedPageBreak/>
        <w:t xml:space="preserve">the outer training set to compare the 4 model configurations. The best configuration in this inner CV was selected as the one with the highest AUC computed over the inner CV test set predictions. A model was trained with this configuration on the entire outer training data, and then used to make predictions for the outer test data. This was repeated for all outer CV iterations, and the resulting predictions were used to construct an ROC curve and AUC computation. The 95%-confidence interval for the AUC was computed via the Modified-Wald estimate with continuity correction. Figure A1 illustrates the nested CV procedure with 3-fold CV for illustration purpose. LOOCV was applied in this study on both the outer and inner CV levels. </w:t>
      </w:r>
    </w:p>
    <w:p w14:paraId="39E7EA4C" w14:textId="52105290" w:rsidR="00EF49AE" w:rsidRDefault="00EF49AE" w:rsidP="00C944C9">
      <w:pPr>
        <w:spacing w:line="480" w:lineRule="auto"/>
        <w:rPr>
          <w:sz w:val="24"/>
          <w:szCs w:val="24"/>
          <w:lang w:val="en-US"/>
        </w:rPr>
      </w:pPr>
    </w:p>
    <w:p w14:paraId="573C47A9" w14:textId="1F2A86F8" w:rsidR="00EF49AE" w:rsidRPr="00BD156E" w:rsidRDefault="007D53FD" w:rsidP="00C944C9">
      <w:pPr>
        <w:spacing w:line="480" w:lineRule="auto"/>
      </w:pPr>
      <w:r>
        <w:rPr>
          <w:rFonts w:eastAsiaTheme="minorHAnsi"/>
        </w:rPr>
        <w:t xml:space="preserve">Figure A2. </w:t>
      </w:r>
      <w:bookmarkStart w:id="2" w:name="_GoBack"/>
      <w:bookmarkEnd w:id="2"/>
      <w:r w:rsidR="00BD156E" w:rsidRPr="00BD156E">
        <w:rPr>
          <w:rFonts w:eastAsiaTheme="minorHAnsi"/>
        </w:rPr>
        <w:t>Illustration of nested cross-validation (CV)</w:t>
      </w:r>
      <w:r w:rsidR="00BD156E">
        <w:rPr>
          <w:rFonts w:eastAsiaTheme="minorHAnsi"/>
        </w:rPr>
        <w:t>.</w:t>
      </w:r>
    </w:p>
    <w:p w14:paraId="60463827" w14:textId="1C027F0E" w:rsidR="00BD156E" w:rsidRDefault="00E15141" w:rsidP="00E15141">
      <w:pPr>
        <w:spacing w:line="480" w:lineRule="auto"/>
        <w:jc w:val="center"/>
        <w:rPr>
          <w:sz w:val="24"/>
          <w:szCs w:val="24"/>
          <w:lang w:val="en-US"/>
        </w:rPr>
      </w:pPr>
      <w:r>
        <w:rPr>
          <w:noProof/>
          <w:sz w:val="24"/>
          <w:szCs w:val="24"/>
          <w:lang w:val="en-PH" w:eastAsia="en-PH"/>
        </w:rPr>
        <w:drawing>
          <wp:inline distT="0" distB="0" distL="0" distR="0" wp14:anchorId="75BC83F4" wp14:editId="7640D5E5">
            <wp:extent cx="6337150" cy="1312223"/>
            <wp:effectExtent l="0" t="0" r="6985"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amp;T_figure A2.jpg"/>
                    <pic:cNvPicPr/>
                  </pic:nvPicPr>
                  <pic:blipFill>
                    <a:blip r:embed="rId7">
                      <a:extLst>
                        <a:ext uri="{28A0092B-C50C-407E-A947-70E740481C1C}">
                          <a14:useLocalDpi xmlns:a14="http://schemas.microsoft.com/office/drawing/2010/main" val="0"/>
                        </a:ext>
                      </a:extLst>
                    </a:blip>
                    <a:stretch>
                      <a:fillRect/>
                    </a:stretch>
                  </pic:blipFill>
                  <pic:spPr>
                    <a:xfrm>
                      <a:off x="0" y="0"/>
                      <a:ext cx="6495450" cy="1345002"/>
                    </a:xfrm>
                    <a:prstGeom prst="rect">
                      <a:avLst/>
                    </a:prstGeom>
                  </pic:spPr>
                </pic:pic>
              </a:graphicData>
            </a:graphic>
          </wp:inline>
        </w:drawing>
      </w:r>
    </w:p>
    <w:p w14:paraId="45D88631" w14:textId="77777777" w:rsidR="00E15141" w:rsidRDefault="00E15141" w:rsidP="00C944C9">
      <w:pPr>
        <w:spacing w:line="480" w:lineRule="auto"/>
        <w:rPr>
          <w:sz w:val="24"/>
          <w:szCs w:val="24"/>
          <w:lang w:val="en-US"/>
        </w:rPr>
      </w:pPr>
    </w:p>
    <w:p w14:paraId="7D45CC0F" w14:textId="77777777" w:rsidR="00BE7CFE" w:rsidRPr="00BE7CFE" w:rsidRDefault="00BE7CFE" w:rsidP="00C944C9">
      <w:pPr>
        <w:spacing w:line="480" w:lineRule="auto"/>
        <w:rPr>
          <w:b/>
          <w:lang w:val="en-GB"/>
        </w:rPr>
      </w:pPr>
      <w:r w:rsidRPr="00BE7CFE">
        <w:rPr>
          <w:b/>
          <w:sz w:val="24"/>
          <w:szCs w:val="24"/>
          <w:lang w:val="en-US"/>
        </w:rPr>
        <w:t>References:</w:t>
      </w:r>
    </w:p>
    <w:p w14:paraId="79B268C3" w14:textId="77777777" w:rsidR="00492DC6" w:rsidRPr="00BE7CFE" w:rsidRDefault="00BE7CFE" w:rsidP="00BE7CFE">
      <w:pPr>
        <w:pStyle w:val="ListParagraph"/>
        <w:numPr>
          <w:ilvl w:val="0"/>
          <w:numId w:val="1"/>
        </w:numPr>
        <w:rPr>
          <w:lang w:val="en-GB"/>
        </w:rPr>
      </w:pPr>
      <w:r w:rsidRPr="00BE7CFE">
        <w:rPr>
          <w:rFonts w:cs="Times New Roman"/>
          <w:noProof/>
          <w:szCs w:val="24"/>
          <w:lang w:val="en-US"/>
        </w:rPr>
        <w:t xml:space="preserve">Pichette J, Goossens T, Vunckx K, Lambrechts A. Hyperspectral calibration method For CMOS-based hyperspectral sensors. In: </w:t>
      </w:r>
      <w:r w:rsidRPr="00BE7CFE">
        <w:rPr>
          <w:rFonts w:cs="Times New Roman"/>
          <w:i/>
          <w:iCs/>
          <w:noProof/>
          <w:szCs w:val="24"/>
          <w:lang w:val="en-US"/>
        </w:rPr>
        <w:t>Photonic Instrumentation Engineering IV</w:t>
      </w:r>
      <w:r w:rsidRPr="00BE7CFE">
        <w:rPr>
          <w:rFonts w:cs="Times New Roman"/>
          <w:noProof/>
          <w:szCs w:val="24"/>
          <w:lang w:val="en-US"/>
        </w:rPr>
        <w:t>. ; 2017. doi:10.1117/12.2253617</w:t>
      </w:r>
    </w:p>
    <w:sectPr w:rsidR="00492DC6" w:rsidRPr="00BE7CFE">
      <w:footerReference w:type="default" r:id="rId8"/>
      <w:pgSz w:w="11906" w:h="16838"/>
      <w:pgMar w:top="1440" w:right="1440" w:bottom="1440" w:left="1440" w:header="0" w:footer="708" w:gutter="0"/>
      <w:cols w:space="708"/>
      <w:formProt w:val="0"/>
      <w:docGrid w:linePitch="360" w:charSpace="-225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04FEF9" w14:textId="77777777" w:rsidR="00FD6390" w:rsidRDefault="00FD6390">
      <w:r>
        <w:separator/>
      </w:r>
    </w:p>
  </w:endnote>
  <w:endnote w:type="continuationSeparator" w:id="0">
    <w:p w14:paraId="1B039FF7" w14:textId="77777777" w:rsidR="00FD6390" w:rsidRDefault="00FD63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ont571">
    <w:altName w:val="Times New Roman"/>
    <w:charset w:val="01"/>
    <w:family w:val="auto"/>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233D9E" w14:textId="47FE0772" w:rsidR="008F05D4" w:rsidRDefault="00C944C9">
    <w:pPr>
      <w:pStyle w:val="Footer"/>
      <w:jc w:val="right"/>
    </w:pPr>
    <w:r>
      <w:fldChar w:fldCharType="begin"/>
    </w:r>
    <w:r>
      <w:instrText>PAGE</w:instrText>
    </w:r>
    <w:r>
      <w:fldChar w:fldCharType="separate"/>
    </w:r>
    <w:r w:rsidR="007D53FD">
      <w:rPr>
        <w:noProof/>
      </w:rPr>
      <w:t>3</w:t>
    </w:r>
    <w:r>
      <w:fldChar w:fldCharType="end"/>
    </w:r>
  </w:p>
  <w:p w14:paraId="10FF956B" w14:textId="77777777" w:rsidR="008F05D4" w:rsidRDefault="00FD63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D68D93" w14:textId="77777777" w:rsidR="00FD6390" w:rsidRDefault="00FD6390">
      <w:r>
        <w:separator/>
      </w:r>
    </w:p>
  </w:footnote>
  <w:footnote w:type="continuationSeparator" w:id="0">
    <w:p w14:paraId="7CF2427F" w14:textId="77777777" w:rsidR="00FD6390" w:rsidRDefault="00FD63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493D5D"/>
    <w:multiLevelType w:val="hybridMultilevel"/>
    <w:tmpl w:val="945062BA"/>
    <w:lvl w:ilvl="0" w:tplc="0813000F">
      <w:start w:val="1"/>
      <w:numFmt w:val="decimal"/>
      <w:lvlText w:val="%1."/>
      <w:lvlJc w:val="left"/>
      <w:pPr>
        <w:ind w:left="720" w:hanging="360"/>
      </w:pPr>
      <w:rPr>
        <w:rFonts w:cs="Times New Roman"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4C9"/>
    <w:rsid w:val="00136BBD"/>
    <w:rsid w:val="001820B7"/>
    <w:rsid w:val="00492DC6"/>
    <w:rsid w:val="004E760C"/>
    <w:rsid w:val="00713799"/>
    <w:rsid w:val="007A10D5"/>
    <w:rsid w:val="007D53FD"/>
    <w:rsid w:val="009042DD"/>
    <w:rsid w:val="00BD156E"/>
    <w:rsid w:val="00BE7CFE"/>
    <w:rsid w:val="00C270AB"/>
    <w:rsid w:val="00C453CA"/>
    <w:rsid w:val="00C944C9"/>
    <w:rsid w:val="00D378A5"/>
    <w:rsid w:val="00E15141"/>
    <w:rsid w:val="00E60F61"/>
    <w:rsid w:val="00EF49AE"/>
    <w:rsid w:val="00FD639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7DB6F"/>
  <w15:chartTrackingRefBased/>
  <w15:docId w15:val="{44E97516-5458-4DD3-A754-9728FA153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44C9"/>
    <w:pPr>
      <w:suppressAutoHyphens/>
      <w:spacing w:after="0" w:line="240" w:lineRule="auto"/>
      <w:jc w:val="both"/>
    </w:pPr>
    <w:rPr>
      <w:rFonts w:ascii="Times New Roman" w:eastAsia="Times New Roman" w:hAnsi="Times New Roman" w:cs="Calibri"/>
      <w:color w:val="00000A"/>
      <w:kern w:val="2"/>
      <w:szCs w:val="20"/>
      <w:lang w:val="nl-N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jstalinea1">
    <w:name w:val="Lijstalinea1"/>
    <w:basedOn w:val="Normal"/>
    <w:qFormat/>
    <w:rsid w:val="00C944C9"/>
    <w:pPr>
      <w:spacing w:before="120" w:after="240"/>
      <w:ind w:left="1434" w:hanging="357"/>
      <w:contextualSpacing/>
      <w:jc w:val="left"/>
    </w:pPr>
    <w:rPr>
      <w:rFonts w:eastAsia="Cambria" w:cs="Times New Roman"/>
      <w:sz w:val="24"/>
      <w:szCs w:val="24"/>
      <w:lang w:val="en-US"/>
    </w:rPr>
  </w:style>
  <w:style w:type="paragraph" w:styleId="Footer">
    <w:name w:val="footer"/>
    <w:basedOn w:val="Normal"/>
    <w:link w:val="FooterChar"/>
    <w:rsid w:val="00C944C9"/>
    <w:pPr>
      <w:tabs>
        <w:tab w:val="center" w:pos="4844"/>
        <w:tab w:val="right" w:pos="9689"/>
      </w:tabs>
      <w:spacing w:before="120"/>
      <w:jc w:val="left"/>
    </w:pPr>
    <w:rPr>
      <w:rFonts w:eastAsia="Calibri" w:cs="font571"/>
      <w:sz w:val="24"/>
      <w:szCs w:val="22"/>
      <w:lang w:val="en-US"/>
    </w:rPr>
  </w:style>
  <w:style w:type="character" w:customStyle="1" w:styleId="FooterChar">
    <w:name w:val="Footer Char"/>
    <w:basedOn w:val="DefaultParagraphFont"/>
    <w:link w:val="Footer"/>
    <w:rsid w:val="00C944C9"/>
    <w:rPr>
      <w:rFonts w:ascii="Times New Roman" w:eastAsia="Calibri" w:hAnsi="Times New Roman" w:cs="font571"/>
      <w:color w:val="00000A"/>
      <w:kern w:val="2"/>
      <w:sz w:val="24"/>
      <w:lang w:val="en-US"/>
    </w:rPr>
  </w:style>
  <w:style w:type="paragraph" w:styleId="ListParagraph">
    <w:name w:val="List Paragraph"/>
    <w:basedOn w:val="Normal"/>
    <w:uiPriority w:val="34"/>
    <w:qFormat/>
    <w:rsid w:val="00BE7C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731</Words>
  <Characters>4172</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UZ Leuven</Company>
  <LinksUpToDate>false</LinksUpToDate>
  <CharactersWithSpaces>4894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Lemmens</dc:creator>
  <cp:keywords/>
  <dc:description/>
  <cp:lastModifiedBy>Somoza, Jesun</cp:lastModifiedBy>
  <cp:revision>10</cp:revision>
  <dcterms:created xsi:type="dcterms:W3CDTF">2020-09-04T07:42:00Z</dcterms:created>
  <dcterms:modified xsi:type="dcterms:W3CDTF">2020-11-03T17:09:00Z</dcterms:modified>
</cp:coreProperties>
</file>