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6272" w:rsidRPr="00925572" w:rsidRDefault="00A24E23">
      <w:pPr>
        <w:rPr>
          <w:b/>
          <w:sz w:val="24"/>
          <w:lang w:val="en-US"/>
        </w:rPr>
      </w:pPr>
      <w:r w:rsidRPr="00925572">
        <w:rPr>
          <w:b/>
          <w:sz w:val="24"/>
          <w:lang w:val="en-US"/>
        </w:rPr>
        <w:t xml:space="preserve">Additional File 1: </w:t>
      </w:r>
    </w:p>
    <w:p w:rsidR="00A24E23" w:rsidRDefault="00A24E23">
      <w:pPr>
        <w:rPr>
          <w:rFonts w:ascii="Arial" w:hAnsi="Arial" w:cs="Arial"/>
          <w:b/>
          <w:sz w:val="24"/>
          <w:szCs w:val="24"/>
          <w:lang w:val="en-US"/>
        </w:rPr>
      </w:pPr>
    </w:p>
    <w:p w:rsidR="00A24E23" w:rsidRDefault="00A24E23">
      <w:pPr>
        <w:rPr>
          <w:rFonts w:ascii="Arial" w:hAnsi="Arial" w:cs="Arial"/>
          <w:b/>
          <w:sz w:val="24"/>
          <w:szCs w:val="24"/>
          <w:lang w:val="en-US"/>
        </w:rPr>
      </w:pPr>
      <w:r>
        <w:rPr>
          <w:rFonts w:ascii="Arial" w:hAnsi="Arial" w:cs="Arial"/>
          <w:b/>
          <w:sz w:val="24"/>
          <w:szCs w:val="24"/>
          <w:lang w:val="en-US"/>
        </w:rPr>
        <w:t xml:space="preserve">Second End Point: Biomarker-Supported Clinical Diagnosis </w:t>
      </w:r>
    </w:p>
    <w:p w:rsidR="00EE1420" w:rsidRDefault="00EE1420">
      <w:pPr>
        <w:rPr>
          <w:rFonts w:ascii="Arial" w:hAnsi="Arial" w:cs="Arial"/>
          <w:b/>
          <w:sz w:val="24"/>
          <w:szCs w:val="24"/>
          <w:lang w:val="en-US"/>
        </w:rPr>
      </w:pPr>
    </w:p>
    <w:p w:rsidR="00A24E23" w:rsidRPr="00EE1420" w:rsidRDefault="008D27B8">
      <w:pPr>
        <w:rPr>
          <w:rFonts w:cstheme="minorHAnsi"/>
          <w:b/>
          <w:lang w:val="en-US"/>
        </w:rPr>
      </w:pPr>
      <w:r w:rsidRPr="00EE1420">
        <w:rPr>
          <w:rFonts w:cstheme="minorHAnsi"/>
          <w:b/>
          <w:lang w:val="en-US"/>
        </w:rPr>
        <w:t>Classification of the study participants</w:t>
      </w:r>
    </w:p>
    <w:p w:rsidR="00A24E23" w:rsidRPr="00A24E23" w:rsidRDefault="001275E2" w:rsidP="00932AAD">
      <w:pPr>
        <w:pStyle w:val="MDPI41tablecaption"/>
        <w:spacing w:line="360" w:lineRule="auto"/>
        <w:ind w:left="0"/>
        <w:jc w:val="both"/>
        <w:rPr>
          <w:rFonts w:asciiTheme="minorHAnsi" w:hAnsiTheme="minorHAnsi" w:cstheme="minorHAnsi"/>
          <w:sz w:val="22"/>
        </w:rPr>
      </w:pPr>
      <w:r>
        <w:rPr>
          <w:rFonts w:asciiTheme="minorHAnsi" w:hAnsiTheme="minorHAnsi" w:cstheme="minorHAnsi"/>
          <w:sz w:val="22"/>
        </w:rPr>
        <w:t>For additional post hoc analyses with a second endpoint, t</w:t>
      </w:r>
      <w:r w:rsidR="00A24E23" w:rsidRPr="00A24E23">
        <w:rPr>
          <w:rFonts w:asciiTheme="minorHAnsi" w:hAnsiTheme="minorHAnsi" w:cstheme="minorHAnsi"/>
          <w:sz w:val="22"/>
        </w:rPr>
        <w:t>he s</w:t>
      </w:r>
      <w:r w:rsidR="00A24E23">
        <w:rPr>
          <w:rFonts w:asciiTheme="minorHAnsi" w:hAnsiTheme="minorHAnsi" w:cstheme="minorHAnsi"/>
          <w:sz w:val="22"/>
        </w:rPr>
        <w:t>tudy participants</w:t>
      </w:r>
      <w:r w:rsidR="00A24E23" w:rsidRPr="00A24E23">
        <w:rPr>
          <w:rFonts w:asciiTheme="minorHAnsi" w:hAnsiTheme="minorHAnsi" w:cstheme="minorHAnsi"/>
          <w:sz w:val="22"/>
        </w:rPr>
        <w:t xml:space="preserve"> were classified into the diagnostic groups (</w:t>
      </w:r>
      <w:proofErr w:type="spellStart"/>
      <w:r w:rsidR="00A24E23" w:rsidRPr="00A24E23">
        <w:rPr>
          <w:rFonts w:asciiTheme="minorHAnsi" w:hAnsiTheme="minorHAnsi" w:cstheme="minorHAnsi"/>
          <w:sz w:val="22"/>
        </w:rPr>
        <w:t>i</w:t>
      </w:r>
      <w:proofErr w:type="spellEnd"/>
      <w:r w:rsidR="00A24E23" w:rsidRPr="00A24E23">
        <w:rPr>
          <w:rFonts w:asciiTheme="minorHAnsi" w:hAnsiTheme="minorHAnsi" w:cstheme="minorHAnsi"/>
          <w:sz w:val="22"/>
        </w:rPr>
        <w:t xml:space="preserve">) probable or possible Alzheimer’s disease and (ii) improbable Alzheimer’s disease by biomarker supported clinical diagnosis. A multi-professional team consisting of three colleagues with expert experience related to the clinical differential diagnosis of neurodegenerative dementias (neuropsychologist, neurologist and psychiatrist), one physician from the UMG department of nuclear medicine with a clinical focus in Neuro-PET (FDG-PET, Amyloid-PET, DAT-Scan), and one </w:t>
      </w:r>
      <w:proofErr w:type="spellStart"/>
      <w:r w:rsidR="00A24E23" w:rsidRPr="00A24E23">
        <w:rPr>
          <w:rFonts w:asciiTheme="minorHAnsi" w:hAnsiTheme="minorHAnsi" w:cstheme="minorHAnsi"/>
          <w:sz w:val="22"/>
        </w:rPr>
        <w:t>neuroradiologist</w:t>
      </w:r>
      <w:proofErr w:type="spellEnd"/>
      <w:r w:rsidR="00A24E23" w:rsidRPr="00A24E23">
        <w:rPr>
          <w:rFonts w:asciiTheme="minorHAnsi" w:hAnsiTheme="minorHAnsi" w:cstheme="minorHAnsi"/>
          <w:sz w:val="22"/>
        </w:rPr>
        <w:t xml:space="preserve"> reviewed the clinical diagnostic data. The latter data comprised multi-domain psychometric testing (n=77), MRI or </w:t>
      </w:r>
      <w:proofErr w:type="spellStart"/>
      <w:r w:rsidR="00A24E23" w:rsidRPr="00A24E23">
        <w:rPr>
          <w:rFonts w:asciiTheme="minorHAnsi" w:hAnsiTheme="minorHAnsi" w:cstheme="minorHAnsi"/>
          <w:sz w:val="22"/>
        </w:rPr>
        <w:t>cCT</w:t>
      </w:r>
      <w:proofErr w:type="spellEnd"/>
      <w:r w:rsidR="00A24E23" w:rsidRPr="00A24E23">
        <w:rPr>
          <w:rFonts w:asciiTheme="minorHAnsi" w:hAnsiTheme="minorHAnsi" w:cstheme="minorHAnsi"/>
          <w:sz w:val="22"/>
        </w:rPr>
        <w:t xml:space="preserve"> (n=80), CSF biomarkers (n = 80) (Ratio Aβ42/Aβ40, phospho-Tau181, total-Tau), nuclear-medical examination (FDG-PET: n = 36; </w:t>
      </w:r>
      <w:proofErr w:type="spellStart"/>
      <w:r w:rsidR="00A24E23" w:rsidRPr="00A24E23">
        <w:rPr>
          <w:rFonts w:asciiTheme="minorHAnsi" w:hAnsiTheme="minorHAnsi" w:cstheme="minorHAnsi"/>
          <w:sz w:val="22"/>
        </w:rPr>
        <w:t>Florbetaben</w:t>
      </w:r>
      <w:proofErr w:type="spellEnd"/>
      <w:r w:rsidR="00A24E23" w:rsidRPr="00A24E23">
        <w:rPr>
          <w:rFonts w:asciiTheme="minorHAnsi" w:hAnsiTheme="minorHAnsi" w:cstheme="minorHAnsi"/>
          <w:sz w:val="22"/>
        </w:rPr>
        <w:t xml:space="preserve">-Amyloid-PET: n = 16; DAT-Scan: n = 21) and clinical course. In three cases the dichotomized classification according to the CSF ratio Aβ42/Aβ40 had to be modified. In one case the CSF ratio Aβ42/Aβ40 was clearly decreased (0.028; cut-off ≤ 0.05), however, a normal amyloid-PET ruled out an Alzheimer disease associated dementia. Interestingly, the clinical course as well as the FDG-PET indicated that </w:t>
      </w:r>
      <w:proofErr w:type="spellStart"/>
      <w:r w:rsidR="00A24E23" w:rsidRPr="00A24E23">
        <w:rPr>
          <w:rFonts w:asciiTheme="minorHAnsi" w:hAnsiTheme="minorHAnsi" w:cstheme="minorHAnsi"/>
          <w:sz w:val="22"/>
        </w:rPr>
        <w:t>corticobasal</w:t>
      </w:r>
      <w:proofErr w:type="spellEnd"/>
      <w:r w:rsidR="00A24E23" w:rsidRPr="00A24E23">
        <w:rPr>
          <w:rFonts w:asciiTheme="minorHAnsi" w:hAnsiTheme="minorHAnsi" w:cstheme="minorHAnsi"/>
          <w:sz w:val="22"/>
        </w:rPr>
        <w:t xml:space="preserve"> degeneration was the more likely diagnosis. Therefore, this patient was re-classified as improbable AD. The second presented with a CSF ratio Aβ42/Aβ40 of 0.059 (cut-off ≤ 0.05) and accordingly was classified as control by the </w:t>
      </w:r>
      <w:proofErr w:type="spellStart"/>
      <w:r w:rsidR="00A24E23" w:rsidRPr="00A24E23">
        <w:rPr>
          <w:rFonts w:asciiTheme="minorHAnsi" w:hAnsiTheme="minorHAnsi" w:cstheme="minorHAnsi"/>
          <w:sz w:val="22"/>
        </w:rPr>
        <w:t>dichotomic</w:t>
      </w:r>
      <w:proofErr w:type="spellEnd"/>
      <w:r w:rsidR="00A24E23" w:rsidRPr="00A24E23">
        <w:rPr>
          <w:rFonts w:asciiTheme="minorHAnsi" w:hAnsiTheme="minorHAnsi" w:cstheme="minorHAnsi"/>
          <w:sz w:val="22"/>
        </w:rPr>
        <w:t xml:space="preserve"> CSF Aβ ratio dependent classification. Since his CSF Aβ42 concentration was decreased the expert laboratory for Clinical Neurochemistry (Prof. Piotr </w:t>
      </w:r>
      <w:proofErr w:type="spellStart"/>
      <w:r w:rsidR="00A24E23" w:rsidRPr="00A24E23">
        <w:rPr>
          <w:rFonts w:asciiTheme="minorHAnsi" w:hAnsiTheme="minorHAnsi" w:cstheme="minorHAnsi"/>
          <w:sz w:val="22"/>
        </w:rPr>
        <w:t>Lewczuk</w:t>
      </w:r>
      <w:proofErr w:type="spellEnd"/>
      <w:r w:rsidR="00A24E23" w:rsidRPr="00A24E23">
        <w:rPr>
          <w:rFonts w:asciiTheme="minorHAnsi" w:hAnsiTheme="minorHAnsi" w:cstheme="minorHAnsi"/>
          <w:sz w:val="22"/>
        </w:rPr>
        <w:t xml:space="preserve">, University of Erlangen, Germany) had classified this patient as a possible case. Moreover, neuropsychological testing (amnestic dominant </w:t>
      </w:r>
      <w:proofErr w:type="spellStart"/>
      <w:r w:rsidR="00A24E23" w:rsidRPr="00A24E23">
        <w:rPr>
          <w:rFonts w:asciiTheme="minorHAnsi" w:hAnsiTheme="minorHAnsi" w:cstheme="minorHAnsi"/>
          <w:sz w:val="22"/>
        </w:rPr>
        <w:t>multidomain</w:t>
      </w:r>
      <w:proofErr w:type="spellEnd"/>
      <w:r w:rsidR="00A24E23" w:rsidRPr="00A24E23">
        <w:rPr>
          <w:rFonts w:asciiTheme="minorHAnsi" w:hAnsiTheme="minorHAnsi" w:cstheme="minorHAnsi"/>
          <w:sz w:val="22"/>
        </w:rPr>
        <w:t xml:space="preserve"> MCI), the short term clinical course (initially admitted because of severe depression, however, already in remission during neuropsychological testing), and pronounced atrophy of the medial temporal lobe (MTA score 3) also indicated possible Alzheimer´s disease. Accordingly, this patient was re-classified as possible AD. The third case presented with a CSF ratio Aβ42/Aβ40 of 0.052 (cut-off ≤ 0.05), again the CSF Aβ42 concentration was decreased. This case </w:t>
      </w:r>
      <w:proofErr w:type="gramStart"/>
      <w:r w:rsidR="00A24E23" w:rsidRPr="00A24E23">
        <w:rPr>
          <w:rFonts w:asciiTheme="minorHAnsi" w:hAnsiTheme="minorHAnsi" w:cstheme="minorHAnsi"/>
          <w:sz w:val="22"/>
        </w:rPr>
        <w:t>had been classified</w:t>
      </w:r>
      <w:proofErr w:type="gramEnd"/>
      <w:r w:rsidR="00A24E23" w:rsidRPr="00A24E23">
        <w:rPr>
          <w:rFonts w:asciiTheme="minorHAnsi" w:hAnsiTheme="minorHAnsi" w:cstheme="minorHAnsi"/>
          <w:sz w:val="22"/>
        </w:rPr>
        <w:t xml:space="preserve"> as probable AD by the laboratory for Clinical Neurochemistry, since his borderline normal CSF ratio Aβ42/Aβ40 was within the range of the technical inaccuracy of the assay applied for measurement. A pathological Amyloid-PET, the clinical course and the neuropsychological testing supported the diagnosis of probable Alzheimer´s disease. Accordingly, the patient was re-classified from Aβ-negative to probable AD. The latter clinical cases demonstrate that a synoptic </w:t>
      </w:r>
      <w:proofErr w:type="spellStart"/>
      <w:r w:rsidR="00A24E23" w:rsidRPr="00A24E23">
        <w:rPr>
          <w:rFonts w:asciiTheme="minorHAnsi" w:hAnsiTheme="minorHAnsi" w:cstheme="minorHAnsi"/>
          <w:sz w:val="22"/>
        </w:rPr>
        <w:t>multiparametric</w:t>
      </w:r>
      <w:proofErr w:type="spellEnd"/>
      <w:r w:rsidR="00A24E23" w:rsidRPr="00A24E23">
        <w:rPr>
          <w:rFonts w:asciiTheme="minorHAnsi" w:hAnsiTheme="minorHAnsi" w:cstheme="minorHAnsi"/>
          <w:sz w:val="22"/>
        </w:rPr>
        <w:t xml:space="preserve"> </w:t>
      </w:r>
      <w:proofErr w:type="spellStart"/>
      <w:r w:rsidR="00A24E23" w:rsidRPr="00A24E23">
        <w:rPr>
          <w:rFonts w:asciiTheme="minorHAnsi" w:hAnsiTheme="minorHAnsi" w:cstheme="minorHAnsi"/>
          <w:sz w:val="22"/>
        </w:rPr>
        <w:t>clinico</w:t>
      </w:r>
      <w:proofErr w:type="spellEnd"/>
      <w:r w:rsidR="00A24E23" w:rsidRPr="00A24E23">
        <w:rPr>
          <w:rFonts w:asciiTheme="minorHAnsi" w:hAnsiTheme="minorHAnsi" w:cstheme="minorHAnsi"/>
          <w:sz w:val="22"/>
        </w:rPr>
        <w:t xml:space="preserve">-pathological classification improves the validity </w:t>
      </w:r>
      <w:r w:rsidR="00A24E23" w:rsidRPr="00A24E23">
        <w:rPr>
          <w:rFonts w:asciiTheme="minorHAnsi" w:hAnsiTheme="minorHAnsi" w:cstheme="minorHAnsi"/>
          <w:sz w:val="22"/>
        </w:rPr>
        <w:lastRenderedPageBreak/>
        <w:t xml:space="preserve">of a biomarker supported patient classification algorithm, as recently advocated by the International Working Group for Clinical Diagnosis of AD </w:t>
      </w:r>
      <w:r w:rsidR="00A24E23" w:rsidRPr="00A24E23">
        <w:rPr>
          <w:rFonts w:asciiTheme="minorHAnsi" w:hAnsiTheme="minorHAnsi" w:cstheme="minorHAnsi"/>
          <w:sz w:val="22"/>
        </w:rPr>
        <w:fldChar w:fldCharType="begin">
          <w:fldData xml:space="preserve">PEVuZE5vdGU+PENpdGU+PEF1dGhvcj5EdWJvaXM8L0F1dGhvcj48WWVhcj4yMDIxPC9ZZWFyPjxS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</w:fldData>
        </w:fldChar>
      </w:r>
      <w:r w:rsidR="00A24E23" w:rsidRPr="00A24E23">
        <w:rPr>
          <w:rFonts w:asciiTheme="minorHAnsi" w:hAnsiTheme="minorHAnsi" w:cstheme="minorHAnsi"/>
          <w:sz w:val="22"/>
        </w:rPr>
        <w:instrText xml:space="preserve"> ADDIN EN.CITE </w:instrText>
      </w:r>
      <w:r w:rsidR="00A24E23" w:rsidRPr="00A24E23">
        <w:rPr>
          <w:rFonts w:asciiTheme="minorHAnsi" w:hAnsiTheme="minorHAnsi" w:cstheme="minorHAnsi"/>
          <w:sz w:val="22"/>
        </w:rPr>
        <w:fldChar w:fldCharType="begin">
          <w:fldData xml:space="preserve">PEVuZE5vdGU+PENpdGU+PEF1dGhvcj5EdWJvaXM8L0F1dGhvcj48WWVhcj4yMDIxPC9ZZWFyPjxS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</w:fldData>
        </w:fldChar>
      </w:r>
      <w:r w:rsidR="00A24E23" w:rsidRPr="00A24E23">
        <w:rPr>
          <w:rFonts w:asciiTheme="minorHAnsi" w:hAnsiTheme="minorHAnsi" w:cstheme="minorHAnsi"/>
          <w:sz w:val="22"/>
        </w:rPr>
        <w:instrText xml:space="preserve"> ADDIN EN.CITE.DATA </w:instrText>
      </w:r>
      <w:r w:rsidR="00A24E23" w:rsidRPr="00A24E23">
        <w:rPr>
          <w:rFonts w:asciiTheme="minorHAnsi" w:hAnsiTheme="minorHAnsi" w:cstheme="minorHAnsi"/>
          <w:sz w:val="22"/>
        </w:rPr>
      </w:r>
      <w:r w:rsidR="00A24E23" w:rsidRPr="00A24E23">
        <w:rPr>
          <w:rFonts w:asciiTheme="minorHAnsi" w:hAnsiTheme="minorHAnsi" w:cstheme="minorHAnsi"/>
          <w:sz w:val="22"/>
        </w:rPr>
        <w:fldChar w:fldCharType="end"/>
      </w:r>
      <w:r w:rsidR="00A24E23" w:rsidRPr="00A24E23">
        <w:rPr>
          <w:rFonts w:asciiTheme="minorHAnsi" w:hAnsiTheme="minorHAnsi" w:cstheme="minorHAnsi"/>
          <w:sz w:val="22"/>
        </w:rPr>
      </w:r>
      <w:r w:rsidR="00A24E23" w:rsidRPr="00A24E23">
        <w:rPr>
          <w:rFonts w:asciiTheme="minorHAnsi" w:hAnsiTheme="minorHAnsi" w:cstheme="minorHAnsi"/>
          <w:sz w:val="22"/>
        </w:rPr>
        <w:fldChar w:fldCharType="separate"/>
      </w:r>
      <w:r w:rsidR="00A24E23" w:rsidRPr="00A24E23">
        <w:rPr>
          <w:rFonts w:asciiTheme="minorHAnsi" w:hAnsiTheme="minorHAnsi" w:cstheme="minorHAnsi"/>
          <w:noProof/>
          <w:sz w:val="22"/>
        </w:rPr>
        <w:t>(Dubois</w:t>
      </w:r>
      <w:r w:rsidR="00A24E23" w:rsidRPr="00A24E23">
        <w:rPr>
          <w:rFonts w:asciiTheme="minorHAnsi" w:hAnsiTheme="minorHAnsi" w:cstheme="minorHAnsi"/>
          <w:i/>
          <w:noProof/>
          <w:sz w:val="22"/>
        </w:rPr>
        <w:t xml:space="preserve"> et al.</w:t>
      </w:r>
      <w:r w:rsidR="00A24E23" w:rsidRPr="00A24E23">
        <w:rPr>
          <w:rFonts w:asciiTheme="minorHAnsi" w:hAnsiTheme="minorHAnsi" w:cstheme="minorHAnsi"/>
          <w:noProof/>
          <w:sz w:val="22"/>
        </w:rPr>
        <w:t xml:space="preserve"> 2021)</w:t>
      </w:r>
      <w:r w:rsidR="00A24E23" w:rsidRPr="00A24E23">
        <w:rPr>
          <w:rFonts w:asciiTheme="minorHAnsi" w:hAnsiTheme="minorHAnsi" w:cstheme="minorHAnsi"/>
          <w:sz w:val="22"/>
        </w:rPr>
        <w:fldChar w:fldCharType="end"/>
      </w:r>
      <w:r w:rsidR="00A24E23" w:rsidRPr="00A24E23">
        <w:rPr>
          <w:rFonts w:asciiTheme="minorHAnsi" w:hAnsiTheme="minorHAnsi" w:cstheme="minorHAnsi"/>
          <w:sz w:val="22"/>
        </w:rPr>
        <w:t>. Principally, we suggest to apply both patient classification strategies in parallel since thus a high reliability and multi-site comparability can be combined with improved validity of the diagnostic algorithm. The latter will become even more important when blood based dementia diagnostics enters clinical routine and cut-off values have to be derived.</w:t>
      </w:r>
    </w:p>
    <w:p w:rsidR="00A24E23" w:rsidRDefault="00A24E23">
      <w:pPr>
        <w:rPr>
          <w:lang w:val="en-US"/>
        </w:rPr>
      </w:pPr>
    </w:p>
    <w:p w:rsidR="00A24E23" w:rsidRDefault="00A24E23">
      <w:pPr>
        <w:rPr>
          <w:lang w:val="en-US"/>
        </w:rPr>
      </w:pPr>
    </w:p>
    <w:p w:rsidR="001275E2" w:rsidRDefault="008D27B8">
      <w:pPr>
        <w:rPr>
          <w:lang w:val="en-US"/>
        </w:rPr>
      </w:pPr>
      <w:r>
        <w:rPr>
          <w:noProof/>
          <w:lang w:eastAsia="de-DE"/>
        </w:rPr>
        <w:drawing>
          <wp:inline distT="0" distB="0" distL="0" distR="0">
            <wp:extent cx="4252642" cy="4252642"/>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OCAmyloidForPaper.png"/>
                    <pic:cNvPicPr/>
                  </pic:nvPicPr>
                  <pic:blipFill>
                    <a:blip r:embed="rId4">
                      <a:extLst>
                        <a:ext uri="{28A0092B-C50C-407E-A947-70E740481C1C}">
                          <a14:useLocalDpi xmlns:a14="http://schemas.microsoft.com/office/drawing/2010/main" val="0"/>
                        </a:ext>
                      </a:extLst>
                    </a:blip>
                    <a:stretch>
                      <a:fillRect/>
                    </a:stretch>
                  </pic:blipFill>
                  <pic:spPr>
                    <a:xfrm>
                      <a:off x="0" y="0"/>
                      <a:ext cx="4257250" cy="4257250"/>
                    </a:xfrm>
                    <a:prstGeom prst="rect">
                      <a:avLst/>
                    </a:prstGeom>
                  </pic:spPr>
                </pic:pic>
              </a:graphicData>
            </a:graphic>
          </wp:inline>
        </w:drawing>
      </w:r>
    </w:p>
    <w:p w:rsidR="00A24E23" w:rsidRDefault="001275E2" w:rsidP="00A24E23">
      <w:pPr>
        <w:jc w:val="both"/>
        <w:rPr>
          <w:rFonts w:cstheme="minorHAnsi"/>
          <w:lang w:val="en-US"/>
        </w:rPr>
      </w:pPr>
      <w:r>
        <w:rPr>
          <w:rFonts w:cstheme="minorHAnsi"/>
          <w:b/>
          <w:lang w:val="en-US"/>
        </w:rPr>
        <w:t xml:space="preserve">Additional </w:t>
      </w:r>
      <w:r w:rsidR="009457E8">
        <w:rPr>
          <w:rFonts w:cstheme="minorHAnsi"/>
          <w:b/>
          <w:lang w:val="en-US"/>
        </w:rPr>
        <w:t xml:space="preserve">Figure </w:t>
      </w:r>
      <w:r w:rsidR="00A24E23" w:rsidRPr="00A24E23">
        <w:rPr>
          <w:rFonts w:cstheme="minorHAnsi"/>
          <w:b/>
          <w:lang w:val="en-US"/>
        </w:rPr>
        <w:t>1:</w:t>
      </w:r>
      <w:r w:rsidR="00A24E23">
        <w:rPr>
          <w:rFonts w:cstheme="minorHAnsi"/>
          <w:lang w:val="en-US"/>
        </w:rPr>
        <w:t xml:space="preserve"> </w:t>
      </w:r>
      <w:r w:rsidR="00A24E23" w:rsidRPr="00741A85">
        <w:rPr>
          <w:rFonts w:cstheme="minorHAnsi"/>
          <w:lang w:val="en-US"/>
        </w:rPr>
        <w:t xml:space="preserve">Comparison of </w:t>
      </w:r>
      <w:r w:rsidR="00702410" w:rsidRPr="00702410">
        <w:rPr>
          <w:rFonts w:cstheme="minorHAnsi"/>
          <w:lang w:val="en-US"/>
        </w:rPr>
        <w:t xml:space="preserve">Receiver Operating </w:t>
      </w:r>
      <w:r w:rsidR="00702410">
        <w:rPr>
          <w:rFonts w:cstheme="minorHAnsi"/>
          <w:lang w:val="en-US"/>
        </w:rPr>
        <w:t>Characteristics (</w:t>
      </w:r>
      <w:r w:rsidR="00A24E23" w:rsidRPr="00741A85">
        <w:rPr>
          <w:rFonts w:cstheme="minorHAnsi"/>
          <w:lang w:val="en-US"/>
        </w:rPr>
        <w:t>ROC</w:t>
      </w:r>
      <w:r w:rsidR="00702410">
        <w:rPr>
          <w:rFonts w:cstheme="minorHAnsi"/>
          <w:lang w:val="en-US"/>
        </w:rPr>
        <w:t>)</w:t>
      </w:r>
      <w:r w:rsidR="00A24E23" w:rsidRPr="00741A85">
        <w:rPr>
          <w:rFonts w:cstheme="minorHAnsi"/>
          <w:lang w:val="en-US"/>
        </w:rPr>
        <w:t xml:space="preserve"> curves</w:t>
      </w:r>
      <w:r w:rsidR="00925572">
        <w:rPr>
          <w:rFonts w:cstheme="minorHAnsi"/>
          <w:lang w:val="en-US"/>
        </w:rPr>
        <w:t xml:space="preserve"> for the state variable biomarker supported clinical diagnosis</w:t>
      </w:r>
      <w:r w:rsidR="00A24E23">
        <w:rPr>
          <w:rFonts w:cstheme="minorHAnsi"/>
          <w:lang w:val="en-US"/>
        </w:rPr>
        <w:t xml:space="preserve"> for Aβ42/40</w:t>
      </w:r>
      <w:r w:rsidR="00A24E23" w:rsidRPr="00741A85">
        <w:rPr>
          <w:rFonts w:cstheme="minorHAnsi"/>
          <w:lang w:val="en-US"/>
        </w:rPr>
        <w:t xml:space="preserve"> </w:t>
      </w:r>
      <w:r w:rsidR="009457E8">
        <w:rPr>
          <w:rFonts w:cstheme="minorHAnsi"/>
          <w:lang w:val="en-US"/>
        </w:rPr>
        <w:t xml:space="preserve">determined </w:t>
      </w:r>
      <w:r w:rsidR="008D27B8">
        <w:rPr>
          <w:rFonts w:cstheme="minorHAnsi"/>
          <w:lang w:val="en-US"/>
        </w:rPr>
        <w:t>by</w:t>
      </w:r>
      <w:r w:rsidR="00A24E23" w:rsidRPr="00741A85">
        <w:rPr>
          <w:rFonts w:cstheme="minorHAnsi"/>
          <w:lang w:val="en-US"/>
        </w:rPr>
        <w:t xml:space="preserve"> </w:t>
      </w:r>
      <w:proofErr w:type="spellStart"/>
      <w:r w:rsidR="00A24E23" w:rsidRPr="00741A85">
        <w:rPr>
          <w:rFonts w:cstheme="minorHAnsi"/>
          <w:lang w:val="en-US"/>
        </w:rPr>
        <w:t>Elecsys</w:t>
      </w:r>
      <w:proofErr w:type="spellEnd"/>
      <w:r w:rsidR="00A24E23" w:rsidRPr="00741A85">
        <w:rPr>
          <w:rFonts w:cstheme="minorHAnsi"/>
          <w:lang w:val="en-US"/>
        </w:rPr>
        <w:t xml:space="preserve"> measurements without (plasma) or w</w:t>
      </w:r>
      <w:r w:rsidR="00A24E23">
        <w:rPr>
          <w:rFonts w:cstheme="minorHAnsi"/>
          <w:lang w:val="en-US"/>
        </w:rPr>
        <w:t>ith pre-analytical immunoprecipitation (IP-eluate)</w:t>
      </w:r>
      <w:r w:rsidR="00925572">
        <w:rPr>
          <w:rFonts w:cstheme="minorHAnsi"/>
          <w:lang w:val="en-US"/>
        </w:rPr>
        <w:t>.</w:t>
      </w:r>
      <w:r w:rsidR="008D27B8">
        <w:rPr>
          <w:rFonts w:cstheme="minorHAnsi"/>
          <w:lang w:val="en-US"/>
        </w:rPr>
        <w:t xml:space="preserve"> The increase in the AUC from 0.77 (</w:t>
      </w:r>
      <w:proofErr w:type="spellStart"/>
      <w:r w:rsidR="008D27B8">
        <w:rPr>
          <w:rFonts w:cstheme="minorHAnsi"/>
          <w:lang w:val="en-US"/>
        </w:rPr>
        <w:t>Elecsys</w:t>
      </w:r>
      <w:proofErr w:type="spellEnd"/>
      <w:r w:rsidR="008D27B8">
        <w:rPr>
          <w:rFonts w:cstheme="minorHAnsi"/>
          <w:lang w:val="en-US"/>
        </w:rPr>
        <w:t xml:space="preserve"> plasma) to 0.92 (</w:t>
      </w:r>
      <w:proofErr w:type="spellStart"/>
      <w:r w:rsidR="008D27B8">
        <w:rPr>
          <w:rFonts w:cstheme="minorHAnsi"/>
          <w:lang w:val="en-US"/>
        </w:rPr>
        <w:t>Elecsys</w:t>
      </w:r>
      <w:proofErr w:type="spellEnd"/>
      <w:r w:rsidR="008D27B8">
        <w:rPr>
          <w:rFonts w:cstheme="minorHAnsi"/>
          <w:lang w:val="en-US"/>
        </w:rPr>
        <w:t xml:space="preserve"> IP</w:t>
      </w:r>
      <w:r w:rsidR="00C45315">
        <w:rPr>
          <w:rFonts w:cstheme="minorHAnsi"/>
          <w:lang w:val="en-US"/>
        </w:rPr>
        <w:t>-</w:t>
      </w:r>
      <w:r w:rsidR="008D27B8">
        <w:rPr>
          <w:rFonts w:cstheme="minorHAnsi"/>
          <w:lang w:val="en-US"/>
        </w:rPr>
        <w:t xml:space="preserve">eluate) reached statistical significance (p = 0.01576, DeLong test). </w:t>
      </w:r>
      <w:r w:rsidR="00D81091">
        <w:rPr>
          <w:rFonts w:cstheme="minorHAnsi"/>
          <w:lang w:val="en-US"/>
        </w:rPr>
        <w:t>Within the context of a blood screen test the pronounced increase of diagnostic sensitivity is of specific relevance.</w:t>
      </w:r>
      <w:bookmarkStart w:id="0" w:name="_GoBack"/>
      <w:bookmarkEnd w:id="0"/>
    </w:p>
    <w:p w:rsidR="008D27B8" w:rsidRDefault="008D27B8">
      <w:pPr>
        <w:rPr>
          <w:rFonts w:cstheme="minorHAnsi"/>
          <w:lang w:val="en-US"/>
        </w:rPr>
      </w:pPr>
      <w:r>
        <w:rPr>
          <w:rFonts w:cstheme="minorHAnsi"/>
          <w:lang w:val="en-US"/>
        </w:rPr>
        <w:br w:type="page"/>
      </w:r>
    </w:p>
    <w:p w:rsidR="001275E2" w:rsidRDefault="001275E2" w:rsidP="00A24E23">
      <w:pPr>
        <w:jc w:val="both"/>
        <w:rPr>
          <w:rFonts w:cstheme="minorHAnsi"/>
          <w:lang w:val="en-US"/>
        </w:rPr>
      </w:pPr>
    </w:p>
    <w:p w:rsidR="001275E2" w:rsidRPr="0061511C" w:rsidRDefault="001275E2" w:rsidP="00702410">
      <w:pPr>
        <w:pStyle w:val="MDPI41tablecaption"/>
        <w:ind w:left="0"/>
        <w:rPr>
          <w:rFonts w:asciiTheme="minorHAnsi" w:hAnsiTheme="minorHAnsi" w:cstheme="minorHAnsi"/>
        </w:rPr>
      </w:pPr>
      <w:r>
        <w:rPr>
          <w:rFonts w:asciiTheme="minorHAnsi" w:hAnsiTheme="minorHAnsi" w:cstheme="minorHAnsi"/>
          <w:b/>
          <w:sz w:val="22"/>
        </w:rPr>
        <w:t xml:space="preserve">Additional </w:t>
      </w:r>
      <w:r w:rsidRPr="0061511C">
        <w:rPr>
          <w:rFonts w:asciiTheme="minorHAnsi" w:hAnsiTheme="minorHAnsi" w:cstheme="minorHAnsi"/>
          <w:b/>
          <w:sz w:val="22"/>
        </w:rPr>
        <w:t>Table 1.</w:t>
      </w:r>
      <w:r w:rsidRPr="0061511C">
        <w:rPr>
          <w:rFonts w:asciiTheme="minorHAnsi" w:hAnsiTheme="minorHAnsi" w:cstheme="minorHAnsi"/>
          <w:sz w:val="22"/>
        </w:rPr>
        <w:t xml:space="preserve"> Univariate </w:t>
      </w:r>
      <w:r w:rsidRPr="00EE1420">
        <w:rPr>
          <w:rFonts w:asciiTheme="minorHAnsi" w:hAnsiTheme="minorHAnsi" w:cstheme="minorHAnsi"/>
          <w:sz w:val="22"/>
        </w:rPr>
        <w:t>and bivariate logistic regression</w:t>
      </w:r>
      <w:r w:rsidRPr="0061511C">
        <w:rPr>
          <w:rFonts w:asciiTheme="minorHAnsi" w:hAnsiTheme="minorHAnsi" w:cstheme="minorHAnsi"/>
          <w:sz w:val="22"/>
        </w:rPr>
        <w:t xml:space="preserve"> </w:t>
      </w:r>
      <w:r w:rsidR="00866200">
        <w:rPr>
          <w:rFonts w:asciiTheme="minorHAnsi" w:hAnsiTheme="minorHAnsi" w:cstheme="minorHAnsi"/>
          <w:sz w:val="22"/>
        </w:rPr>
        <w:t>ROC</w:t>
      </w:r>
      <w:r w:rsidRPr="0061511C">
        <w:rPr>
          <w:rFonts w:asciiTheme="minorHAnsi" w:hAnsiTheme="minorHAnsi" w:cstheme="minorHAnsi"/>
          <w:sz w:val="22"/>
        </w:rPr>
        <w:t xml:space="preserve"> analysis for</w:t>
      </w:r>
      <w:r w:rsidR="008D27B8">
        <w:rPr>
          <w:rFonts w:asciiTheme="minorHAnsi" w:hAnsiTheme="minorHAnsi" w:cstheme="minorHAnsi"/>
          <w:sz w:val="22"/>
        </w:rPr>
        <w:t xml:space="preserve"> </w:t>
      </w:r>
      <w:r w:rsidRPr="0061511C">
        <w:rPr>
          <w:rFonts w:asciiTheme="minorHAnsi" w:hAnsiTheme="minorHAnsi" w:cstheme="minorHAnsi"/>
          <w:sz w:val="22"/>
        </w:rPr>
        <w:t>low cerebrospinal fluid (CSF) Aβ42/Aβ40 vs. biomarker supported clinical diagnosis</w:t>
      </w:r>
      <w:r w:rsidR="009457E8">
        <w:rPr>
          <w:rFonts w:asciiTheme="minorHAnsi" w:hAnsiTheme="minorHAnsi" w:cstheme="minorHAnsi"/>
          <w:sz w:val="22"/>
        </w:rPr>
        <w:t xml:space="preserve"> (second end point)</w:t>
      </w:r>
      <w:r w:rsidRPr="0061511C">
        <w:rPr>
          <w:rFonts w:asciiTheme="minorHAnsi" w:hAnsiTheme="minorHAnsi" w:cstheme="minorHAnsi"/>
        </w:rPr>
        <w:t>.</w:t>
      </w:r>
    </w:p>
    <w:tbl>
      <w:tblPr>
        <w:tblW w:w="10465" w:type="dxa"/>
        <w:jc w:val="center"/>
        <w:tblBorders>
          <w:top w:val="single" w:sz="4" w:space="0" w:color="auto"/>
          <w:bottom w:val="single" w:sz="4" w:space="0" w:color="auto"/>
        </w:tblBorders>
        <w:tblLayout w:type="fixed"/>
        <w:tblCellMar>
          <w:left w:w="0" w:type="dxa"/>
          <w:right w:w="0" w:type="dxa"/>
        </w:tblCellMar>
        <w:tblLook w:val="04A0" w:firstRow="1" w:lastRow="0" w:firstColumn="1" w:lastColumn="0" w:noHBand="0" w:noVBand="1"/>
      </w:tblPr>
      <w:tblGrid>
        <w:gridCol w:w="2291"/>
        <w:gridCol w:w="1651"/>
        <w:gridCol w:w="632"/>
        <w:gridCol w:w="2283"/>
        <w:gridCol w:w="174"/>
        <w:gridCol w:w="1717"/>
        <w:gridCol w:w="392"/>
        <w:gridCol w:w="1325"/>
      </w:tblGrid>
      <w:tr w:rsidR="001275E2" w:rsidRPr="0061511C" w:rsidTr="0061511C">
        <w:trPr>
          <w:jc w:val="center"/>
        </w:trPr>
        <w:tc>
          <w:tcPr>
            <w:tcW w:w="3942" w:type="dxa"/>
            <w:gridSpan w:val="2"/>
            <w:tcBorders>
              <w:top w:val="single" w:sz="8" w:space="0" w:color="auto"/>
              <w:bottom w:val="single" w:sz="8" w:space="0" w:color="auto"/>
            </w:tcBorders>
            <w:shd w:val="clear" w:color="auto" w:fill="auto"/>
            <w:vAlign w:val="center"/>
          </w:tcPr>
          <w:p w:rsidR="001275E2" w:rsidRPr="0061511C" w:rsidRDefault="001275E2" w:rsidP="0061511C">
            <w:pPr>
              <w:pStyle w:val="MDPI42tablebody"/>
              <w:rPr>
                <w:rFonts w:asciiTheme="minorHAnsi" w:hAnsiTheme="minorHAnsi" w:cstheme="minorHAnsi"/>
                <w:b/>
                <w:bCs/>
              </w:rPr>
            </w:pPr>
          </w:p>
        </w:tc>
        <w:tc>
          <w:tcPr>
            <w:tcW w:w="6523" w:type="dxa"/>
            <w:gridSpan w:val="6"/>
            <w:tcBorders>
              <w:top w:val="single" w:sz="8" w:space="0" w:color="auto"/>
              <w:bottom w:val="single" w:sz="8" w:space="0" w:color="auto"/>
            </w:tcBorders>
            <w:shd w:val="clear" w:color="auto" w:fill="auto"/>
            <w:vAlign w:val="center"/>
          </w:tcPr>
          <w:p w:rsidR="001275E2" w:rsidRPr="0061511C" w:rsidRDefault="001275E2" w:rsidP="0061511C">
            <w:pPr>
              <w:pStyle w:val="MDPI42tablebody"/>
              <w:rPr>
                <w:rFonts w:asciiTheme="minorHAnsi" w:hAnsiTheme="minorHAnsi" w:cstheme="minorHAnsi"/>
                <w:b/>
                <w:bCs/>
              </w:rPr>
            </w:pPr>
            <w:r w:rsidRPr="0061511C">
              <w:rPr>
                <w:rFonts w:asciiTheme="minorHAnsi" w:hAnsiTheme="minorHAnsi" w:cstheme="minorHAnsi"/>
                <w:b/>
                <w:bCs/>
              </w:rPr>
              <w:t>Univariate model AUC (95% CI)</w:t>
            </w:r>
          </w:p>
        </w:tc>
      </w:tr>
      <w:tr w:rsidR="001275E2" w:rsidRPr="0061511C" w:rsidTr="0061511C">
        <w:trPr>
          <w:jc w:val="center"/>
        </w:trPr>
        <w:tc>
          <w:tcPr>
            <w:tcW w:w="3942" w:type="dxa"/>
            <w:gridSpan w:val="2"/>
            <w:tcBorders>
              <w:top w:val="single" w:sz="8" w:space="0" w:color="auto"/>
              <w:bottom w:val="single" w:sz="4" w:space="0" w:color="auto"/>
            </w:tcBorders>
            <w:shd w:val="clear" w:color="auto" w:fill="auto"/>
            <w:vAlign w:val="center"/>
          </w:tcPr>
          <w:p w:rsidR="001275E2" w:rsidRPr="0061511C" w:rsidRDefault="001275E2" w:rsidP="0061511C">
            <w:pPr>
              <w:pStyle w:val="MDPI42tablebody"/>
              <w:rPr>
                <w:rFonts w:asciiTheme="minorHAnsi" w:hAnsiTheme="minorHAnsi" w:cstheme="minorHAnsi"/>
                <w:b/>
                <w:bCs/>
              </w:rPr>
            </w:pPr>
            <w:r w:rsidRPr="0061511C">
              <w:rPr>
                <w:rFonts w:asciiTheme="minorHAnsi" w:hAnsiTheme="minorHAnsi" w:cstheme="minorHAnsi"/>
                <w:b/>
                <w:bCs/>
              </w:rPr>
              <w:t>Aβ42/Aβ40 assay</w:t>
            </w:r>
          </w:p>
        </w:tc>
        <w:tc>
          <w:tcPr>
            <w:tcW w:w="3089" w:type="dxa"/>
            <w:gridSpan w:val="3"/>
            <w:tcBorders>
              <w:top w:val="single" w:sz="8" w:space="0" w:color="auto"/>
              <w:bottom w:val="single" w:sz="4" w:space="0" w:color="auto"/>
            </w:tcBorders>
            <w:shd w:val="clear" w:color="auto" w:fill="auto"/>
            <w:vAlign w:val="center"/>
          </w:tcPr>
          <w:p w:rsidR="001275E2" w:rsidRPr="0061511C" w:rsidRDefault="001275E2" w:rsidP="0061511C">
            <w:pPr>
              <w:pStyle w:val="MDPI42tablebody"/>
              <w:rPr>
                <w:rFonts w:asciiTheme="minorHAnsi" w:hAnsiTheme="minorHAnsi" w:cstheme="minorHAnsi"/>
                <w:b/>
                <w:bCs/>
              </w:rPr>
            </w:pPr>
            <w:r w:rsidRPr="0061511C">
              <w:rPr>
                <w:rFonts w:asciiTheme="minorHAnsi" w:hAnsiTheme="minorHAnsi" w:cstheme="minorHAnsi"/>
                <w:b/>
                <w:bCs/>
              </w:rPr>
              <w:t xml:space="preserve">CSF Aβ42/Aβ40 </w:t>
            </w:r>
            <w:r w:rsidRPr="0061511C">
              <w:rPr>
                <w:rFonts w:asciiTheme="minorHAnsi" w:hAnsiTheme="minorHAnsi" w:cstheme="minorHAnsi"/>
                <w:b/>
                <w:bCs/>
                <w:vertAlign w:val="superscript"/>
              </w:rPr>
              <w:t>1</w:t>
            </w:r>
          </w:p>
        </w:tc>
        <w:tc>
          <w:tcPr>
            <w:tcW w:w="1717" w:type="dxa"/>
            <w:tcBorders>
              <w:top w:val="single" w:sz="8" w:space="0" w:color="auto"/>
              <w:bottom w:val="single" w:sz="4" w:space="0" w:color="auto"/>
            </w:tcBorders>
            <w:shd w:val="clear" w:color="auto" w:fill="auto"/>
            <w:vAlign w:val="center"/>
          </w:tcPr>
          <w:p w:rsidR="001275E2" w:rsidRPr="0061511C" w:rsidRDefault="001275E2" w:rsidP="0061511C">
            <w:pPr>
              <w:pStyle w:val="MDPI42tablebody"/>
              <w:rPr>
                <w:rFonts w:asciiTheme="minorHAnsi" w:hAnsiTheme="minorHAnsi" w:cstheme="minorHAnsi"/>
                <w:b/>
                <w:bCs/>
              </w:rPr>
            </w:pPr>
            <w:r w:rsidRPr="0061511C">
              <w:rPr>
                <w:rFonts w:asciiTheme="minorHAnsi" w:hAnsiTheme="minorHAnsi" w:cstheme="minorHAnsi"/>
                <w:b/>
                <w:bCs/>
              </w:rPr>
              <w:t xml:space="preserve">Biomarker supported clinical diagnosis </w:t>
            </w:r>
            <w:r w:rsidRPr="0061511C">
              <w:rPr>
                <w:rFonts w:asciiTheme="minorHAnsi" w:hAnsiTheme="minorHAnsi" w:cstheme="minorHAnsi"/>
                <w:b/>
                <w:bCs/>
                <w:vertAlign w:val="superscript"/>
              </w:rPr>
              <w:t>2</w:t>
            </w:r>
          </w:p>
        </w:tc>
        <w:tc>
          <w:tcPr>
            <w:tcW w:w="1717" w:type="dxa"/>
            <w:gridSpan w:val="2"/>
            <w:tcBorders>
              <w:top w:val="single" w:sz="8" w:space="0" w:color="auto"/>
              <w:bottom w:val="single" w:sz="4" w:space="0" w:color="auto"/>
            </w:tcBorders>
            <w:shd w:val="clear" w:color="auto" w:fill="auto"/>
            <w:vAlign w:val="center"/>
          </w:tcPr>
          <w:p w:rsidR="001275E2" w:rsidRPr="0061511C" w:rsidRDefault="001275E2" w:rsidP="0061511C">
            <w:pPr>
              <w:pStyle w:val="MDPI42tablebody"/>
              <w:rPr>
                <w:rFonts w:asciiTheme="minorHAnsi" w:hAnsiTheme="minorHAnsi" w:cstheme="minorHAnsi"/>
                <w:b/>
                <w:bCs/>
              </w:rPr>
            </w:pPr>
            <w:r w:rsidRPr="0061511C">
              <w:rPr>
                <w:rFonts w:asciiTheme="minorHAnsi" w:hAnsiTheme="minorHAnsi" w:cstheme="minorHAnsi"/>
                <w:b/>
                <w:bCs/>
              </w:rPr>
              <w:t xml:space="preserve">P-value </w:t>
            </w:r>
            <w:r w:rsidRPr="0061511C">
              <w:rPr>
                <w:rFonts w:asciiTheme="minorHAnsi" w:hAnsiTheme="minorHAnsi" w:cstheme="minorHAnsi"/>
                <w:b/>
                <w:bCs/>
                <w:vertAlign w:val="superscript"/>
              </w:rPr>
              <w:t>3</w:t>
            </w:r>
          </w:p>
        </w:tc>
      </w:tr>
      <w:tr w:rsidR="001275E2" w:rsidRPr="0061511C" w:rsidTr="0061511C">
        <w:trPr>
          <w:jc w:val="center"/>
        </w:trPr>
        <w:tc>
          <w:tcPr>
            <w:tcW w:w="3942" w:type="dxa"/>
            <w:gridSpan w:val="2"/>
            <w:tcBorders>
              <w:top w:val="single" w:sz="4" w:space="0" w:color="auto"/>
              <w:bottom w:val="nil"/>
            </w:tcBorders>
            <w:shd w:val="clear" w:color="auto" w:fill="auto"/>
            <w:vAlign w:val="center"/>
          </w:tcPr>
          <w:p w:rsidR="001275E2" w:rsidRPr="0061511C" w:rsidRDefault="001275E2" w:rsidP="0061511C">
            <w:pPr>
              <w:pStyle w:val="MDPI42tablebody"/>
              <w:rPr>
                <w:rFonts w:asciiTheme="minorHAnsi" w:hAnsiTheme="minorHAnsi" w:cstheme="minorHAnsi"/>
                <w:b/>
                <w:bCs/>
              </w:rPr>
            </w:pPr>
            <w:proofErr w:type="spellStart"/>
            <w:r w:rsidRPr="0061511C">
              <w:rPr>
                <w:rFonts w:asciiTheme="minorHAnsi" w:hAnsiTheme="minorHAnsi" w:cstheme="minorHAnsi"/>
              </w:rPr>
              <w:t>Elecsys</w:t>
            </w:r>
            <w:proofErr w:type="spellEnd"/>
            <w:r w:rsidRPr="0061511C">
              <w:rPr>
                <w:rFonts w:asciiTheme="minorHAnsi" w:hAnsiTheme="minorHAnsi" w:cstheme="minorHAnsi"/>
              </w:rPr>
              <w:t xml:space="preserve"> plasma</w:t>
            </w:r>
          </w:p>
        </w:tc>
        <w:tc>
          <w:tcPr>
            <w:tcW w:w="3089" w:type="dxa"/>
            <w:gridSpan w:val="3"/>
            <w:tcBorders>
              <w:top w:val="single" w:sz="4" w:space="0" w:color="auto"/>
              <w:bottom w:val="nil"/>
            </w:tcBorders>
            <w:shd w:val="clear" w:color="auto" w:fill="auto"/>
            <w:vAlign w:val="center"/>
          </w:tcPr>
          <w:p w:rsidR="001275E2" w:rsidRPr="0061511C" w:rsidRDefault="001275E2" w:rsidP="0061511C">
            <w:pPr>
              <w:pStyle w:val="MDPI42tablebody"/>
              <w:rPr>
                <w:rFonts w:asciiTheme="minorHAnsi" w:hAnsiTheme="minorHAnsi" w:cstheme="minorHAnsi"/>
                <w:bCs/>
              </w:rPr>
            </w:pPr>
            <w:r w:rsidRPr="0061511C">
              <w:rPr>
                <w:rFonts w:asciiTheme="minorHAnsi" w:hAnsiTheme="minorHAnsi" w:cstheme="minorHAnsi"/>
                <w:bCs/>
              </w:rPr>
              <w:t>0.73 (0.62–0.84)</w:t>
            </w:r>
          </w:p>
        </w:tc>
        <w:tc>
          <w:tcPr>
            <w:tcW w:w="1717" w:type="dxa"/>
            <w:tcBorders>
              <w:top w:val="single" w:sz="4" w:space="0" w:color="auto"/>
              <w:bottom w:val="nil"/>
            </w:tcBorders>
            <w:shd w:val="clear" w:color="auto" w:fill="auto"/>
            <w:vAlign w:val="center"/>
          </w:tcPr>
          <w:p w:rsidR="001275E2" w:rsidRPr="0061511C" w:rsidRDefault="001275E2" w:rsidP="0061511C">
            <w:pPr>
              <w:pStyle w:val="MDPI42tablebody"/>
              <w:rPr>
                <w:rFonts w:asciiTheme="minorHAnsi" w:hAnsiTheme="minorHAnsi" w:cstheme="minorHAnsi"/>
                <w:bCs/>
              </w:rPr>
            </w:pPr>
            <w:r w:rsidRPr="0061511C">
              <w:rPr>
                <w:rFonts w:asciiTheme="minorHAnsi" w:hAnsiTheme="minorHAnsi" w:cstheme="minorHAnsi"/>
                <w:bCs/>
                <w:color w:val="auto"/>
              </w:rPr>
              <w:t>0.77 (0.67–0.88)</w:t>
            </w:r>
          </w:p>
        </w:tc>
        <w:tc>
          <w:tcPr>
            <w:tcW w:w="1717" w:type="dxa"/>
            <w:gridSpan w:val="2"/>
            <w:tcBorders>
              <w:top w:val="single" w:sz="4" w:space="0" w:color="auto"/>
              <w:bottom w:val="nil"/>
            </w:tcBorders>
            <w:shd w:val="clear" w:color="auto" w:fill="auto"/>
            <w:vAlign w:val="center"/>
          </w:tcPr>
          <w:p w:rsidR="001275E2" w:rsidRPr="0061511C" w:rsidRDefault="001275E2" w:rsidP="0061511C">
            <w:pPr>
              <w:pStyle w:val="MDPI42tablebody"/>
              <w:rPr>
                <w:rFonts w:asciiTheme="minorHAnsi" w:hAnsiTheme="minorHAnsi" w:cstheme="minorHAnsi"/>
                <w:bCs/>
              </w:rPr>
            </w:pPr>
            <w:r w:rsidRPr="0061511C">
              <w:rPr>
                <w:rFonts w:asciiTheme="minorHAnsi" w:hAnsiTheme="minorHAnsi" w:cstheme="minorHAnsi"/>
                <w:bCs/>
              </w:rPr>
              <w:t>0.59</w:t>
            </w:r>
          </w:p>
        </w:tc>
      </w:tr>
      <w:tr w:rsidR="001275E2" w:rsidRPr="0061511C" w:rsidTr="0061511C">
        <w:trPr>
          <w:jc w:val="center"/>
        </w:trPr>
        <w:tc>
          <w:tcPr>
            <w:tcW w:w="3942" w:type="dxa"/>
            <w:gridSpan w:val="2"/>
            <w:tcBorders>
              <w:top w:val="nil"/>
              <w:bottom w:val="nil"/>
            </w:tcBorders>
            <w:shd w:val="clear" w:color="auto" w:fill="auto"/>
            <w:vAlign w:val="center"/>
          </w:tcPr>
          <w:p w:rsidR="001275E2" w:rsidRPr="0061511C" w:rsidRDefault="001275E2" w:rsidP="0061511C">
            <w:pPr>
              <w:pStyle w:val="MDPI42tablebody"/>
              <w:rPr>
                <w:rFonts w:asciiTheme="minorHAnsi" w:hAnsiTheme="minorHAnsi" w:cstheme="minorHAnsi"/>
              </w:rPr>
            </w:pPr>
            <w:proofErr w:type="spellStart"/>
            <w:r w:rsidRPr="0061511C">
              <w:rPr>
                <w:rFonts w:asciiTheme="minorHAnsi" w:hAnsiTheme="minorHAnsi" w:cstheme="minorHAnsi"/>
              </w:rPr>
              <w:t>Elecsys</w:t>
            </w:r>
            <w:proofErr w:type="spellEnd"/>
            <w:r w:rsidRPr="0061511C">
              <w:rPr>
                <w:rFonts w:asciiTheme="minorHAnsi" w:hAnsiTheme="minorHAnsi" w:cstheme="minorHAnsi"/>
              </w:rPr>
              <w:t xml:space="preserve"> IP</w:t>
            </w:r>
            <w:r w:rsidR="00C45315">
              <w:rPr>
                <w:rFonts w:asciiTheme="minorHAnsi" w:hAnsiTheme="minorHAnsi" w:cstheme="minorHAnsi"/>
              </w:rPr>
              <w:t>-</w:t>
            </w:r>
            <w:r w:rsidRPr="0061511C">
              <w:rPr>
                <w:rFonts w:asciiTheme="minorHAnsi" w:hAnsiTheme="minorHAnsi" w:cstheme="minorHAnsi"/>
              </w:rPr>
              <w:t>eluate</w:t>
            </w:r>
          </w:p>
        </w:tc>
        <w:tc>
          <w:tcPr>
            <w:tcW w:w="3089" w:type="dxa"/>
            <w:gridSpan w:val="3"/>
            <w:tcBorders>
              <w:top w:val="nil"/>
              <w:bottom w:val="nil"/>
            </w:tcBorders>
            <w:shd w:val="clear" w:color="auto" w:fill="auto"/>
            <w:vAlign w:val="center"/>
          </w:tcPr>
          <w:p w:rsidR="001275E2" w:rsidRPr="0061511C" w:rsidRDefault="001275E2" w:rsidP="0061511C">
            <w:pPr>
              <w:pStyle w:val="MDPI42tablebody"/>
              <w:rPr>
                <w:rFonts w:asciiTheme="minorHAnsi" w:hAnsiTheme="minorHAnsi" w:cstheme="minorHAnsi"/>
                <w:bCs/>
              </w:rPr>
            </w:pPr>
            <w:r w:rsidRPr="0061511C">
              <w:rPr>
                <w:rFonts w:asciiTheme="minorHAnsi" w:hAnsiTheme="minorHAnsi" w:cstheme="minorHAnsi"/>
                <w:bCs/>
              </w:rPr>
              <w:t>0.88 (0.8–0.97)</w:t>
            </w:r>
          </w:p>
        </w:tc>
        <w:tc>
          <w:tcPr>
            <w:tcW w:w="1717" w:type="dxa"/>
            <w:tcBorders>
              <w:top w:val="nil"/>
              <w:bottom w:val="nil"/>
            </w:tcBorders>
            <w:shd w:val="clear" w:color="auto" w:fill="auto"/>
            <w:vAlign w:val="center"/>
          </w:tcPr>
          <w:p w:rsidR="001275E2" w:rsidRPr="0061511C" w:rsidRDefault="001275E2" w:rsidP="0061511C">
            <w:pPr>
              <w:pStyle w:val="MDPI42tablebody"/>
              <w:rPr>
                <w:rFonts w:asciiTheme="minorHAnsi" w:hAnsiTheme="minorHAnsi" w:cstheme="minorHAnsi"/>
                <w:bCs/>
                <w:color w:val="auto"/>
              </w:rPr>
            </w:pPr>
            <w:r w:rsidRPr="0061511C">
              <w:rPr>
                <w:rFonts w:asciiTheme="minorHAnsi" w:hAnsiTheme="minorHAnsi" w:cstheme="minorHAnsi"/>
                <w:bCs/>
                <w:color w:val="auto"/>
              </w:rPr>
              <w:t>0.92 (0.86–0.99)</w:t>
            </w:r>
          </w:p>
        </w:tc>
        <w:tc>
          <w:tcPr>
            <w:tcW w:w="1717" w:type="dxa"/>
            <w:gridSpan w:val="2"/>
            <w:tcBorders>
              <w:top w:val="nil"/>
              <w:bottom w:val="nil"/>
            </w:tcBorders>
            <w:shd w:val="clear" w:color="auto" w:fill="auto"/>
            <w:vAlign w:val="center"/>
          </w:tcPr>
          <w:p w:rsidR="001275E2" w:rsidRPr="0061511C" w:rsidRDefault="001275E2" w:rsidP="0061511C">
            <w:pPr>
              <w:pStyle w:val="MDPI42tablebody"/>
              <w:rPr>
                <w:rFonts w:asciiTheme="minorHAnsi" w:hAnsiTheme="minorHAnsi" w:cstheme="minorHAnsi"/>
                <w:bCs/>
              </w:rPr>
            </w:pPr>
            <w:r w:rsidRPr="0061511C">
              <w:rPr>
                <w:rFonts w:asciiTheme="minorHAnsi" w:hAnsiTheme="minorHAnsi" w:cstheme="minorHAnsi"/>
                <w:bCs/>
              </w:rPr>
              <w:t>0.47</w:t>
            </w:r>
          </w:p>
        </w:tc>
      </w:tr>
      <w:tr w:rsidR="001275E2" w:rsidRPr="0061511C" w:rsidTr="0061511C">
        <w:trPr>
          <w:jc w:val="center"/>
        </w:trPr>
        <w:tc>
          <w:tcPr>
            <w:tcW w:w="3942" w:type="dxa"/>
            <w:gridSpan w:val="2"/>
            <w:tcBorders>
              <w:top w:val="nil"/>
              <w:bottom w:val="single" w:sz="4" w:space="0" w:color="auto"/>
            </w:tcBorders>
            <w:shd w:val="clear" w:color="auto" w:fill="auto"/>
            <w:vAlign w:val="center"/>
          </w:tcPr>
          <w:p w:rsidR="001275E2" w:rsidRPr="0061511C" w:rsidRDefault="001275E2" w:rsidP="0061511C">
            <w:pPr>
              <w:pStyle w:val="MDPI42tablebody"/>
              <w:rPr>
                <w:rFonts w:asciiTheme="minorHAnsi" w:hAnsiTheme="minorHAnsi" w:cstheme="minorHAnsi"/>
              </w:rPr>
            </w:pPr>
            <w:r w:rsidRPr="0061511C">
              <w:rPr>
                <w:rFonts w:asciiTheme="minorHAnsi" w:hAnsiTheme="minorHAnsi" w:cstheme="minorHAnsi"/>
              </w:rPr>
              <w:t>MSD IP</w:t>
            </w:r>
            <w:r w:rsidR="00C45315">
              <w:rPr>
                <w:rFonts w:asciiTheme="minorHAnsi" w:hAnsiTheme="minorHAnsi" w:cstheme="minorHAnsi"/>
              </w:rPr>
              <w:t>-</w:t>
            </w:r>
            <w:r w:rsidRPr="0061511C">
              <w:rPr>
                <w:rFonts w:asciiTheme="minorHAnsi" w:hAnsiTheme="minorHAnsi" w:cstheme="minorHAnsi"/>
              </w:rPr>
              <w:t>eluate</w:t>
            </w:r>
          </w:p>
        </w:tc>
        <w:tc>
          <w:tcPr>
            <w:tcW w:w="3089" w:type="dxa"/>
            <w:gridSpan w:val="3"/>
            <w:tcBorders>
              <w:top w:val="nil"/>
              <w:bottom w:val="single" w:sz="4" w:space="0" w:color="auto"/>
            </w:tcBorders>
            <w:shd w:val="clear" w:color="auto" w:fill="auto"/>
            <w:vAlign w:val="center"/>
          </w:tcPr>
          <w:p w:rsidR="001275E2" w:rsidRPr="0061511C" w:rsidRDefault="001275E2" w:rsidP="0061511C">
            <w:pPr>
              <w:pStyle w:val="MDPI42tablebody"/>
              <w:rPr>
                <w:rFonts w:asciiTheme="minorHAnsi" w:hAnsiTheme="minorHAnsi" w:cstheme="minorHAnsi"/>
                <w:bCs/>
              </w:rPr>
            </w:pPr>
            <w:r w:rsidRPr="0061511C">
              <w:rPr>
                <w:rFonts w:asciiTheme="minorHAnsi" w:hAnsiTheme="minorHAnsi" w:cstheme="minorHAnsi"/>
                <w:bCs/>
              </w:rPr>
              <w:t>0.83 (0.74–0.93)</w:t>
            </w:r>
          </w:p>
        </w:tc>
        <w:tc>
          <w:tcPr>
            <w:tcW w:w="1717" w:type="dxa"/>
            <w:tcBorders>
              <w:top w:val="nil"/>
              <w:bottom w:val="single" w:sz="4" w:space="0" w:color="auto"/>
            </w:tcBorders>
            <w:shd w:val="clear" w:color="auto" w:fill="auto"/>
            <w:vAlign w:val="center"/>
          </w:tcPr>
          <w:p w:rsidR="001275E2" w:rsidRPr="0061511C" w:rsidRDefault="001275E2" w:rsidP="0061511C">
            <w:pPr>
              <w:pStyle w:val="MDPI42tablebody"/>
              <w:rPr>
                <w:rFonts w:asciiTheme="minorHAnsi" w:hAnsiTheme="minorHAnsi" w:cstheme="minorHAnsi"/>
                <w:bCs/>
                <w:color w:val="auto"/>
              </w:rPr>
            </w:pPr>
            <w:r w:rsidRPr="0061511C">
              <w:rPr>
                <w:rFonts w:asciiTheme="minorHAnsi" w:hAnsiTheme="minorHAnsi" w:cstheme="minorHAnsi"/>
                <w:bCs/>
                <w:color w:val="auto"/>
              </w:rPr>
              <w:t>0.85 (0.76–0.94)</w:t>
            </w:r>
          </w:p>
        </w:tc>
        <w:tc>
          <w:tcPr>
            <w:tcW w:w="1717" w:type="dxa"/>
            <w:gridSpan w:val="2"/>
            <w:tcBorders>
              <w:top w:val="nil"/>
              <w:bottom w:val="single" w:sz="4" w:space="0" w:color="auto"/>
            </w:tcBorders>
            <w:shd w:val="clear" w:color="auto" w:fill="auto"/>
            <w:vAlign w:val="center"/>
          </w:tcPr>
          <w:p w:rsidR="001275E2" w:rsidRPr="0061511C" w:rsidRDefault="001275E2" w:rsidP="0061511C">
            <w:pPr>
              <w:pStyle w:val="MDPI42tablebody"/>
              <w:rPr>
                <w:rFonts w:asciiTheme="minorHAnsi" w:hAnsiTheme="minorHAnsi" w:cstheme="minorHAnsi"/>
                <w:bCs/>
              </w:rPr>
            </w:pPr>
            <w:r w:rsidRPr="0061511C">
              <w:rPr>
                <w:rFonts w:asciiTheme="minorHAnsi" w:hAnsiTheme="minorHAnsi" w:cstheme="minorHAnsi"/>
                <w:bCs/>
              </w:rPr>
              <w:t>0.73</w:t>
            </w:r>
          </w:p>
        </w:tc>
      </w:tr>
      <w:tr w:rsidR="001275E2" w:rsidRPr="0030226C" w:rsidTr="0061511C">
        <w:trPr>
          <w:jc w:val="center"/>
        </w:trPr>
        <w:tc>
          <w:tcPr>
            <w:tcW w:w="3942" w:type="dxa"/>
            <w:gridSpan w:val="2"/>
            <w:tcBorders>
              <w:top w:val="single" w:sz="8" w:space="0" w:color="auto"/>
              <w:bottom w:val="single" w:sz="8" w:space="0" w:color="auto"/>
            </w:tcBorders>
            <w:shd w:val="clear" w:color="auto" w:fill="auto"/>
            <w:vAlign w:val="center"/>
          </w:tcPr>
          <w:p w:rsidR="001275E2" w:rsidRPr="0061511C" w:rsidRDefault="001275E2" w:rsidP="0061511C">
            <w:pPr>
              <w:pStyle w:val="MDPI42tablebody"/>
              <w:rPr>
                <w:rFonts w:asciiTheme="minorHAnsi" w:hAnsiTheme="minorHAnsi" w:cstheme="minorHAnsi"/>
              </w:rPr>
            </w:pPr>
          </w:p>
        </w:tc>
        <w:tc>
          <w:tcPr>
            <w:tcW w:w="6523" w:type="dxa"/>
            <w:gridSpan w:val="6"/>
            <w:tcBorders>
              <w:top w:val="single" w:sz="8" w:space="0" w:color="auto"/>
              <w:bottom w:val="single" w:sz="8" w:space="0" w:color="auto"/>
            </w:tcBorders>
            <w:shd w:val="clear" w:color="auto" w:fill="auto"/>
            <w:vAlign w:val="center"/>
          </w:tcPr>
          <w:p w:rsidR="001275E2" w:rsidRPr="0061511C" w:rsidRDefault="001275E2" w:rsidP="0061511C">
            <w:pPr>
              <w:pStyle w:val="MDPI42tablebody"/>
              <w:rPr>
                <w:rFonts w:asciiTheme="minorHAnsi" w:hAnsiTheme="minorHAnsi" w:cstheme="minorHAnsi"/>
                <w:b/>
                <w:bCs/>
              </w:rPr>
            </w:pPr>
            <w:r w:rsidRPr="0061511C">
              <w:rPr>
                <w:rFonts w:asciiTheme="minorHAnsi" w:hAnsiTheme="minorHAnsi" w:cstheme="minorHAnsi"/>
                <w:b/>
                <w:bCs/>
                <w:color w:val="auto"/>
              </w:rPr>
              <w:t xml:space="preserve">Bivariate model including </w:t>
            </w:r>
            <w:proofErr w:type="spellStart"/>
            <w:r w:rsidRPr="0061511C">
              <w:rPr>
                <w:rFonts w:asciiTheme="minorHAnsi" w:hAnsiTheme="minorHAnsi" w:cstheme="minorHAnsi"/>
                <w:b/>
                <w:bCs/>
                <w:color w:val="auto"/>
              </w:rPr>
              <w:t>ApoE</w:t>
            </w:r>
            <w:proofErr w:type="spellEnd"/>
            <w:r w:rsidRPr="0061511C">
              <w:rPr>
                <w:rFonts w:asciiTheme="minorHAnsi" w:hAnsiTheme="minorHAnsi" w:cstheme="minorHAnsi"/>
                <w:b/>
                <w:bCs/>
                <w:color w:val="auto"/>
              </w:rPr>
              <w:t xml:space="preserve"> genotype AUC (95% CI)</w:t>
            </w:r>
          </w:p>
        </w:tc>
      </w:tr>
      <w:tr w:rsidR="001275E2" w:rsidRPr="0061511C" w:rsidTr="0061511C">
        <w:trPr>
          <w:jc w:val="center"/>
        </w:trPr>
        <w:tc>
          <w:tcPr>
            <w:tcW w:w="3942" w:type="dxa"/>
            <w:gridSpan w:val="2"/>
            <w:tcBorders>
              <w:top w:val="single" w:sz="8" w:space="0" w:color="auto"/>
              <w:bottom w:val="single" w:sz="4" w:space="0" w:color="auto"/>
            </w:tcBorders>
            <w:shd w:val="clear" w:color="auto" w:fill="auto"/>
            <w:vAlign w:val="center"/>
          </w:tcPr>
          <w:p w:rsidR="001275E2" w:rsidRPr="0061511C" w:rsidRDefault="001275E2" w:rsidP="0061511C">
            <w:pPr>
              <w:pStyle w:val="MDPI42tablebody"/>
              <w:rPr>
                <w:rFonts w:asciiTheme="minorHAnsi" w:hAnsiTheme="minorHAnsi" w:cstheme="minorHAnsi"/>
                <w:b/>
                <w:bCs/>
              </w:rPr>
            </w:pPr>
          </w:p>
        </w:tc>
        <w:tc>
          <w:tcPr>
            <w:tcW w:w="3089" w:type="dxa"/>
            <w:gridSpan w:val="3"/>
            <w:tcBorders>
              <w:top w:val="single" w:sz="8" w:space="0" w:color="auto"/>
              <w:bottom w:val="single" w:sz="4" w:space="0" w:color="auto"/>
            </w:tcBorders>
            <w:shd w:val="clear" w:color="auto" w:fill="auto"/>
            <w:vAlign w:val="center"/>
          </w:tcPr>
          <w:p w:rsidR="001275E2" w:rsidRPr="0061511C" w:rsidRDefault="001275E2" w:rsidP="0061511C">
            <w:pPr>
              <w:pStyle w:val="MDPI42tablebody"/>
              <w:rPr>
                <w:rFonts w:asciiTheme="minorHAnsi" w:hAnsiTheme="minorHAnsi" w:cstheme="minorHAnsi"/>
                <w:b/>
                <w:bCs/>
              </w:rPr>
            </w:pPr>
            <w:r w:rsidRPr="0061511C">
              <w:rPr>
                <w:rFonts w:asciiTheme="minorHAnsi" w:hAnsiTheme="minorHAnsi" w:cstheme="minorHAnsi"/>
                <w:b/>
                <w:bCs/>
              </w:rPr>
              <w:t xml:space="preserve">CSF Aβ42/Aβ40 </w:t>
            </w:r>
            <w:r w:rsidRPr="0061511C">
              <w:rPr>
                <w:rFonts w:asciiTheme="minorHAnsi" w:hAnsiTheme="minorHAnsi" w:cstheme="minorHAnsi"/>
                <w:b/>
                <w:bCs/>
                <w:vertAlign w:val="superscript"/>
              </w:rPr>
              <w:t>1</w:t>
            </w:r>
          </w:p>
        </w:tc>
        <w:tc>
          <w:tcPr>
            <w:tcW w:w="1717" w:type="dxa"/>
            <w:tcBorders>
              <w:top w:val="single" w:sz="8" w:space="0" w:color="auto"/>
              <w:bottom w:val="single" w:sz="4" w:space="0" w:color="auto"/>
            </w:tcBorders>
            <w:shd w:val="clear" w:color="auto" w:fill="auto"/>
            <w:vAlign w:val="center"/>
          </w:tcPr>
          <w:p w:rsidR="001275E2" w:rsidRPr="0061511C" w:rsidRDefault="001275E2" w:rsidP="0061511C">
            <w:pPr>
              <w:pStyle w:val="MDPI42tablebody"/>
              <w:rPr>
                <w:rFonts w:asciiTheme="minorHAnsi" w:hAnsiTheme="minorHAnsi" w:cstheme="minorHAnsi"/>
                <w:b/>
                <w:bCs/>
              </w:rPr>
            </w:pPr>
            <w:r w:rsidRPr="0061511C">
              <w:rPr>
                <w:rFonts w:asciiTheme="minorHAnsi" w:hAnsiTheme="minorHAnsi" w:cstheme="minorHAnsi"/>
                <w:b/>
                <w:bCs/>
              </w:rPr>
              <w:t xml:space="preserve">Biomarker supported clinical diagnosis </w:t>
            </w:r>
            <w:r w:rsidRPr="0061511C">
              <w:rPr>
                <w:rFonts w:asciiTheme="minorHAnsi" w:hAnsiTheme="minorHAnsi" w:cstheme="minorHAnsi"/>
                <w:b/>
                <w:bCs/>
                <w:vertAlign w:val="superscript"/>
              </w:rPr>
              <w:t>2</w:t>
            </w:r>
          </w:p>
        </w:tc>
        <w:tc>
          <w:tcPr>
            <w:tcW w:w="1717" w:type="dxa"/>
            <w:gridSpan w:val="2"/>
            <w:tcBorders>
              <w:top w:val="single" w:sz="8" w:space="0" w:color="auto"/>
              <w:bottom w:val="single" w:sz="4" w:space="0" w:color="auto"/>
            </w:tcBorders>
            <w:shd w:val="clear" w:color="auto" w:fill="auto"/>
            <w:vAlign w:val="center"/>
          </w:tcPr>
          <w:p w:rsidR="001275E2" w:rsidRPr="0061511C" w:rsidRDefault="001275E2" w:rsidP="0061511C">
            <w:pPr>
              <w:pStyle w:val="MDPI42tablebody"/>
              <w:rPr>
                <w:rFonts w:asciiTheme="minorHAnsi" w:hAnsiTheme="minorHAnsi" w:cstheme="minorHAnsi"/>
                <w:b/>
                <w:bCs/>
              </w:rPr>
            </w:pPr>
            <w:r w:rsidRPr="0061511C">
              <w:rPr>
                <w:rFonts w:asciiTheme="minorHAnsi" w:hAnsiTheme="minorHAnsi" w:cstheme="minorHAnsi"/>
                <w:b/>
                <w:bCs/>
              </w:rPr>
              <w:t xml:space="preserve">P-value </w:t>
            </w:r>
            <w:r w:rsidRPr="0061511C">
              <w:rPr>
                <w:rFonts w:asciiTheme="minorHAnsi" w:hAnsiTheme="minorHAnsi" w:cstheme="minorHAnsi"/>
                <w:b/>
                <w:bCs/>
                <w:vertAlign w:val="superscript"/>
              </w:rPr>
              <w:t>3</w:t>
            </w:r>
          </w:p>
        </w:tc>
      </w:tr>
      <w:tr w:rsidR="001275E2" w:rsidRPr="0061511C" w:rsidTr="0061511C">
        <w:trPr>
          <w:jc w:val="center"/>
        </w:trPr>
        <w:tc>
          <w:tcPr>
            <w:tcW w:w="3942" w:type="dxa"/>
            <w:gridSpan w:val="2"/>
            <w:tcBorders>
              <w:top w:val="single" w:sz="4" w:space="0" w:color="auto"/>
              <w:bottom w:val="nil"/>
            </w:tcBorders>
            <w:shd w:val="clear" w:color="auto" w:fill="auto"/>
            <w:vAlign w:val="center"/>
          </w:tcPr>
          <w:p w:rsidR="001275E2" w:rsidRPr="0061511C" w:rsidRDefault="001275E2" w:rsidP="0061511C">
            <w:pPr>
              <w:pStyle w:val="MDPI42tablebody"/>
              <w:rPr>
                <w:rFonts w:asciiTheme="minorHAnsi" w:hAnsiTheme="minorHAnsi" w:cstheme="minorHAnsi"/>
                <w:b/>
                <w:bCs/>
              </w:rPr>
            </w:pPr>
            <w:proofErr w:type="spellStart"/>
            <w:r w:rsidRPr="0061511C">
              <w:rPr>
                <w:rFonts w:asciiTheme="minorHAnsi" w:hAnsiTheme="minorHAnsi" w:cstheme="minorHAnsi"/>
              </w:rPr>
              <w:t>Elecsys</w:t>
            </w:r>
            <w:proofErr w:type="spellEnd"/>
            <w:r w:rsidRPr="0061511C">
              <w:rPr>
                <w:rFonts w:asciiTheme="minorHAnsi" w:hAnsiTheme="minorHAnsi" w:cstheme="minorHAnsi"/>
              </w:rPr>
              <w:t xml:space="preserve"> plasma</w:t>
            </w:r>
          </w:p>
        </w:tc>
        <w:tc>
          <w:tcPr>
            <w:tcW w:w="3089" w:type="dxa"/>
            <w:gridSpan w:val="3"/>
            <w:tcBorders>
              <w:top w:val="single" w:sz="4" w:space="0" w:color="auto"/>
              <w:bottom w:val="nil"/>
            </w:tcBorders>
            <w:shd w:val="clear" w:color="auto" w:fill="auto"/>
            <w:vAlign w:val="center"/>
          </w:tcPr>
          <w:p w:rsidR="001275E2" w:rsidRPr="0061511C" w:rsidRDefault="001275E2" w:rsidP="0061511C">
            <w:pPr>
              <w:pStyle w:val="MDPI42tablebody"/>
              <w:rPr>
                <w:rFonts w:asciiTheme="minorHAnsi" w:hAnsiTheme="minorHAnsi" w:cstheme="minorHAnsi"/>
                <w:bCs/>
              </w:rPr>
            </w:pPr>
            <w:r w:rsidRPr="0061511C">
              <w:rPr>
                <w:rFonts w:asciiTheme="minorHAnsi" w:hAnsiTheme="minorHAnsi" w:cstheme="minorHAnsi"/>
                <w:bCs/>
              </w:rPr>
              <w:t>0.85 (0.77–0.94)</w:t>
            </w:r>
          </w:p>
        </w:tc>
        <w:tc>
          <w:tcPr>
            <w:tcW w:w="1717" w:type="dxa"/>
            <w:tcBorders>
              <w:top w:val="single" w:sz="4" w:space="0" w:color="auto"/>
              <w:bottom w:val="nil"/>
            </w:tcBorders>
            <w:shd w:val="clear" w:color="auto" w:fill="auto"/>
            <w:vAlign w:val="center"/>
          </w:tcPr>
          <w:p w:rsidR="001275E2" w:rsidRPr="0061511C" w:rsidRDefault="001275E2" w:rsidP="0061511C">
            <w:pPr>
              <w:pStyle w:val="MDPI42tablebody"/>
              <w:rPr>
                <w:rFonts w:asciiTheme="minorHAnsi" w:hAnsiTheme="minorHAnsi" w:cstheme="minorHAnsi"/>
                <w:b/>
                <w:bCs/>
              </w:rPr>
            </w:pPr>
            <w:r w:rsidRPr="0061511C">
              <w:rPr>
                <w:rFonts w:asciiTheme="minorHAnsi" w:hAnsiTheme="minorHAnsi" w:cstheme="minorHAnsi"/>
                <w:bCs/>
                <w:color w:val="auto"/>
              </w:rPr>
              <w:t>0.84 (0.75–0.93)</w:t>
            </w:r>
          </w:p>
        </w:tc>
        <w:tc>
          <w:tcPr>
            <w:tcW w:w="1717" w:type="dxa"/>
            <w:gridSpan w:val="2"/>
            <w:tcBorders>
              <w:top w:val="single" w:sz="4" w:space="0" w:color="auto"/>
              <w:bottom w:val="nil"/>
            </w:tcBorders>
            <w:shd w:val="clear" w:color="auto" w:fill="auto"/>
            <w:vAlign w:val="center"/>
          </w:tcPr>
          <w:p w:rsidR="001275E2" w:rsidRPr="0061511C" w:rsidRDefault="001275E2" w:rsidP="0061511C">
            <w:pPr>
              <w:pStyle w:val="MDPI42tablebody"/>
              <w:rPr>
                <w:rFonts w:asciiTheme="minorHAnsi" w:hAnsiTheme="minorHAnsi" w:cstheme="minorHAnsi"/>
                <w:bCs/>
              </w:rPr>
            </w:pPr>
            <w:r w:rsidRPr="0061511C">
              <w:rPr>
                <w:rFonts w:asciiTheme="minorHAnsi" w:hAnsiTheme="minorHAnsi" w:cstheme="minorHAnsi"/>
                <w:bCs/>
              </w:rPr>
              <w:t>0.83</w:t>
            </w:r>
          </w:p>
        </w:tc>
      </w:tr>
      <w:tr w:rsidR="001275E2" w:rsidRPr="0061511C" w:rsidTr="0061511C">
        <w:trPr>
          <w:jc w:val="center"/>
        </w:trPr>
        <w:tc>
          <w:tcPr>
            <w:tcW w:w="3942" w:type="dxa"/>
            <w:gridSpan w:val="2"/>
            <w:tcBorders>
              <w:top w:val="nil"/>
              <w:bottom w:val="nil"/>
            </w:tcBorders>
            <w:shd w:val="clear" w:color="auto" w:fill="auto"/>
            <w:vAlign w:val="center"/>
          </w:tcPr>
          <w:p w:rsidR="001275E2" w:rsidRPr="0061511C" w:rsidRDefault="001275E2" w:rsidP="0061511C">
            <w:pPr>
              <w:pStyle w:val="MDPI42tablebody"/>
              <w:rPr>
                <w:rFonts w:asciiTheme="minorHAnsi" w:hAnsiTheme="minorHAnsi" w:cstheme="minorHAnsi"/>
              </w:rPr>
            </w:pPr>
            <w:proofErr w:type="spellStart"/>
            <w:r w:rsidRPr="0061511C">
              <w:rPr>
                <w:rFonts w:asciiTheme="minorHAnsi" w:hAnsiTheme="minorHAnsi" w:cstheme="minorHAnsi"/>
              </w:rPr>
              <w:t>Elecsys</w:t>
            </w:r>
            <w:proofErr w:type="spellEnd"/>
            <w:r w:rsidRPr="0061511C">
              <w:rPr>
                <w:rFonts w:asciiTheme="minorHAnsi" w:hAnsiTheme="minorHAnsi" w:cstheme="minorHAnsi"/>
              </w:rPr>
              <w:t xml:space="preserve"> IP</w:t>
            </w:r>
            <w:r w:rsidR="00C45315">
              <w:rPr>
                <w:rFonts w:asciiTheme="minorHAnsi" w:hAnsiTheme="minorHAnsi" w:cstheme="minorHAnsi"/>
              </w:rPr>
              <w:t>-</w:t>
            </w:r>
            <w:r w:rsidRPr="0061511C">
              <w:rPr>
                <w:rFonts w:asciiTheme="minorHAnsi" w:hAnsiTheme="minorHAnsi" w:cstheme="minorHAnsi"/>
              </w:rPr>
              <w:t>eluate</w:t>
            </w:r>
          </w:p>
        </w:tc>
        <w:tc>
          <w:tcPr>
            <w:tcW w:w="3089" w:type="dxa"/>
            <w:gridSpan w:val="3"/>
            <w:tcBorders>
              <w:top w:val="nil"/>
              <w:bottom w:val="nil"/>
            </w:tcBorders>
            <w:shd w:val="clear" w:color="auto" w:fill="auto"/>
            <w:vAlign w:val="center"/>
          </w:tcPr>
          <w:p w:rsidR="001275E2" w:rsidRPr="0061511C" w:rsidRDefault="001275E2" w:rsidP="0061511C">
            <w:pPr>
              <w:pStyle w:val="MDPI42tablebody"/>
              <w:rPr>
                <w:rFonts w:asciiTheme="minorHAnsi" w:hAnsiTheme="minorHAnsi" w:cstheme="minorHAnsi"/>
                <w:bCs/>
              </w:rPr>
            </w:pPr>
            <w:r w:rsidRPr="0061511C">
              <w:rPr>
                <w:rFonts w:asciiTheme="minorHAnsi" w:hAnsiTheme="minorHAnsi" w:cstheme="minorHAnsi"/>
                <w:bCs/>
              </w:rPr>
              <w:t>0.91 (0.84–0.98)</w:t>
            </w:r>
          </w:p>
        </w:tc>
        <w:tc>
          <w:tcPr>
            <w:tcW w:w="1717" w:type="dxa"/>
            <w:tcBorders>
              <w:top w:val="nil"/>
              <w:bottom w:val="nil"/>
            </w:tcBorders>
            <w:shd w:val="clear" w:color="auto" w:fill="auto"/>
            <w:vAlign w:val="center"/>
          </w:tcPr>
          <w:p w:rsidR="001275E2" w:rsidRPr="0061511C" w:rsidRDefault="001275E2" w:rsidP="0061511C">
            <w:pPr>
              <w:pStyle w:val="MDPI42tablebody"/>
              <w:rPr>
                <w:rFonts w:asciiTheme="minorHAnsi" w:hAnsiTheme="minorHAnsi" w:cstheme="minorHAnsi"/>
                <w:b/>
                <w:bCs/>
              </w:rPr>
            </w:pPr>
            <w:r w:rsidRPr="0061511C">
              <w:rPr>
                <w:rFonts w:asciiTheme="minorHAnsi" w:hAnsiTheme="minorHAnsi" w:cstheme="minorHAnsi"/>
                <w:bCs/>
                <w:color w:val="auto"/>
              </w:rPr>
              <w:t>0.93 (0.87–0.99)</w:t>
            </w:r>
          </w:p>
        </w:tc>
        <w:tc>
          <w:tcPr>
            <w:tcW w:w="1717" w:type="dxa"/>
            <w:gridSpan w:val="2"/>
            <w:tcBorders>
              <w:top w:val="nil"/>
              <w:bottom w:val="nil"/>
            </w:tcBorders>
            <w:shd w:val="clear" w:color="auto" w:fill="auto"/>
            <w:vAlign w:val="center"/>
          </w:tcPr>
          <w:p w:rsidR="001275E2" w:rsidRPr="0061511C" w:rsidRDefault="001275E2" w:rsidP="0061511C">
            <w:pPr>
              <w:pStyle w:val="MDPI42tablebody"/>
              <w:rPr>
                <w:rFonts w:asciiTheme="minorHAnsi" w:hAnsiTheme="minorHAnsi" w:cstheme="minorHAnsi"/>
                <w:bCs/>
              </w:rPr>
            </w:pPr>
            <w:r w:rsidRPr="0061511C">
              <w:rPr>
                <w:rFonts w:asciiTheme="minorHAnsi" w:hAnsiTheme="minorHAnsi" w:cstheme="minorHAnsi"/>
                <w:bCs/>
              </w:rPr>
              <w:t>0.70</w:t>
            </w:r>
          </w:p>
        </w:tc>
      </w:tr>
      <w:tr w:rsidR="001275E2" w:rsidRPr="0061511C" w:rsidTr="0061511C">
        <w:trPr>
          <w:jc w:val="center"/>
        </w:trPr>
        <w:tc>
          <w:tcPr>
            <w:tcW w:w="3942" w:type="dxa"/>
            <w:gridSpan w:val="2"/>
            <w:tcBorders>
              <w:top w:val="nil"/>
              <w:bottom w:val="single" w:sz="4" w:space="0" w:color="auto"/>
            </w:tcBorders>
            <w:shd w:val="clear" w:color="auto" w:fill="auto"/>
            <w:vAlign w:val="center"/>
          </w:tcPr>
          <w:p w:rsidR="001275E2" w:rsidRPr="0061511C" w:rsidRDefault="001275E2" w:rsidP="0061511C">
            <w:pPr>
              <w:pStyle w:val="MDPI42tablebody"/>
              <w:rPr>
                <w:rFonts w:asciiTheme="minorHAnsi" w:hAnsiTheme="minorHAnsi" w:cstheme="minorHAnsi"/>
              </w:rPr>
            </w:pPr>
            <w:r w:rsidRPr="0061511C">
              <w:rPr>
                <w:rFonts w:asciiTheme="minorHAnsi" w:hAnsiTheme="minorHAnsi" w:cstheme="minorHAnsi"/>
              </w:rPr>
              <w:t>MSD IP</w:t>
            </w:r>
            <w:r w:rsidR="00C45315">
              <w:rPr>
                <w:rFonts w:asciiTheme="minorHAnsi" w:hAnsiTheme="minorHAnsi" w:cstheme="minorHAnsi"/>
              </w:rPr>
              <w:t>-</w:t>
            </w:r>
            <w:r w:rsidRPr="0061511C">
              <w:rPr>
                <w:rFonts w:asciiTheme="minorHAnsi" w:hAnsiTheme="minorHAnsi" w:cstheme="minorHAnsi"/>
              </w:rPr>
              <w:t>eluate</w:t>
            </w:r>
          </w:p>
        </w:tc>
        <w:tc>
          <w:tcPr>
            <w:tcW w:w="3089" w:type="dxa"/>
            <w:gridSpan w:val="3"/>
            <w:tcBorders>
              <w:top w:val="nil"/>
              <w:bottom w:val="single" w:sz="4" w:space="0" w:color="auto"/>
            </w:tcBorders>
            <w:shd w:val="clear" w:color="auto" w:fill="auto"/>
            <w:vAlign w:val="center"/>
          </w:tcPr>
          <w:p w:rsidR="001275E2" w:rsidRPr="0061511C" w:rsidRDefault="001275E2" w:rsidP="0061511C">
            <w:pPr>
              <w:pStyle w:val="MDPI42tablebody"/>
              <w:rPr>
                <w:rFonts w:asciiTheme="minorHAnsi" w:hAnsiTheme="minorHAnsi" w:cstheme="minorHAnsi"/>
                <w:bCs/>
              </w:rPr>
            </w:pPr>
            <w:r w:rsidRPr="0061511C">
              <w:rPr>
                <w:rFonts w:asciiTheme="minorHAnsi" w:hAnsiTheme="minorHAnsi" w:cstheme="minorHAnsi"/>
                <w:bCs/>
              </w:rPr>
              <w:t>0.85 (0.76–0.94)</w:t>
            </w:r>
          </w:p>
        </w:tc>
        <w:tc>
          <w:tcPr>
            <w:tcW w:w="1717" w:type="dxa"/>
            <w:tcBorders>
              <w:top w:val="nil"/>
              <w:bottom w:val="single" w:sz="4" w:space="0" w:color="auto"/>
            </w:tcBorders>
            <w:shd w:val="clear" w:color="auto" w:fill="auto"/>
            <w:vAlign w:val="center"/>
          </w:tcPr>
          <w:p w:rsidR="001275E2" w:rsidRPr="0061511C" w:rsidRDefault="001275E2" w:rsidP="0061511C">
            <w:pPr>
              <w:pStyle w:val="MDPI42tablebody"/>
              <w:rPr>
                <w:rFonts w:asciiTheme="minorHAnsi" w:hAnsiTheme="minorHAnsi" w:cstheme="minorHAnsi"/>
                <w:b/>
                <w:bCs/>
              </w:rPr>
            </w:pPr>
            <w:r w:rsidRPr="0061511C">
              <w:rPr>
                <w:rFonts w:asciiTheme="minorHAnsi" w:hAnsiTheme="minorHAnsi" w:cstheme="minorHAnsi"/>
                <w:bCs/>
                <w:color w:val="auto"/>
              </w:rPr>
              <w:t>0.85 (0.76–0.94)</w:t>
            </w:r>
          </w:p>
        </w:tc>
        <w:tc>
          <w:tcPr>
            <w:tcW w:w="1717" w:type="dxa"/>
            <w:gridSpan w:val="2"/>
            <w:tcBorders>
              <w:top w:val="nil"/>
              <w:bottom w:val="single" w:sz="4" w:space="0" w:color="auto"/>
            </w:tcBorders>
            <w:shd w:val="clear" w:color="auto" w:fill="auto"/>
            <w:vAlign w:val="center"/>
          </w:tcPr>
          <w:p w:rsidR="001275E2" w:rsidRPr="0061511C" w:rsidRDefault="001275E2" w:rsidP="0061511C">
            <w:pPr>
              <w:pStyle w:val="MDPI42tablebody"/>
              <w:rPr>
                <w:rFonts w:asciiTheme="minorHAnsi" w:hAnsiTheme="minorHAnsi" w:cstheme="minorHAnsi"/>
                <w:bCs/>
              </w:rPr>
            </w:pPr>
            <w:r w:rsidRPr="0061511C">
              <w:rPr>
                <w:rFonts w:asciiTheme="minorHAnsi" w:hAnsiTheme="minorHAnsi" w:cstheme="minorHAnsi"/>
                <w:bCs/>
              </w:rPr>
              <w:t>0.97</w:t>
            </w:r>
          </w:p>
        </w:tc>
      </w:tr>
      <w:tr w:rsidR="001275E2" w:rsidRPr="0061511C" w:rsidTr="0061511C">
        <w:tblPrEx>
          <w:jc w:val="left"/>
          <w:tblBorders>
            <w:top w:val="none" w:sz="0" w:space="0" w:color="auto"/>
            <w:bottom w:val="none" w:sz="0" w:space="0" w:color="auto"/>
          </w:tblBorders>
          <w:tblCellMar>
            <w:left w:w="70" w:type="dxa"/>
            <w:right w:w="70" w:type="dxa"/>
          </w:tblCellMar>
        </w:tblPrEx>
        <w:trPr>
          <w:gridAfter w:val="1"/>
          <w:wAfter w:w="1325" w:type="dxa"/>
          <w:trHeight w:val="300"/>
        </w:trPr>
        <w:tc>
          <w:tcPr>
            <w:tcW w:w="2291" w:type="dxa"/>
            <w:tcBorders>
              <w:top w:val="nil"/>
              <w:left w:val="nil"/>
              <w:bottom w:val="nil"/>
              <w:right w:val="nil"/>
            </w:tcBorders>
            <w:shd w:val="clear" w:color="auto" w:fill="auto"/>
            <w:noWrap/>
            <w:vAlign w:val="bottom"/>
            <w:hideMark/>
          </w:tcPr>
          <w:p w:rsidR="001275E2" w:rsidRPr="0061511C" w:rsidRDefault="001275E2" w:rsidP="0061511C">
            <w:pPr>
              <w:spacing w:line="240" w:lineRule="auto"/>
              <w:rPr>
                <w:rFonts w:eastAsia="Times New Roman" w:cstheme="minorHAnsi"/>
                <w:lang w:val="en-US" w:eastAsia="de-DE"/>
              </w:rPr>
            </w:pPr>
          </w:p>
        </w:tc>
        <w:tc>
          <w:tcPr>
            <w:tcW w:w="2283" w:type="dxa"/>
            <w:gridSpan w:val="2"/>
            <w:tcBorders>
              <w:top w:val="nil"/>
              <w:left w:val="nil"/>
              <w:bottom w:val="nil"/>
              <w:right w:val="nil"/>
            </w:tcBorders>
            <w:shd w:val="clear" w:color="auto" w:fill="auto"/>
            <w:noWrap/>
            <w:vAlign w:val="bottom"/>
            <w:hideMark/>
          </w:tcPr>
          <w:p w:rsidR="001275E2" w:rsidRPr="0061511C" w:rsidRDefault="001275E2" w:rsidP="0061511C">
            <w:pPr>
              <w:spacing w:line="240" w:lineRule="auto"/>
              <w:rPr>
                <w:rFonts w:eastAsia="Times New Roman" w:cstheme="minorHAnsi"/>
                <w:lang w:val="en-US" w:eastAsia="de-DE"/>
              </w:rPr>
            </w:pPr>
          </w:p>
        </w:tc>
        <w:tc>
          <w:tcPr>
            <w:tcW w:w="2283" w:type="dxa"/>
            <w:tcBorders>
              <w:top w:val="nil"/>
              <w:left w:val="nil"/>
              <w:bottom w:val="nil"/>
              <w:right w:val="nil"/>
            </w:tcBorders>
            <w:shd w:val="clear" w:color="auto" w:fill="auto"/>
            <w:noWrap/>
            <w:vAlign w:val="bottom"/>
            <w:hideMark/>
          </w:tcPr>
          <w:p w:rsidR="001275E2" w:rsidRPr="0061511C" w:rsidRDefault="001275E2" w:rsidP="0061511C">
            <w:pPr>
              <w:spacing w:line="240" w:lineRule="auto"/>
              <w:rPr>
                <w:rFonts w:eastAsia="Times New Roman" w:cstheme="minorHAnsi"/>
                <w:lang w:val="en-US" w:eastAsia="de-DE"/>
              </w:rPr>
            </w:pPr>
          </w:p>
        </w:tc>
        <w:tc>
          <w:tcPr>
            <w:tcW w:w="2283" w:type="dxa"/>
            <w:gridSpan w:val="3"/>
            <w:tcBorders>
              <w:top w:val="nil"/>
              <w:left w:val="nil"/>
              <w:bottom w:val="nil"/>
              <w:right w:val="nil"/>
            </w:tcBorders>
            <w:shd w:val="clear" w:color="auto" w:fill="auto"/>
            <w:noWrap/>
            <w:vAlign w:val="bottom"/>
            <w:hideMark/>
          </w:tcPr>
          <w:p w:rsidR="001275E2" w:rsidRPr="0061511C" w:rsidRDefault="001275E2" w:rsidP="0061511C">
            <w:pPr>
              <w:spacing w:line="240" w:lineRule="auto"/>
              <w:rPr>
                <w:rFonts w:eastAsia="Times New Roman" w:cstheme="minorHAnsi"/>
                <w:lang w:val="en-US" w:eastAsia="de-DE"/>
              </w:rPr>
            </w:pPr>
          </w:p>
        </w:tc>
      </w:tr>
    </w:tbl>
    <w:p w:rsidR="001275E2" w:rsidRPr="0061511C" w:rsidRDefault="001275E2" w:rsidP="001275E2">
      <w:pPr>
        <w:pStyle w:val="MDPI41tablecaption"/>
        <w:ind w:left="0"/>
        <w:rPr>
          <w:rFonts w:asciiTheme="minorHAnsi" w:hAnsiTheme="minorHAnsi" w:cstheme="minorHAnsi"/>
        </w:rPr>
      </w:pPr>
      <w:r w:rsidRPr="0061511C">
        <w:rPr>
          <w:rFonts w:asciiTheme="minorHAnsi" w:hAnsiTheme="minorHAnsi" w:cstheme="minorHAnsi"/>
          <w:vertAlign w:val="superscript"/>
        </w:rPr>
        <w:t xml:space="preserve">1 </w:t>
      </w:r>
      <w:r w:rsidRPr="0061511C">
        <w:rPr>
          <w:rFonts w:asciiTheme="minorHAnsi" w:hAnsiTheme="minorHAnsi" w:cstheme="minorHAnsi"/>
        </w:rPr>
        <w:t>CSF Aβ42/Aβ40 was dichotomized according to the clinical cutoff ≤0.05.</w:t>
      </w:r>
    </w:p>
    <w:p w:rsidR="00866200" w:rsidRDefault="001275E2" w:rsidP="001275E2">
      <w:pPr>
        <w:pStyle w:val="MDPI41tablecaption"/>
        <w:ind w:left="0"/>
        <w:rPr>
          <w:rFonts w:asciiTheme="minorHAnsi" w:hAnsiTheme="minorHAnsi" w:cstheme="minorHAnsi"/>
        </w:rPr>
      </w:pPr>
      <w:r w:rsidRPr="0061511C">
        <w:rPr>
          <w:rFonts w:asciiTheme="minorHAnsi" w:hAnsiTheme="minorHAnsi" w:cstheme="minorHAnsi"/>
          <w:vertAlign w:val="superscript"/>
        </w:rPr>
        <w:t xml:space="preserve">2 </w:t>
      </w:r>
      <w:r w:rsidRPr="0061511C">
        <w:rPr>
          <w:rFonts w:asciiTheme="minorHAnsi" w:hAnsiTheme="minorHAnsi" w:cstheme="minorHAnsi"/>
        </w:rPr>
        <w:t>The subjects were classified into the diagnostic groups (</w:t>
      </w:r>
      <w:proofErr w:type="spellStart"/>
      <w:r w:rsidRPr="0061511C">
        <w:rPr>
          <w:rFonts w:asciiTheme="minorHAnsi" w:hAnsiTheme="minorHAnsi" w:cstheme="minorHAnsi"/>
        </w:rPr>
        <w:t>i</w:t>
      </w:r>
      <w:proofErr w:type="spellEnd"/>
      <w:r w:rsidRPr="0061511C">
        <w:rPr>
          <w:rFonts w:asciiTheme="minorHAnsi" w:hAnsiTheme="minorHAnsi" w:cstheme="minorHAnsi"/>
        </w:rPr>
        <w:t>) probable or possible Alzheimer’s disease and (ii) improbable Alzheimer’s disease by biomarker supported clinical diagnosis</w:t>
      </w:r>
      <w:r w:rsidR="00866200">
        <w:rPr>
          <w:rFonts w:asciiTheme="minorHAnsi" w:hAnsiTheme="minorHAnsi" w:cstheme="minorHAnsi"/>
        </w:rPr>
        <w:t xml:space="preserve"> (see above)</w:t>
      </w:r>
      <w:r w:rsidRPr="0061511C">
        <w:rPr>
          <w:rFonts w:asciiTheme="minorHAnsi" w:hAnsiTheme="minorHAnsi" w:cstheme="minorHAnsi"/>
        </w:rPr>
        <w:t xml:space="preserve">. </w:t>
      </w:r>
    </w:p>
    <w:p w:rsidR="001275E2" w:rsidRPr="0061511C" w:rsidRDefault="001275E2" w:rsidP="001275E2">
      <w:pPr>
        <w:pStyle w:val="MDPI41tablecaption"/>
        <w:ind w:left="0"/>
        <w:rPr>
          <w:rFonts w:asciiTheme="minorHAnsi" w:hAnsiTheme="minorHAnsi" w:cstheme="minorHAnsi"/>
        </w:rPr>
      </w:pPr>
      <w:r w:rsidRPr="0061511C">
        <w:rPr>
          <w:rFonts w:asciiTheme="minorHAnsi" w:hAnsiTheme="minorHAnsi" w:cstheme="minorHAnsi"/>
          <w:vertAlign w:val="superscript"/>
        </w:rPr>
        <w:t xml:space="preserve">3 </w:t>
      </w:r>
      <w:r w:rsidRPr="0061511C">
        <w:rPr>
          <w:rFonts w:asciiTheme="minorHAnsi" w:hAnsiTheme="minorHAnsi" w:cstheme="minorHAnsi"/>
        </w:rPr>
        <w:t>DeLong test p-value for CSF Aβ42/Aβ40 vs. biomarker supported clinical diagnosis used as the state variable in ROC analysis.</w:t>
      </w:r>
    </w:p>
    <w:p w:rsidR="001275E2" w:rsidRPr="0061511C" w:rsidRDefault="001275E2" w:rsidP="001275E2">
      <w:pPr>
        <w:pStyle w:val="MDPI31text"/>
        <w:spacing w:before="240"/>
        <w:rPr>
          <w:rFonts w:asciiTheme="minorHAnsi" w:hAnsiTheme="minorHAnsi" w:cstheme="minorHAnsi"/>
        </w:rPr>
      </w:pPr>
    </w:p>
    <w:p w:rsidR="001275E2" w:rsidRPr="0061511C" w:rsidRDefault="001275E2" w:rsidP="001275E2">
      <w:pPr>
        <w:rPr>
          <w:rFonts w:cstheme="minorHAnsi"/>
          <w:lang w:val="en-US"/>
        </w:rPr>
      </w:pPr>
    </w:p>
    <w:p w:rsidR="001275E2" w:rsidRPr="0061511C" w:rsidRDefault="001275E2" w:rsidP="001275E2">
      <w:pPr>
        <w:rPr>
          <w:rFonts w:cstheme="minorHAnsi"/>
          <w:b/>
          <w:sz w:val="18"/>
          <w:lang w:val="en-US"/>
        </w:rPr>
      </w:pPr>
      <w:r w:rsidRPr="0061511C">
        <w:rPr>
          <w:rFonts w:cstheme="minorHAnsi"/>
          <w:b/>
          <w:sz w:val="18"/>
          <w:lang w:val="en-US"/>
        </w:rPr>
        <w:t xml:space="preserve">Reference: </w:t>
      </w:r>
    </w:p>
    <w:p w:rsidR="001275E2" w:rsidRPr="0061511C" w:rsidRDefault="001275E2" w:rsidP="001275E2">
      <w:pPr>
        <w:pStyle w:val="EndNoteBibliography"/>
        <w:ind w:left="720" w:hanging="720"/>
        <w:rPr>
          <w:rFonts w:asciiTheme="minorHAnsi" w:hAnsiTheme="minorHAnsi" w:cstheme="minorHAnsi"/>
        </w:rPr>
      </w:pPr>
      <w:r w:rsidRPr="0061511C">
        <w:rPr>
          <w:rFonts w:asciiTheme="minorHAnsi" w:hAnsiTheme="minorHAnsi" w:cstheme="minorHAnsi"/>
        </w:rPr>
        <w:fldChar w:fldCharType="begin"/>
      </w:r>
      <w:r w:rsidRPr="0061511C">
        <w:rPr>
          <w:rFonts w:asciiTheme="minorHAnsi" w:hAnsiTheme="minorHAnsi" w:cstheme="minorHAnsi"/>
        </w:rPr>
        <w:instrText xml:space="preserve"> ADDIN EN.REFLIST </w:instrText>
      </w:r>
      <w:r w:rsidRPr="0061511C">
        <w:rPr>
          <w:rFonts w:asciiTheme="minorHAnsi" w:hAnsiTheme="minorHAnsi" w:cstheme="minorHAnsi"/>
        </w:rPr>
        <w:fldChar w:fldCharType="separate"/>
      </w:r>
      <w:r w:rsidRPr="0061511C">
        <w:rPr>
          <w:rFonts w:asciiTheme="minorHAnsi" w:hAnsiTheme="minorHAnsi" w:cstheme="minorHAnsi"/>
        </w:rPr>
        <w:t xml:space="preserve">Dubois, B., Villain, N., Frisoni, G. B. et al. (2021) Clinical diagnosis of Alzheimer's disease: recommendations of the International Working Group. </w:t>
      </w:r>
      <w:r w:rsidRPr="0061511C">
        <w:rPr>
          <w:rFonts w:asciiTheme="minorHAnsi" w:hAnsiTheme="minorHAnsi" w:cstheme="minorHAnsi"/>
          <w:i/>
        </w:rPr>
        <w:t>The Lancet. Neurology,</w:t>
      </w:r>
      <w:r w:rsidRPr="0061511C">
        <w:rPr>
          <w:rFonts w:asciiTheme="minorHAnsi" w:hAnsiTheme="minorHAnsi" w:cstheme="minorHAnsi"/>
        </w:rPr>
        <w:t xml:space="preserve"> </w:t>
      </w:r>
      <w:r w:rsidRPr="0061511C">
        <w:rPr>
          <w:rFonts w:asciiTheme="minorHAnsi" w:hAnsiTheme="minorHAnsi" w:cstheme="minorHAnsi"/>
          <w:b/>
        </w:rPr>
        <w:t>20,</w:t>
      </w:r>
      <w:r w:rsidRPr="0061511C">
        <w:rPr>
          <w:rFonts w:asciiTheme="minorHAnsi" w:hAnsiTheme="minorHAnsi" w:cstheme="minorHAnsi"/>
        </w:rPr>
        <w:t xml:space="preserve"> 484-496.</w:t>
      </w:r>
    </w:p>
    <w:p w:rsidR="001275E2" w:rsidRDefault="001275E2" w:rsidP="001275E2">
      <w:pPr>
        <w:rPr>
          <w:lang w:val="en-US"/>
        </w:rPr>
      </w:pPr>
      <w:r w:rsidRPr="0061511C">
        <w:rPr>
          <w:rFonts w:cstheme="minorHAnsi"/>
          <w:sz w:val="18"/>
          <w:lang w:val="en-US"/>
        </w:rPr>
        <w:fldChar w:fldCharType="end"/>
      </w:r>
    </w:p>
    <w:sectPr w:rsidR="001275E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rdia New">
    <w:altName w:val="Microsoft Sans Serif"/>
    <w:panose1 w:val="020B0304020202020204"/>
    <w:charset w:val="00"/>
    <w:family w:val="swiss"/>
    <w:pitch w:val="variable"/>
    <w:sig w:usb0="00000000"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4E23"/>
    <w:rsid w:val="00125ED7"/>
    <w:rsid w:val="001275E2"/>
    <w:rsid w:val="0020136F"/>
    <w:rsid w:val="0030226C"/>
    <w:rsid w:val="003E751B"/>
    <w:rsid w:val="004344F3"/>
    <w:rsid w:val="004E5B54"/>
    <w:rsid w:val="00702410"/>
    <w:rsid w:val="00866200"/>
    <w:rsid w:val="008D27B8"/>
    <w:rsid w:val="00925572"/>
    <w:rsid w:val="00932AAD"/>
    <w:rsid w:val="009457E8"/>
    <w:rsid w:val="00A24E23"/>
    <w:rsid w:val="00BC5F5F"/>
    <w:rsid w:val="00C45315"/>
    <w:rsid w:val="00D81091"/>
    <w:rsid w:val="00EE14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3F41D"/>
  <w15:docId w15:val="{A989979C-BC0E-4D3D-89C3-588FB5B13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MDPI41tablecaption">
    <w:name w:val="MDPI_4.1_table_caption"/>
    <w:link w:val="MDPI41tablecaptionZchn"/>
    <w:qFormat/>
    <w:rsid w:val="00A24E23"/>
    <w:pPr>
      <w:adjustRightInd w:val="0"/>
      <w:snapToGrid w:val="0"/>
      <w:spacing w:before="240" w:after="120" w:line="228" w:lineRule="auto"/>
      <w:ind w:left="2608"/>
    </w:pPr>
    <w:rPr>
      <w:rFonts w:ascii="Palatino Linotype" w:eastAsia="Times New Roman" w:hAnsi="Palatino Linotype" w:cs="Cordia New"/>
      <w:color w:val="000000"/>
      <w:sz w:val="18"/>
      <w:lang w:val="en-US" w:eastAsia="de-DE" w:bidi="en-US"/>
    </w:rPr>
  </w:style>
  <w:style w:type="character" w:customStyle="1" w:styleId="MDPI41tablecaptionZchn">
    <w:name w:val="MDPI_4.1_table_caption Zchn"/>
    <w:basedOn w:val="Absatz-Standardschriftart"/>
    <w:link w:val="MDPI41tablecaption"/>
    <w:rsid w:val="00A24E23"/>
    <w:rPr>
      <w:rFonts w:ascii="Palatino Linotype" w:eastAsia="Times New Roman" w:hAnsi="Palatino Linotype" w:cs="Cordia New"/>
      <w:color w:val="000000"/>
      <w:sz w:val="18"/>
      <w:lang w:val="en-US" w:eastAsia="de-DE" w:bidi="en-US"/>
    </w:rPr>
  </w:style>
  <w:style w:type="paragraph" w:customStyle="1" w:styleId="MDPI31text">
    <w:name w:val="MDPI_3.1_text"/>
    <w:link w:val="MDPI31textZchn"/>
    <w:qFormat/>
    <w:rsid w:val="001275E2"/>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MDPI42tablebody">
    <w:name w:val="MDPI_4.2_table_body"/>
    <w:qFormat/>
    <w:rsid w:val="001275E2"/>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character" w:customStyle="1" w:styleId="MDPI31textZchn">
    <w:name w:val="MDPI_3.1_text Zchn"/>
    <w:basedOn w:val="Absatz-Standardschriftart"/>
    <w:link w:val="MDPI31text"/>
    <w:rsid w:val="001275E2"/>
    <w:rPr>
      <w:rFonts w:ascii="Palatino Linotype" w:eastAsia="Times New Roman" w:hAnsi="Palatino Linotype" w:cs="Times New Roman"/>
      <w:snapToGrid w:val="0"/>
      <w:color w:val="000000"/>
      <w:sz w:val="20"/>
      <w:lang w:val="en-US" w:eastAsia="de-DE" w:bidi="en-US"/>
    </w:rPr>
  </w:style>
  <w:style w:type="paragraph" w:customStyle="1" w:styleId="EndNoteBibliography">
    <w:name w:val="EndNote Bibliography"/>
    <w:basedOn w:val="Standard"/>
    <w:link w:val="EndNoteBibliographyZchn"/>
    <w:rsid w:val="001275E2"/>
    <w:pPr>
      <w:spacing w:line="240" w:lineRule="auto"/>
    </w:pPr>
    <w:rPr>
      <w:rFonts w:ascii="Calibri" w:eastAsia="Times New Roman" w:hAnsi="Calibri" w:cs="Calibri"/>
      <w:noProof/>
      <w:color w:val="000000"/>
      <w:sz w:val="18"/>
      <w:lang w:val="en-US" w:eastAsia="de-DE" w:bidi="en-US"/>
    </w:rPr>
  </w:style>
  <w:style w:type="character" w:customStyle="1" w:styleId="EndNoteBibliographyZchn">
    <w:name w:val="EndNote Bibliography Zchn"/>
    <w:basedOn w:val="MDPI41tablecaptionZchn"/>
    <w:link w:val="EndNoteBibliography"/>
    <w:rsid w:val="001275E2"/>
    <w:rPr>
      <w:rFonts w:ascii="Calibri" w:eastAsia="Times New Roman" w:hAnsi="Calibri" w:cs="Calibri"/>
      <w:noProof/>
      <w:color w:val="000000"/>
      <w:sz w:val="18"/>
      <w:lang w:val="en-US" w:eastAsia="de-DE" w:bidi="en-US"/>
    </w:rPr>
  </w:style>
  <w:style w:type="paragraph" w:styleId="Sprechblasentext">
    <w:name w:val="Balloon Text"/>
    <w:basedOn w:val="Standard"/>
    <w:link w:val="SprechblasentextZchn"/>
    <w:uiPriority w:val="99"/>
    <w:semiHidden/>
    <w:unhideWhenUsed/>
    <w:rsid w:val="00D81091"/>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8109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745</Words>
  <Characters>4700</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
    </vt:vector>
  </TitlesOfParts>
  <Company>Universitätsmedizin Göttingen</Company>
  <LinksUpToDate>false</LinksUpToDate>
  <CharactersWithSpaces>5435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Klafki, Hans-Wolfgang</dc:creator>
  <cp:lastModifiedBy>Klafki, Hans-Wolfgang</cp:lastModifiedBy>
  <cp:revision>2</cp:revision>
  <dcterms:created xsi:type="dcterms:W3CDTF">2022-02-02T07:27:00Z</dcterms:created>
  <dcterms:modified xsi:type="dcterms:W3CDTF">2022-02-02T07:27:00Z</dcterms:modified>
</cp:coreProperties>
</file>