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E2151" w14:textId="3A3FB0F8" w:rsidR="007F229D" w:rsidRPr="00DF047C" w:rsidRDefault="007F229D" w:rsidP="007F229D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F047C">
        <w:rPr>
          <w:rFonts w:ascii="Times New Roman" w:hAnsi="Times New Roman" w:cs="Times New Roman"/>
          <w:b/>
          <w:bCs/>
          <w:sz w:val="20"/>
          <w:szCs w:val="20"/>
        </w:rPr>
        <w:t>Modifiable and non-modifiable risk factors of dementia on midlife cerebral small vessel disease in cognitively healthy middle-aged adults: the PREVENT-Dementia study</w:t>
      </w:r>
    </w:p>
    <w:p w14:paraId="4553AE02" w14:textId="0643A859" w:rsidR="00E171C1" w:rsidRPr="00DF047C" w:rsidRDefault="00FB6167" w:rsidP="007F229D">
      <w:pPr>
        <w:spacing w:after="12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F047C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068D1045" w14:textId="57E8529E" w:rsidR="0015050F" w:rsidRPr="00DF047C" w:rsidRDefault="0015050F" w:rsidP="00696A4F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365130" w14:textId="77777777" w:rsidR="00876367" w:rsidRPr="00DF047C" w:rsidRDefault="00876367" w:rsidP="00876367">
      <w:pPr>
        <w:spacing w:after="12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047C">
        <w:rPr>
          <w:rFonts w:ascii="Times New Roman" w:hAnsi="Times New Roman" w:cs="Times New Roman"/>
          <w:b/>
          <w:sz w:val="20"/>
          <w:szCs w:val="20"/>
        </w:rPr>
        <w:t>Supplementary Table 1. Scoring of global cerebral small vessel disease (SVD) burden, hypertensive arteriopathy, and cerebral amyloid angiopathy scores.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20"/>
        <w:gridCol w:w="1337"/>
        <w:gridCol w:w="2619"/>
        <w:gridCol w:w="2401"/>
        <w:gridCol w:w="2619"/>
      </w:tblGrid>
      <w:tr w:rsidR="00876367" w:rsidRPr="00DF047C" w14:paraId="2AA0F165" w14:textId="77777777" w:rsidTr="00740139">
        <w:trPr>
          <w:cantSplit/>
          <w:trHeight w:val="41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4ED58CA8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color w:val="C00000"/>
                <w:sz w:val="20"/>
                <w:szCs w:val="20"/>
                <w:lang w:val="en-US"/>
              </w:rPr>
            </w:pPr>
            <w:bookmarkStart w:id="0" w:name="_Hlk36252307"/>
            <w:r w:rsidRPr="00DF047C">
              <w:rPr>
                <w:rFonts w:ascii="Times New Roman" w:hAnsi="Times New Roman" w:cs="Times New Roman"/>
                <w:noProof/>
                <w:color w:val="C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7181EA49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2005E9E2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Global SVD</w:t>
            </w:r>
          </w:p>
          <w:p w14:paraId="1DEA4437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(Staals et al., 2014)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3F47C5E7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Hypertensive arteriopathy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3F7FF32E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Cerebral amyloid angiopathy</w:t>
            </w:r>
          </w:p>
        </w:tc>
      </w:tr>
      <w:tr w:rsidR="00876367" w:rsidRPr="00DF047C" w14:paraId="6FAC2C5F" w14:textId="77777777" w:rsidTr="00740139">
        <w:trPr>
          <w:cantSplit/>
          <w:trHeight w:val="510"/>
          <w:jc w:val="center"/>
        </w:trPr>
        <w:tc>
          <w:tcPr>
            <w:tcW w:w="0" w:type="auto"/>
            <w:vMerge w:val="restart"/>
            <w:tcBorders>
              <w:top w:val="single" w:sz="8" w:space="0" w:color="D9D9D9"/>
              <w:left w:val="nil"/>
              <w:bottom w:val="single" w:sz="6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B5986AE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One point per criterion met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3490BCFE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WMH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2FAF38D0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Periventricular WMH = 3 and/or</w:t>
            </w:r>
          </w:p>
          <w:p w14:paraId="7023438C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deep WMH = 2 or 3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13E356B6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Deep WMH = 2 or 3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1382398B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Periventricular WMH = 3 and/or</w:t>
            </w:r>
          </w:p>
          <w:p w14:paraId="05E65088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deep WMH = 2 or 3</w:t>
            </w:r>
          </w:p>
        </w:tc>
      </w:tr>
      <w:tr w:rsidR="00876367" w:rsidRPr="00DF047C" w14:paraId="028A2A4F" w14:textId="77777777" w:rsidTr="00740139">
        <w:trPr>
          <w:cantSplit/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6" w:space="0" w:color="A6A6A6"/>
              <w:right w:val="nil"/>
            </w:tcBorders>
            <w:hideMark/>
          </w:tcPr>
          <w:p w14:paraId="3B2F36D7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1D57B98A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EPVS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49759808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EPVS rating in</w:t>
            </w:r>
          </w:p>
          <w:p w14:paraId="3F564DE3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basal ganglia ≥ 2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6CF6D547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EPVS rating in</w:t>
            </w:r>
          </w:p>
          <w:p w14:paraId="54610080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basal ganglia ≥ 2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285D0425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EPVS rating in</w:t>
            </w:r>
          </w:p>
          <w:p w14:paraId="1374CA86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centrum semiovale ≥ 2</w:t>
            </w:r>
          </w:p>
        </w:tc>
      </w:tr>
      <w:tr w:rsidR="00876367" w:rsidRPr="00DF047C" w14:paraId="538CACD0" w14:textId="77777777" w:rsidTr="00740139">
        <w:trPr>
          <w:cantSplit/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6" w:space="0" w:color="A6A6A6"/>
              <w:right w:val="nil"/>
            </w:tcBorders>
            <w:hideMark/>
          </w:tcPr>
          <w:p w14:paraId="0985D1F3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6DD40210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CMB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796005C7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CMB present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73CA9C73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Deep CMB present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C7C6C1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3EE0DD0A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Lobar CMB present</w:t>
            </w:r>
          </w:p>
        </w:tc>
      </w:tr>
      <w:tr w:rsidR="00876367" w:rsidRPr="00DF047C" w14:paraId="469DCB61" w14:textId="77777777" w:rsidTr="00740139">
        <w:trPr>
          <w:cantSplit/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6" w:space="0" w:color="A6A6A6"/>
              <w:right w:val="nil"/>
            </w:tcBorders>
            <w:hideMark/>
          </w:tcPr>
          <w:p w14:paraId="56CE7BC8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A6A6A6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4A6F87CA" w14:textId="77777777" w:rsidR="00876367" w:rsidRPr="00DF047C" w:rsidRDefault="00876367" w:rsidP="0074013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Lacunes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A6A6A6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33B92BF2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Lacunes present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A6A6A6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61D7BB67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Deep lacunes present</w:t>
            </w:r>
          </w:p>
        </w:tc>
        <w:tc>
          <w:tcPr>
            <w:tcW w:w="0" w:type="auto"/>
            <w:tcBorders>
              <w:top w:val="single" w:sz="6" w:space="0" w:color="C7C6C1"/>
              <w:left w:val="nil"/>
              <w:bottom w:val="single" w:sz="6" w:space="0" w:color="A6A6A6"/>
              <w:right w:val="nil"/>
            </w:tcBorders>
            <w:shd w:val="clear" w:color="auto" w:fill="auto"/>
            <w:tcMar>
              <w:top w:w="191" w:type="dxa"/>
              <w:left w:w="383" w:type="dxa"/>
              <w:bottom w:w="191" w:type="dxa"/>
              <w:right w:w="287" w:type="dxa"/>
            </w:tcMar>
            <w:hideMark/>
          </w:tcPr>
          <w:p w14:paraId="2C3D4C1D" w14:textId="77777777" w:rsidR="00876367" w:rsidRPr="00DF047C" w:rsidRDefault="00876367" w:rsidP="0074013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F047C">
              <w:rPr>
                <w:rFonts w:ascii="Times New Roman" w:hAnsi="Times New Roman" w:cs="Times New Roman"/>
                <w:noProof/>
                <w:sz w:val="20"/>
                <w:szCs w:val="20"/>
              </w:rPr>
              <w:t>Lobar lacunes present</w:t>
            </w:r>
          </w:p>
        </w:tc>
      </w:tr>
      <w:bookmarkEnd w:id="0"/>
    </w:tbl>
    <w:p w14:paraId="2E900FB9" w14:textId="77777777" w:rsidR="00876367" w:rsidRPr="00DF047C" w:rsidRDefault="00876367" w:rsidP="00876367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F047C">
        <w:rPr>
          <w:rFonts w:ascii="Times New Roman" w:hAnsi="Times New Roman" w:cs="Times New Roman"/>
          <w:sz w:val="20"/>
          <w:szCs w:val="20"/>
        </w:rPr>
        <w:br w:type="page"/>
      </w:r>
    </w:p>
    <w:p w14:paraId="67B7EA9F" w14:textId="77777777" w:rsidR="00876367" w:rsidRPr="00DF047C" w:rsidRDefault="00876367" w:rsidP="00876367">
      <w:pPr>
        <w:pStyle w:val="TableFigureCaption"/>
        <w:spacing w:after="120" w:line="480" w:lineRule="auto"/>
        <w:rPr>
          <w:rFonts w:ascii="Times New Roman" w:hAnsi="Times New Roman" w:cs="Times New Roman"/>
        </w:rPr>
      </w:pPr>
      <w:r w:rsidRPr="00DF047C">
        <w:rPr>
          <w:rFonts w:ascii="Times New Roman" w:hAnsi="Times New Roman" w:cs="Times New Roman"/>
        </w:rPr>
        <w:lastRenderedPageBreak/>
        <w:t>Supplementary Table 2. Factor loadings from confirmatory factor analysis of measurement models.</w:t>
      </w: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2676"/>
        <w:gridCol w:w="1234"/>
        <w:gridCol w:w="1234"/>
        <w:gridCol w:w="1234"/>
      </w:tblGrid>
      <w:tr w:rsidR="00114AB9" w:rsidRPr="00DF047C" w14:paraId="2D1EB66F" w14:textId="46B15C38" w:rsidTr="0051086A">
        <w:trPr>
          <w:trHeight w:val="409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5B0BB5E" w14:textId="77777777" w:rsidR="00114AB9" w:rsidRPr="00DF047C" w:rsidRDefault="00114AB9" w:rsidP="005108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Latent variable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810C450" w14:textId="77777777" w:rsidR="00114AB9" w:rsidRPr="00DF047C" w:rsidRDefault="00114AB9" w:rsidP="005108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variable</w:t>
            </w:r>
          </w:p>
        </w:tc>
        <w:tc>
          <w:tcPr>
            <w:tcW w:w="1234" w:type="dxa"/>
            <w:tcBorders>
              <w:top w:val="single" w:sz="8" w:space="0" w:color="auto"/>
              <w:bottom w:val="single" w:sz="8" w:space="0" w:color="auto"/>
            </w:tcBorders>
          </w:tcPr>
          <w:p w14:paraId="76480F9E" w14:textId="77777777" w:rsidR="00114AB9" w:rsidRPr="00DF047C" w:rsidRDefault="00114AB9" w:rsidP="005108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62"/>
            </w:r>
          </w:p>
        </w:tc>
        <w:tc>
          <w:tcPr>
            <w:tcW w:w="1234" w:type="dxa"/>
            <w:tcBorders>
              <w:top w:val="single" w:sz="8" w:space="0" w:color="auto"/>
              <w:bottom w:val="single" w:sz="8" w:space="0" w:color="auto"/>
            </w:tcBorders>
          </w:tcPr>
          <w:p w14:paraId="458C2971" w14:textId="77777777" w:rsidR="00114AB9" w:rsidRPr="00DF047C" w:rsidRDefault="00114AB9" w:rsidP="005108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234" w:type="dxa"/>
            <w:tcBorders>
              <w:top w:val="single" w:sz="8" w:space="0" w:color="auto"/>
              <w:bottom w:val="single" w:sz="8" w:space="0" w:color="auto"/>
            </w:tcBorders>
          </w:tcPr>
          <w:p w14:paraId="1D2BAFA8" w14:textId="40FC471A" w:rsidR="00114AB9" w:rsidRPr="00DF047C" w:rsidRDefault="00114AB9" w:rsidP="005108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FDR-corrected p value</w:t>
            </w:r>
          </w:p>
        </w:tc>
      </w:tr>
      <w:tr w:rsidR="00114AB9" w:rsidRPr="00DF047C" w14:paraId="7CF82C6A" w14:textId="2FFE754E" w:rsidTr="0051086A">
        <w:trPr>
          <w:trHeight w:val="391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E4986C3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Modifiable midlife risk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5C3906D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auto"/>
            </w:tcBorders>
            <w:vAlign w:val="center"/>
          </w:tcPr>
          <w:p w14:paraId="2A88782C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auto"/>
            </w:tcBorders>
            <w:vAlign w:val="center"/>
          </w:tcPr>
          <w:p w14:paraId="5076E9E7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auto"/>
            </w:tcBorders>
          </w:tcPr>
          <w:p w14:paraId="4FE710CB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AB9" w:rsidRPr="00DF047C" w14:paraId="30D1FC42" w14:textId="6E7C2551" w:rsidTr="0051086A">
        <w:trPr>
          <w:trHeight w:val="391"/>
        </w:trPr>
        <w:tc>
          <w:tcPr>
            <w:tcW w:w="0" w:type="auto"/>
            <w:vAlign w:val="center"/>
          </w:tcPr>
          <w:p w14:paraId="57CCD51E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18CE6A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Low education</w:t>
            </w:r>
          </w:p>
        </w:tc>
        <w:tc>
          <w:tcPr>
            <w:tcW w:w="1234" w:type="dxa"/>
            <w:vAlign w:val="center"/>
          </w:tcPr>
          <w:p w14:paraId="1AB3B5A4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34" w:type="dxa"/>
            <w:vAlign w:val="center"/>
          </w:tcPr>
          <w:p w14:paraId="7B4C1517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14:paraId="2BB09202" w14:textId="2940946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4AB9" w:rsidRPr="00DF047C" w14:paraId="7F9E44C8" w14:textId="2FDE1AB0" w:rsidTr="0051086A">
        <w:trPr>
          <w:trHeight w:val="375"/>
        </w:trPr>
        <w:tc>
          <w:tcPr>
            <w:tcW w:w="0" w:type="auto"/>
            <w:vAlign w:val="center"/>
          </w:tcPr>
          <w:p w14:paraId="02C72ED8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5CD728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Hearing loss</w:t>
            </w:r>
          </w:p>
        </w:tc>
        <w:tc>
          <w:tcPr>
            <w:tcW w:w="1234" w:type="dxa"/>
            <w:vAlign w:val="center"/>
          </w:tcPr>
          <w:p w14:paraId="3AB6E656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34" w:type="dxa"/>
            <w:vAlign w:val="center"/>
          </w:tcPr>
          <w:p w14:paraId="15AF42B1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.228</w:t>
            </w:r>
          </w:p>
        </w:tc>
        <w:tc>
          <w:tcPr>
            <w:tcW w:w="1234" w:type="dxa"/>
          </w:tcPr>
          <w:p w14:paraId="76B2A21C" w14:textId="4C962097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.228</w:t>
            </w:r>
          </w:p>
        </w:tc>
      </w:tr>
      <w:tr w:rsidR="00114AB9" w:rsidRPr="00DF047C" w14:paraId="0D5A1618" w14:textId="3E01F3A6" w:rsidTr="0051086A">
        <w:trPr>
          <w:trHeight w:val="391"/>
        </w:trPr>
        <w:tc>
          <w:tcPr>
            <w:tcW w:w="0" w:type="auto"/>
            <w:vAlign w:val="center"/>
          </w:tcPr>
          <w:p w14:paraId="75C1AD9B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2E0461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Head injury</w:t>
            </w:r>
          </w:p>
        </w:tc>
        <w:tc>
          <w:tcPr>
            <w:tcW w:w="1234" w:type="dxa"/>
            <w:vAlign w:val="center"/>
          </w:tcPr>
          <w:p w14:paraId="5A6AB476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34" w:type="dxa"/>
            <w:vAlign w:val="center"/>
          </w:tcPr>
          <w:p w14:paraId="4A99E7B0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  <w:tc>
          <w:tcPr>
            <w:tcW w:w="1234" w:type="dxa"/>
          </w:tcPr>
          <w:p w14:paraId="6BECFB4C" w14:textId="366D1680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</w:tc>
      </w:tr>
      <w:tr w:rsidR="00114AB9" w:rsidRPr="00DF047C" w14:paraId="04C8EB94" w14:textId="7D718432" w:rsidTr="0051086A">
        <w:trPr>
          <w:trHeight w:val="375"/>
        </w:trPr>
        <w:tc>
          <w:tcPr>
            <w:tcW w:w="0" w:type="auto"/>
            <w:vAlign w:val="center"/>
          </w:tcPr>
          <w:p w14:paraId="540E5150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52458D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Alcohol intake</w:t>
            </w:r>
          </w:p>
        </w:tc>
        <w:tc>
          <w:tcPr>
            <w:tcW w:w="1234" w:type="dxa"/>
            <w:vAlign w:val="center"/>
          </w:tcPr>
          <w:p w14:paraId="234303BF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34" w:type="dxa"/>
            <w:vAlign w:val="center"/>
          </w:tcPr>
          <w:p w14:paraId="5CF381D7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.141</w:t>
            </w:r>
          </w:p>
        </w:tc>
        <w:tc>
          <w:tcPr>
            <w:tcW w:w="1234" w:type="dxa"/>
          </w:tcPr>
          <w:p w14:paraId="06E98075" w14:textId="38BE79B1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.161</w:t>
            </w:r>
          </w:p>
        </w:tc>
      </w:tr>
      <w:tr w:rsidR="00114AB9" w:rsidRPr="00DF047C" w14:paraId="7B5D2040" w14:textId="46F1B995" w:rsidTr="0051086A">
        <w:trPr>
          <w:trHeight w:val="391"/>
        </w:trPr>
        <w:tc>
          <w:tcPr>
            <w:tcW w:w="0" w:type="auto"/>
            <w:vAlign w:val="center"/>
          </w:tcPr>
          <w:p w14:paraId="2B023168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2E35CE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High blood pressure</w:t>
            </w:r>
          </w:p>
        </w:tc>
        <w:tc>
          <w:tcPr>
            <w:tcW w:w="1234" w:type="dxa"/>
            <w:vAlign w:val="center"/>
          </w:tcPr>
          <w:p w14:paraId="1DD2DD34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234" w:type="dxa"/>
            <w:vAlign w:val="center"/>
          </w:tcPr>
          <w:p w14:paraId="3D7CE4AA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234" w:type="dxa"/>
          </w:tcPr>
          <w:p w14:paraId="426961FE" w14:textId="4896FF5E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114AB9" w:rsidRPr="00DF047C" w14:paraId="07865CD2" w14:textId="5FE13772" w:rsidTr="0051086A">
        <w:trPr>
          <w:trHeight w:val="375"/>
        </w:trPr>
        <w:tc>
          <w:tcPr>
            <w:tcW w:w="0" w:type="auto"/>
            <w:vAlign w:val="center"/>
          </w:tcPr>
          <w:p w14:paraId="3EAB36EE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9670FB8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High waist-to-hip ratio</w:t>
            </w:r>
          </w:p>
        </w:tc>
        <w:tc>
          <w:tcPr>
            <w:tcW w:w="1234" w:type="dxa"/>
            <w:tcBorders>
              <w:bottom w:val="single" w:sz="8" w:space="0" w:color="auto"/>
            </w:tcBorders>
            <w:vAlign w:val="center"/>
          </w:tcPr>
          <w:p w14:paraId="11D2D5B8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234" w:type="dxa"/>
            <w:tcBorders>
              <w:bottom w:val="single" w:sz="8" w:space="0" w:color="auto"/>
            </w:tcBorders>
            <w:vAlign w:val="center"/>
          </w:tcPr>
          <w:p w14:paraId="605DBF72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5E18F903" w14:textId="62CDE153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114AB9" w:rsidRPr="00DF047C" w14:paraId="429EB0FD" w14:textId="7F15D7CE" w:rsidTr="0051086A">
        <w:trPr>
          <w:trHeight w:val="391"/>
        </w:trPr>
        <w:tc>
          <w:tcPr>
            <w:tcW w:w="0" w:type="auto"/>
            <w:vAlign w:val="center"/>
          </w:tcPr>
          <w:p w14:paraId="48A3A70D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Cerebral small vessel disease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94C717E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auto"/>
            </w:tcBorders>
            <w:vAlign w:val="center"/>
          </w:tcPr>
          <w:p w14:paraId="14AACB76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auto"/>
            </w:tcBorders>
            <w:vAlign w:val="center"/>
          </w:tcPr>
          <w:p w14:paraId="774C3BCA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auto"/>
            </w:tcBorders>
          </w:tcPr>
          <w:p w14:paraId="0404F360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AB9" w:rsidRPr="00DF047C" w14:paraId="5E4F97BB" w14:textId="4CF94EF7" w:rsidTr="0051086A">
        <w:trPr>
          <w:trHeight w:val="391"/>
        </w:trPr>
        <w:tc>
          <w:tcPr>
            <w:tcW w:w="0" w:type="auto"/>
            <w:vAlign w:val="center"/>
          </w:tcPr>
          <w:p w14:paraId="5CF8B672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7C19C4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White matter hyperintensities</w:t>
            </w:r>
          </w:p>
        </w:tc>
        <w:tc>
          <w:tcPr>
            <w:tcW w:w="1234" w:type="dxa"/>
            <w:vAlign w:val="center"/>
          </w:tcPr>
          <w:p w14:paraId="4FF552B0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234" w:type="dxa"/>
            <w:vAlign w:val="center"/>
          </w:tcPr>
          <w:p w14:paraId="117205A7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14:paraId="13573033" w14:textId="0F4A0E30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4AB9" w:rsidRPr="00DF047C" w14:paraId="1270DA8B" w14:textId="12E0DF89" w:rsidTr="0051086A">
        <w:trPr>
          <w:trHeight w:val="375"/>
        </w:trPr>
        <w:tc>
          <w:tcPr>
            <w:tcW w:w="0" w:type="auto"/>
            <w:vAlign w:val="center"/>
          </w:tcPr>
          <w:p w14:paraId="2E7CC663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D39B8F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Enlarged perivascular spaces</w:t>
            </w:r>
          </w:p>
        </w:tc>
        <w:tc>
          <w:tcPr>
            <w:tcW w:w="1234" w:type="dxa"/>
            <w:vAlign w:val="center"/>
          </w:tcPr>
          <w:p w14:paraId="68037D63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234" w:type="dxa"/>
            <w:vAlign w:val="center"/>
          </w:tcPr>
          <w:p w14:paraId="68EE20E5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234" w:type="dxa"/>
          </w:tcPr>
          <w:p w14:paraId="57EC376D" w14:textId="0FA4F97E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114AB9" w:rsidRPr="00DF047C" w14:paraId="5701E50B" w14:textId="1C173454" w:rsidTr="007D166F">
        <w:trPr>
          <w:trHeight w:val="87"/>
        </w:trPr>
        <w:tc>
          <w:tcPr>
            <w:tcW w:w="0" w:type="auto"/>
            <w:vAlign w:val="center"/>
          </w:tcPr>
          <w:p w14:paraId="0E7CC8D0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307D85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Cerebral microbleeds</w:t>
            </w:r>
          </w:p>
        </w:tc>
        <w:tc>
          <w:tcPr>
            <w:tcW w:w="1234" w:type="dxa"/>
            <w:vAlign w:val="center"/>
          </w:tcPr>
          <w:p w14:paraId="334C4CBB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34" w:type="dxa"/>
            <w:vAlign w:val="center"/>
          </w:tcPr>
          <w:p w14:paraId="11286D9D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1234" w:type="dxa"/>
          </w:tcPr>
          <w:p w14:paraId="413F4B4A" w14:textId="54A3A6C2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.133</w:t>
            </w:r>
          </w:p>
        </w:tc>
      </w:tr>
      <w:tr w:rsidR="00114AB9" w:rsidRPr="00876367" w14:paraId="632A8B6E" w14:textId="34382861" w:rsidTr="0051086A">
        <w:trPr>
          <w:trHeight w:val="375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EBCBBFF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9852025" w14:textId="77777777" w:rsidR="00114AB9" w:rsidRPr="00DF047C" w:rsidRDefault="00114AB9" w:rsidP="00740139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Lacunes</w:t>
            </w:r>
          </w:p>
        </w:tc>
        <w:tc>
          <w:tcPr>
            <w:tcW w:w="1234" w:type="dxa"/>
            <w:tcBorders>
              <w:bottom w:val="single" w:sz="8" w:space="0" w:color="auto"/>
            </w:tcBorders>
            <w:vAlign w:val="center"/>
          </w:tcPr>
          <w:p w14:paraId="732F04AE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234" w:type="dxa"/>
            <w:tcBorders>
              <w:bottom w:val="single" w:sz="8" w:space="0" w:color="auto"/>
            </w:tcBorders>
            <w:vAlign w:val="center"/>
          </w:tcPr>
          <w:p w14:paraId="6DD36DDC" w14:textId="77777777" w:rsidR="00114AB9" w:rsidRPr="00DF047C" w:rsidRDefault="00114AB9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14:paraId="6971EA8D" w14:textId="600DE206" w:rsidR="00114AB9" w:rsidRPr="00DF047C" w:rsidRDefault="0051086A" w:rsidP="0051086A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7C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</w:tbl>
    <w:p w14:paraId="7362E271" w14:textId="77777777" w:rsidR="00130E85" w:rsidRPr="00876367" w:rsidRDefault="00130E85" w:rsidP="00696A4F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8E392E" w14:textId="1B5B0C05" w:rsidR="006A3078" w:rsidRPr="00876367" w:rsidRDefault="006A3078" w:rsidP="00876367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GoBack"/>
      <w:bookmarkEnd w:id="1"/>
    </w:p>
    <w:sectPr w:rsidR="006A3078" w:rsidRPr="00876367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D591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5FCBD" w16cex:dateUtc="2022-09-09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D591F6" w16cid:durableId="26C5FC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DBEC0" w14:textId="77777777" w:rsidR="008C7D14" w:rsidRDefault="008C7D14" w:rsidP="007F229D">
      <w:r>
        <w:separator/>
      </w:r>
    </w:p>
  </w:endnote>
  <w:endnote w:type="continuationSeparator" w:id="0">
    <w:p w14:paraId="1A88E401" w14:textId="77777777" w:rsidR="008C7D14" w:rsidRDefault="008C7D14" w:rsidP="007F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377002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1F2745" w14:textId="1D750881" w:rsidR="00E2145A" w:rsidRDefault="00E2145A" w:rsidP="00D23D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F0B366" w14:textId="77777777" w:rsidR="00E2145A" w:rsidRDefault="00E2145A" w:rsidP="00E2145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632520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C7A3E1" w14:textId="18DF9A96" w:rsidR="00E2145A" w:rsidRDefault="00E2145A" w:rsidP="00D23D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F047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0AEA34" w14:textId="77777777" w:rsidR="00E2145A" w:rsidRDefault="00E2145A" w:rsidP="00E214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5D350" w14:textId="77777777" w:rsidR="008C7D14" w:rsidRDefault="008C7D14" w:rsidP="007F229D">
      <w:r>
        <w:separator/>
      </w:r>
    </w:p>
  </w:footnote>
  <w:footnote w:type="continuationSeparator" w:id="0">
    <w:p w14:paraId="7E8CF37C" w14:textId="77777777" w:rsidR="008C7D14" w:rsidRDefault="008C7D14" w:rsidP="007F229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drey Low">
    <w15:presenceInfo w15:providerId="AD" w15:userId="S::al927@cam.ac.uk::9b5b3dea-a114-45cb-b49d-768f17ac30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77"/>
    <w:rsid w:val="00010A58"/>
    <w:rsid w:val="000273C9"/>
    <w:rsid w:val="00060F06"/>
    <w:rsid w:val="00070D7F"/>
    <w:rsid w:val="00076282"/>
    <w:rsid w:val="000C3E60"/>
    <w:rsid w:val="00107A18"/>
    <w:rsid w:val="00114AB9"/>
    <w:rsid w:val="00130E85"/>
    <w:rsid w:val="0015050F"/>
    <w:rsid w:val="001C39F1"/>
    <w:rsid w:val="00211CE0"/>
    <w:rsid w:val="00227192"/>
    <w:rsid w:val="00233B9C"/>
    <w:rsid w:val="002B573B"/>
    <w:rsid w:val="002C7ED7"/>
    <w:rsid w:val="003121AA"/>
    <w:rsid w:val="00354523"/>
    <w:rsid w:val="004764DF"/>
    <w:rsid w:val="004F27AC"/>
    <w:rsid w:val="005012C5"/>
    <w:rsid w:val="0051086A"/>
    <w:rsid w:val="00563C43"/>
    <w:rsid w:val="00563FB7"/>
    <w:rsid w:val="00592A95"/>
    <w:rsid w:val="005B543A"/>
    <w:rsid w:val="005D28C2"/>
    <w:rsid w:val="005F1F1E"/>
    <w:rsid w:val="00621AB7"/>
    <w:rsid w:val="00696A4F"/>
    <w:rsid w:val="006A3078"/>
    <w:rsid w:val="006B5C1E"/>
    <w:rsid w:val="0076779A"/>
    <w:rsid w:val="00771C43"/>
    <w:rsid w:val="00786501"/>
    <w:rsid w:val="00786577"/>
    <w:rsid w:val="0079219A"/>
    <w:rsid w:val="007A5043"/>
    <w:rsid w:val="007C3F2D"/>
    <w:rsid w:val="007D166F"/>
    <w:rsid w:val="007F229D"/>
    <w:rsid w:val="008127E4"/>
    <w:rsid w:val="008226E9"/>
    <w:rsid w:val="0082579D"/>
    <w:rsid w:val="008733B2"/>
    <w:rsid w:val="00876367"/>
    <w:rsid w:val="008C7D14"/>
    <w:rsid w:val="009753D1"/>
    <w:rsid w:val="009A00C0"/>
    <w:rsid w:val="009E3B54"/>
    <w:rsid w:val="00A47126"/>
    <w:rsid w:val="00A54160"/>
    <w:rsid w:val="00A712BF"/>
    <w:rsid w:val="00A824EE"/>
    <w:rsid w:val="00AD14C9"/>
    <w:rsid w:val="00AE381D"/>
    <w:rsid w:val="00B034CA"/>
    <w:rsid w:val="00B321F4"/>
    <w:rsid w:val="00B41F1C"/>
    <w:rsid w:val="00B62398"/>
    <w:rsid w:val="00B72B82"/>
    <w:rsid w:val="00BD0832"/>
    <w:rsid w:val="00C40010"/>
    <w:rsid w:val="00CD2EBC"/>
    <w:rsid w:val="00D42D19"/>
    <w:rsid w:val="00D714D8"/>
    <w:rsid w:val="00DF047C"/>
    <w:rsid w:val="00E2145A"/>
    <w:rsid w:val="00E63AE3"/>
    <w:rsid w:val="00F21E24"/>
    <w:rsid w:val="00F460B5"/>
    <w:rsid w:val="00F74705"/>
    <w:rsid w:val="00FA2D36"/>
    <w:rsid w:val="00FB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D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0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2D36"/>
    <w:pPr>
      <w:spacing w:after="120" w:line="360" w:lineRule="auto"/>
      <w:jc w:val="both"/>
      <w:outlineLvl w:val="2"/>
    </w:pPr>
    <w:rPr>
      <w:rFonts w:ascii="Arial" w:eastAsia="Times New Roman" w:hAnsi="Arial" w:cs="Arial"/>
      <w:iCs/>
      <w:color w:val="000000" w:themeColor="tex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0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A2D36"/>
    <w:rPr>
      <w:rFonts w:ascii="Arial" w:eastAsia="Times New Roman" w:hAnsi="Arial" w:cs="Arial"/>
      <w:iCs/>
      <w:color w:val="000000" w:themeColor="text1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0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FigureCaption">
    <w:name w:val="Table/Figure Caption"/>
    <w:basedOn w:val="Normal"/>
    <w:qFormat/>
    <w:rsid w:val="005D28C2"/>
    <w:pPr>
      <w:jc w:val="both"/>
    </w:pPr>
    <w:rPr>
      <w:rFonts w:ascii="Arial" w:eastAsia="Times New Roman" w:hAnsi="Arial" w:cs="Arial"/>
      <w:b/>
      <w:bCs/>
      <w:color w:val="000000" w:themeColor="text1"/>
      <w:sz w:val="20"/>
      <w:szCs w:val="20"/>
      <w:lang w:eastAsia="en-GB"/>
    </w:rPr>
  </w:style>
  <w:style w:type="paragraph" w:customStyle="1" w:styleId="TableFigfootnote">
    <w:name w:val="Table/Fig footnote"/>
    <w:basedOn w:val="Normal"/>
    <w:qFormat/>
    <w:rsid w:val="005D28C2"/>
    <w:pPr>
      <w:jc w:val="both"/>
    </w:pPr>
    <w:rPr>
      <w:rFonts w:ascii="Arial" w:eastAsia="Times New Roman" w:hAnsi="Arial" w:cs="Arial"/>
      <w:i/>
      <w:color w:val="000000" w:themeColor="text1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130E85"/>
    <w:rPr>
      <w:sz w:val="22"/>
      <w:szCs w:val="22"/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2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29D"/>
  </w:style>
  <w:style w:type="paragraph" w:styleId="Footer">
    <w:name w:val="footer"/>
    <w:basedOn w:val="Normal"/>
    <w:link w:val="FooterChar"/>
    <w:uiPriority w:val="99"/>
    <w:unhideWhenUsed/>
    <w:rsid w:val="007F22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29D"/>
  </w:style>
  <w:style w:type="character" w:styleId="PageNumber">
    <w:name w:val="page number"/>
    <w:basedOn w:val="DefaultParagraphFont"/>
    <w:uiPriority w:val="99"/>
    <w:semiHidden/>
    <w:unhideWhenUsed/>
    <w:rsid w:val="00E2145A"/>
  </w:style>
  <w:style w:type="character" w:styleId="CommentReference">
    <w:name w:val="annotation reference"/>
    <w:basedOn w:val="DefaultParagraphFont"/>
    <w:uiPriority w:val="99"/>
    <w:semiHidden/>
    <w:unhideWhenUsed/>
    <w:rsid w:val="007D16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0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2D36"/>
    <w:pPr>
      <w:spacing w:after="120" w:line="360" w:lineRule="auto"/>
      <w:jc w:val="both"/>
      <w:outlineLvl w:val="2"/>
    </w:pPr>
    <w:rPr>
      <w:rFonts w:ascii="Arial" w:eastAsia="Times New Roman" w:hAnsi="Arial" w:cs="Arial"/>
      <w:iCs/>
      <w:color w:val="000000" w:themeColor="tex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0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A2D36"/>
    <w:rPr>
      <w:rFonts w:ascii="Arial" w:eastAsia="Times New Roman" w:hAnsi="Arial" w:cs="Arial"/>
      <w:iCs/>
      <w:color w:val="000000" w:themeColor="text1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0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FigureCaption">
    <w:name w:val="Table/Figure Caption"/>
    <w:basedOn w:val="Normal"/>
    <w:qFormat/>
    <w:rsid w:val="005D28C2"/>
    <w:pPr>
      <w:jc w:val="both"/>
    </w:pPr>
    <w:rPr>
      <w:rFonts w:ascii="Arial" w:eastAsia="Times New Roman" w:hAnsi="Arial" w:cs="Arial"/>
      <w:b/>
      <w:bCs/>
      <w:color w:val="000000" w:themeColor="text1"/>
      <w:sz w:val="20"/>
      <w:szCs w:val="20"/>
      <w:lang w:eastAsia="en-GB"/>
    </w:rPr>
  </w:style>
  <w:style w:type="paragraph" w:customStyle="1" w:styleId="TableFigfootnote">
    <w:name w:val="Table/Fig footnote"/>
    <w:basedOn w:val="Normal"/>
    <w:qFormat/>
    <w:rsid w:val="005D28C2"/>
    <w:pPr>
      <w:jc w:val="both"/>
    </w:pPr>
    <w:rPr>
      <w:rFonts w:ascii="Arial" w:eastAsia="Times New Roman" w:hAnsi="Arial" w:cs="Arial"/>
      <w:i/>
      <w:color w:val="000000" w:themeColor="text1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130E85"/>
    <w:rPr>
      <w:sz w:val="22"/>
      <w:szCs w:val="22"/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2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29D"/>
  </w:style>
  <w:style w:type="paragraph" w:styleId="Footer">
    <w:name w:val="footer"/>
    <w:basedOn w:val="Normal"/>
    <w:link w:val="FooterChar"/>
    <w:uiPriority w:val="99"/>
    <w:unhideWhenUsed/>
    <w:rsid w:val="007F22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29D"/>
  </w:style>
  <w:style w:type="character" w:styleId="PageNumber">
    <w:name w:val="page number"/>
    <w:basedOn w:val="DefaultParagraphFont"/>
    <w:uiPriority w:val="99"/>
    <w:semiHidden/>
    <w:unhideWhenUsed/>
    <w:rsid w:val="00E2145A"/>
  </w:style>
  <w:style w:type="character" w:styleId="CommentReference">
    <w:name w:val="annotation reference"/>
    <w:basedOn w:val="DefaultParagraphFont"/>
    <w:uiPriority w:val="99"/>
    <w:semiHidden/>
    <w:unhideWhenUsed/>
    <w:rsid w:val="007D16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F23BA4-50FA-406A-BF59-1A7F93E0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Low</dc:creator>
  <cp:keywords/>
  <dc:description/>
  <cp:lastModifiedBy>GSABORDO</cp:lastModifiedBy>
  <cp:revision>6</cp:revision>
  <dcterms:created xsi:type="dcterms:W3CDTF">2022-09-09T11:39:00Z</dcterms:created>
  <dcterms:modified xsi:type="dcterms:W3CDTF">2022-10-08T03:45:00Z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http://www.zotero.org/styles/alzheimers-and-dementia-the-journal-of-the-alzheimers-association</vt:lpwstr>
  </property>
  <property fmtid="{D5CDD505-2E9C-101B-9397-08002B2CF9AE}" pid="3" name="Mendeley Recent Style Name 0_1">
    <vt:lpwstr>Alzheimer's &amp; Dementia: The Journal of the Alzheimer's Association</vt:lpwstr>
  </property>
  <property fmtid="{D5CDD505-2E9C-101B-9397-08002B2CF9AE}" pid="4" name="Mendeley Recent Style Id 1_1">
    <vt:lpwstr>http://www.zotero.org/styles/alzheimers-research-and-therapy</vt:lpwstr>
  </property>
  <property fmtid="{D5CDD505-2E9C-101B-9397-08002B2CF9AE}" pid="5" name="Mendeley Recent Style Name 1_1">
    <vt:lpwstr>Alzheimer's Research &amp; Therapy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http://www.zotero.org/styles/annals-of-neurology</vt:lpwstr>
  </property>
  <property fmtid="{D5CDD505-2E9C-101B-9397-08002B2CF9AE}" pid="9" name="Mendeley Recent Style Name 3_1">
    <vt:lpwstr>Annals of Neurology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http://www.zotero.org/styles/neuroimage-clinical</vt:lpwstr>
  </property>
  <property fmtid="{D5CDD505-2E9C-101B-9397-08002B2CF9AE}" pid="19" name="Mendeley Recent Style Name 8_1">
    <vt:lpwstr>NeuroImage: Clinical</vt:lpwstr>
  </property>
  <property fmtid="{D5CDD505-2E9C-101B-9397-08002B2CF9AE}" pid="20" name="Mendeley Recent Style Id 9_1">
    <vt:lpwstr>http://www.zotero.org/styles/neurology</vt:lpwstr>
  </property>
  <property fmtid="{D5CDD505-2E9C-101B-9397-08002B2CF9AE}" pid="21" name="Mendeley Recent Style Name 9_1">
    <vt:lpwstr>Neurology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3db88b5d-5237-3c70-a7f3-152a37e1d073</vt:lpwstr>
  </property>
  <property fmtid="{D5CDD505-2E9C-101B-9397-08002B2CF9AE}" pid="24" name="Mendeley Citation Style_1">
    <vt:lpwstr>http://www.zotero.org/styles/alzheimers-and-dementia-the-journal-of-the-alzheimers-association</vt:lpwstr>
  </property>
</Properties>
</file>