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b/>
          <w:bCs/>
          <w:sz w:val="24"/>
          <w:szCs w:val="24"/>
        </w:rPr>
      </w:pPr>
      <w:r>
        <w:rPr>
          <w:rFonts w:ascii="Times New Roman" w:hAnsi="Times New Roman" w:cs="Times New Roman"/>
          <w:b/>
          <w:bCs/>
          <w:sz w:val="24"/>
          <w:szCs w:val="24"/>
        </w:rPr>
        <w:t>Supplementary table 6 Longitudinal linear mixed</w:t>
      </w:r>
      <w:r>
        <w:rPr>
          <w:rFonts w:ascii="Times New Roman" w:hAnsi="Times New Roman" w:cs="Times New Roman"/>
          <w:b/>
          <w:bCs/>
          <w:sz w:val="24"/>
          <w:szCs w:val="24"/>
          <w:lang w:eastAsia="zh-CN"/>
        </w:rPr>
        <w:t>-effects</w:t>
      </w:r>
      <w:r>
        <w:rPr>
          <w:rFonts w:ascii="Times New Roman" w:hAnsi="Times New Roman" w:cs="Times New Roman"/>
          <w:b/>
          <w:bCs/>
          <w:sz w:val="24"/>
          <w:szCs w:val="24"/>
        </w:rPr>
        <w:t xml:space="preserve"> regression of CSO-PVS with ADAS-13 across the Alzheimer's disease spectrum </w:t>
      </w:r>
    </w:p>
    <w:tbl>
      <w:tblPr>
        <w:tblStyle w:val="2"/>
        <w:tblpPr w:leftFromText="180" w:rightFromText="180" w:vertAnchor="text" w:horzAnchor="page" w:tblpX="446" w:tblpY="10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8"/>
        <w:gridCol w:w="1381"/>
        <w:gridCol w:w="721"/>
        <w:gridCol w:w="1381"/>
        <w:gridCol w:w="721"/>
        <w:gridCol w:w="1381"/>
        <w:gridCol w:w="721"/>
        <w:gridCol w:w="1381"/>
        <w:gridCol w:w="72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restart"/>
            <w:vAlign w:val="center"/>
          </w:tcPr>
          <w:p>
            <w:pPr>
              <w:jc w:val="center"/>
              <w:rPr>
                <w:rFonts w:ascii="Times New Roman" w:hAnsi="Times New Roman"/>
                <w:b/>
                <w:bCs/>
                <w:szCs w:val="21"/>
              </w:rPr>
            </w:pPr>
          </w:p>
        </w:tc>
        <w:tc>
          <w:tcPr>
            <w:tcW w:w="1060"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Total</w:t>
            </w:r>
          </w:p>
        </w:tc>
        <w:tc>
          <w:tcPr>
            <w:tcW w:w="1043" w:type="pct"/>
            <w:gridSpan w:val="2"/>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rPr>
              <w:t>CN</w:t>
            </w:r>
          </w:p>
        </w:tc>
        <w:tc>
          <w:tcPr>
            <w:tcW w:w="111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MCI</w:t>
            </w:r>
          </w:p>
        </w:tc>
        <w:tc>
          <w:tcPr>
            <w:tcW w:w="1053" w:type="pct"/>
            <w:gridSpan w:val="2"/>
            <w:vAlign w:val="center"/>
          </w:tcPr>
          <w:p>
            <w:pPr>
              <w:jc w:val="center"/>
              <w:rPr>
                <w:rFonts w:ascii="Times New Roman" w:hAnsi="Times New Roman"/>
                <w:b/>
                <w:bCs/>
                <w:i/>
                <w:iCs/>
                <w:szCs w:val="21"/>
              </w:rPr>
            </w:pPr>
            <w:r>
              <w:rPr>
                <w:rFonts w:ascii="Times New Roman" w:hAnsi="Times New Roman" w:cs="Times New Roman"/>
                <w:b/>
                <w:bCs/>
                <w:sz w:val="21"/>
                <w:szCs w:val="21"/>
              </w:rPr>
              <w:t>AD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Merge w:val="continue"/>
            <w:tcBorders>
              <w:bottom w:val="single" w:color="000000" w:sz="4" w:space="0"/>
            </w:tcBorders>
            <w:vAlign w:val="center"/>
          </w:tcPr>
          <w:p>
            <w:pPr>
              <w:jc w:val="center"/>
              <w:rPr>
                <w:rFonts w:ascii="Times New Roman" w:hAnsi="Times New Roman"/>
                <w:szCs w:val="21"/>
              </w:rPr>
            </w:pPr>
          </w:p>
        </w:tc>
        <w:tc>
          <w:tcPr>
            <w:tcW w:w="717"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3" w:type="pct"/>
            <w:tcBorders>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696" w:type="pct"/>
            <w:tcBorders>
              <w:top w:val="single" w:color="000000"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46"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58" w:type="pct"/>
            <w:tcBorders>
              <w:top w:val="single" w:color="auto" w:sz="4" w:space="0"/>
              <w:bottom w:val="single" w:color="000000" w:sz="4" w:space="0"/>
            </w:tcBorders>
            <w:vAlign w:val="center"/>
          </w:tcPr>
          <w:p>
            <w:pPr>
              <w:jc w:val="center"/>
              <w:rPr>
                <w:rFonts w:ascii="Times New Roman" w:hAnsi="Times New Roman"/>
                <w:b/>
                <w:bCs/>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55"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c>
          <w:tcPr>
            <w:tcW w:w="721"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sz w:val="21"/>
                <w:szCs w:val="21"/>
                <w:lang w:bidi="ar"/>
              </w:rPr>
              <w:t>β</w:t>
            </w:r>
            <w:r>
              <w:rPr>
                <w:rFonts w:ascii="Times New Roman" w:hAnsi="Times New Roman" w:cs="Times New Roman"/>
                <w:b/>
                <w:bCs/>
                <w:sz w:val="21"/>
                <w:szCs w:val="21"/>
              </w:rPr>
              <w:t xml:space="preserve"> (95% CI)</w:t>
            </w:r>
          </w:p>
        </w:tc>
        <w:tc>
          <w:tcPr>
            <w:tcW w:w="332" w:type="pct"/>
            <w:tcBorders>
              <w:top w:val="single" w:color="auto" w:sz="4" w:space="0"/>
              <w:bottom w:val="single" w:color="000000" w:sz="4" w:space="0"/>
            </w:tcBorders>
            <w:vAlign w:val="center"/>
          </w:tcPr>
          <w:p>
            <w:pPr>
              <w:jc w:val="center"/>
              <w:rPr>
                <w:rFonts w:ascii="Times New Roman" w:hAnsi="Times New Roman"/>
                <w:szCs w:val="21"/>
              </w:rPr>
            </w:pPr>
            <w:r>
              <w:rPr>
                <w:rFonts w:ascii="Times New Roman" w:hAnsi="Times New Roman" w:cs="Times New Roman"/>
                <w:b/>
                <w:bCs/>
                <w:i/>
                <w:iCs/>
                <w:sz w:val="21"/>
                <w:szCs w:val="21"/>
              </w:rPr>
              <w:t>p</w:t>
            </w:r>
            <w:r>
              <w:rPr>
                <w:rFonts w:ascii="Times New Roman" w:hAnsi="Times New Roman" w:cs="Times New Roman"/>
                <w:b/>
                <w:bCs/>
                <w:sz w:val="21"/>
                <w:szCs w:val="21"/>
              </w:rPr>
              <w:t>-Value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Intercept</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-0.037(-0.235,0.160)</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0.710</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-0.665(-2.465,1.136)</w:t>
            </w:r>
          </w:p>
        </w:tc>
        <w:tc>
          <w:tcPr>
            <w:tcW w:w="346"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1.000</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-0.026(-2.545,2.492)</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1.000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0.799(-3.472,5.07)</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1.000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Age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-0.127(-0.158,-0.096)</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0.088(0.055,0.121)</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-0.036(-0.074,0.001)</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0.058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-0.093(-0.163,-0.023)</w:t>
            </w:r>
          </w:p>
        </w:tc>
        <w:tc>
          <w:tcPr>
            <w:tcW w:w="332"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0.009</w:t>
            </w:r>
            <w:r>
              <w:rPr>
                <w:rFonts w:ascii="Times New Roman" w:hAnsi="Times New Roman" w:cs="Times New Roman"/>
                <w:b/>
                <w:bCs/>
                <w:sz w:val="21"/>
                <w:szCs w:val="21"/>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Sex</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0.164(0.092,0.235)</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0.158(0.096,0.220)</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0.009(-0.08,0.098)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0.844</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0.153(-0.034,0.341)</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0.108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Education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-0.100(-0.128,-0.072)</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-0.048(-0.075,-0.022)</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-0.082(-0.115,-0.048)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0.049(-0.023,0.120)</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0.181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Apo ɛ4</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-0.243(-0.300,-0.185)</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-0.054(-0.107,-0.001)</w:t>
            </w:r>
          </w:p>
        </w:tc>
        <w:tc>
          <w:tcPr>
            <w:tcW w:w="346" w:type="pct"/>
            <w:vAlign w:val="center"/>
          </w:tcPr>
          <w:p>
            <w:pPr>
              <w:jc w:val="center"/>
              <w:textAlignment w:val="center"/>
              <w:rPr>
                <w:rFonts w:ascii="Times New Roman" w:hAnsi="Times New Roman"/>
                <w:szCs w:val="21"/>
              </w:rPr>
            </w:pPr>
            <w:r>
              <w:rPr>
                <w:rFonts w:ascii="Times New Roman" w:hAnsi="Times New Roman" w:cs="Times New Roman"/>
                <w:b/>
                <w:bCs/>
                <w:color w:val="000000"/>
                <w:sz w:val="21"/>
                <w:szCs w:val="21"/>
                <w:lang w:bidi="ar"/>
              </w:rPr>
              <w:t>0.045</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-0.198(-0.266,-0.129)</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0.002(</w:t>
            </w:r>
            <w:bookmarkStart w:id="0" w:name="_GoBack"/>
            <w:bookmarkEnd w:id="0"/>
            <w:r>
              <w:rPr>
                <w:rFonts w:ascii="Times New Roman" w:hAnsi="Times New Roman" w:cs="Times New Roman"/>
                <w:sz w:val="21"/>
                <w:szCs w:val="21"/>
              </w:rPr>
              <w:t>-0.144,0.148)</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0.976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Hypertension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-0.002(-0.057,0.054)</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0.956</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-0.019(-0.069,0.03)</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0.437</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0.006(-0.062,0.074)</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0.865</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-0.070(-0.206,0.066)</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0.314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Diabetes</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-0.029(-0.13,0.073)</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0.583</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-0.012(-0.104,0.079)</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0.791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-0.07(-0.191,0.051)</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0.258</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0.159(-0.111,0.428)</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0.248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Hyperlipidemia</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0.022(-0.034,0.077)</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0.443</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0.048(-0.002,0.098)</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0.059</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0.014(-0.053,0.082)</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0.681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0.029(-0.107,0.165)</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0.678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Coronary heart disease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-0.032(-0.147,0.083)</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0.582</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0.032(-0.070,0.134)</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0.539</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-0.068(-0.204,0.068)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0.329</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0.102(-0.211,0.415)</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0.521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Atrial fibrillation</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0.060(-0.080,0.201)</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0.398</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-0.083(-0.205,0.038)</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0.179</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0.224(0.051,0.397)</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0.011</w:t>
            </w:r>
            <w:r>
              <w:rPr>
                <w:rFonts w:ascii="Times New Roman" w:hAnsi="Times New Roman" w:cs="Times New Roman"/>
                <w:b/>
                <w:bCs/>
                <w:sz w:val="21"/>
                <w:szCs w:val="21"/>
              </w:rPr>
              <w:t>*</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0.085(-0.279,0.448)</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0.648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Smoking</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0.031(-0.024,0.087)</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0.268</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-0.066(-0.115,-0.017)</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0.008</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0.015(-0.053,0.083)</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0.666</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0.061(-0.081,0.202)</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0.399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WMH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0.001(-0.026,0.028)</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0.948</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0.029(0.010,0.047)</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0.003</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-0.021(-0.061,0.018)</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color w:val="000000"/>
                <w:sz w:val="21"/>
                <w:szCs w:val="21"/>
                <w:lang w:bidi="ar"/>
              </w:rPr>
              <w:t>0.280</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0.021(-0.071,0.113)</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Hippocampus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-0.539(-0.571,-0.507)</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-0.065(-0.104,-0.026)</w:t>
            </w:r>
          </w:p>
        </w:tc>
        <w:tc>
          <w:tcPr>
            <w:tcW w:w="346" w:type="pct"/>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0.001</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-0.341(-0.382,-0.299)</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-0.256(-0.352,-0.161)</w:t>
            </w:r>
          </w:p>
        </w:tc>
        <w:tc>
          <w:tcPr>
            <w:tcW w:w="332" w:type="pct"/>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732" w:type="pct"/>
            <w:vAlign w:val="center"/>
          </w:tcPr>
          <w:p>
            <w:pPr>
              <w:rPr>
                <w:rFonts w:ascii="Times New Roman" w:hAnsi="Times New Roman"/>
                <w:szCs w:val="21"/>
              </w:rPr>
            </w:pPr>
            <w:r>
              <w:rPr>
                <w:rFonts w:ascii="Times New Roman" w:hAnsi="Times New Roman" w:cs="Times New Roman"/>
                <w:sz w:val="21"/>
                <w:szCs w:val="21"/>
              </w:rPr>
              <w:t>Intracranial volume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0.148(0.111,0.184)</w:t>
            </w:r>
          </w:p>
        </w:tc>
        <w:tc>
          <w:tcPr>
            <w:tcW w:w="343"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0.029(-0.006,0.064)</w:t>
            </w:r>
          </w:p>
        </w:tc>
        <w:tc>
          <w:tcPr>
            <w:tcW w:w="346"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0.100</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0.125(0.081,0.170)</w:t>
            </w:r>
          </w:p>
        </w:tc>
        <w:tc>
          <w:tcPr>
            <w:tcW w:w="355" w:type="pct"/>
            <w:vAlign w:val="center"/>
          </w:tcPr>
          <w:p>
            <w:pPr>
              <w:jc w:val="center"/>
              <w:textAlignment w:val="center"/>
              <w:rPr>
                <w:rFonts w:ascii="Times New Roman" w:hAnsi="Times New Roman"/>
                <w:b/>
                <w:bCs/>
                <w:szCs w:val="21"/>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-0.018(-0.107,0.070)</w:t>
            </w:r>
          </w:p>
        </w:tc>
        <w:tc>
          <w:tcPr>
            <w:tcW w:w="332" w:type="pct"/>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0.682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CSO-PVS</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0.108(0.078,0.138)</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0.026(0,0.052)</w:t>
            </w:r>
          </w:p>
        </w:tc>
        <w:tc>
          <w:tcPr>
            <w:tcW w:w="346" w:type="pct"/>
            <w:vAlign w:val="center"/>
          </w:tcPr>
          <w:p>
            <w:pPr>
              <w:jc w:val="center"/>
              <w:textAlignment w:val="center"/>
              <w:rPr>
                <w:rFonts w:ascii="Times New Roman" w:hAnsi="Times New Roman"/>
                <w:b/>
                <w:bCs/>
                <w:color w:val="000000"/>
                <w:szCs w:val="21"/>
                <w:lang w:bidi="ar"/>
              </w:rPr>
            </w:pPr>
            <w:r>
              <w:rPr>
                <w:rFonts w:ascii="Times New Roman" w:hAnsi="Times New Roman" w:cs="Times New Roman"/>
                <w:b/>
                <w:bCs/>
                <w:color w:val="000000"/>
                <w:sz w:val="21"/>
                <w:szCs w:val="21"/>
                <w:lang w:bidi="ar"/>
              </w:rPr>
              <w:t>0.047</w:t>
            </w:r>
            <w:r>
              <w:rPr>
                <w:rFonts w:ascii="Times New Roman" w:hAnsi="Times New Roman" w:cs="Times New Roman"/>
                <w:b/>
                <w:bCs/>
                <w:sz w:val="21"/>
                <w:szCs w:val="21"/>
              </w:rPr>
              <w:t>*</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0.109(0.069,0.148)</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0.041(-0.077,0.158)</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color w:val="000000"/>
                <w:sz w:val="21"/>
                <w:szCs w:val="21"/>
                <w:lang w:bidi="ar"/>
              </w:rPr>
              <w:t>0.496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vAlign w:val="center"/>
          </w:tcPr>
          <w:p>
            <w:pPr>
              <w:rPr>
                <w:rFonts w:ascii="Times New Roman" w:hAnsi="Times New Roman"/>
                <w:szCs w:val="21"/>
              </w:rPr>
            </w:pPr>
            <w:r>
              <w:rPr>
                <w:rFonts w:ascii="Times New Roman" w:hAnsi="Times New Roman" w:cs="Times New Roman"/>
                <w:sz w:val="21"/>
                <w:szCs w:val="21"/>
              </w:rPr>
              <w:t>Time</w:t>
            </w:r>
          </w:p>
        </w:tc>
        <w:tc>
          <w:tcPr>
            <w:tcW w:w="717" w:type="pct"/>
            <w:vAlign w:val="center"/>
          </w:tcPr>
          <w:p>
            <w:pPr>
              <w:jc w:val="center"/>
              <w:rPr>
                <w:rFonts w:ascii="Times New Roman" w:hAnsi="Times New Roman"/>
                <w:szCs w:val="21"/>
              </w:rPr>
            </w:pPr>
            <w:r>
              <w:rPr>
                <w:rFonts w:ascii="Times New Roman" w:hAnsi="Times New Roman" w:cs="Times New Roman"/>
                <w:sz w:val="21"/>
                <w:szCs w:val="21"/>
              </w:rPr>
              <w:t>0.088(0.055,0.120)</w:t>
            </w:r>
          </w:p>
        </w:tc>
        <w:tc>
          <w:tcPr>
            <w:tcW w:w="343"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696" w:type="pct"/>
            <w:vAlign w:val="center"/>
          </w:tcPr>
          <w:p>
            <w:pPr>
              <w:jc w:val="center"/>
              <w:rPr>
                <w:rFonts w:ascii="Times New Roman" w:hAnsi="Times New Roman"/>
                <w:szCs w:val="21"/>
              </w:rPr>
            </w:pPr>
            <w:r>
              <w:rPr>
                <w:rFonts w:ascii="Times New Roman" w:hAnsi="Times New Roman" w:cs="Times New Roman"/>
                <w:sz w:val="21"/>
                <w:szCs w:val="21"/>
              </w:rPr>
              <w:t>0.044(0.022,0.067)</w:t>
            </w:r>
          </w:p>
        </w:tc>
        <w:tc>
          <w:tcPr>
            <w:tcW w:w="346" w:type="pct"/>
            <w:vAlign w:val="center"/>
          </w:tcPr>
          <w:p>
            <w:pPr>
              <w:jc w:val="center"/>
              <w:textAlignment w:val="center"/>
              <w:rPr>
                <w:rFonts w:ascii="Times New Roman" w:hAnsi="Times New Roman"/>
                <w:b/>
                <w:bCs/>
                <w:color w:val="000000"/>
                <w:szCs w:val="21"/>
                <w:lang w:bidi="ar"/>
              </w:rPr>
            </w:pPr>
            <w:r>
              <w:rPr>
                <w:rFonts w:ascii="Times New Roman" w:hAnsi="Times New Roman" w:cs="Times New Roman"/>
                <w:b/>
                <w:bCs/>
                <w:sz w:val="21"/>
                <w:szCs w:val="21"/>
              </w:rPr>
              <w:t>&lt;0.001*</w:t>
            </w:r>
          </w:p>
        </w:tc>
        <w:tc>
          <w:tcPr>
            <w:tcW w:w="758" w:type="pct"/>
            <w:vAlign w:val="center"/>
          </w:tcPr>
          <w:p>
            <w:pPr>
              <w:jc w:val="center"/>
              <w:rPr>
                <w:rFonts w:ascii="Times New Roman" w:hAnsi="Times New Roman"/>
                <w:szCs w:val="21"/>
              </w:rPr>
            </w:pPr>
            <w:r>
              <w:rPr>
                <w:rFonts w:ascii="Times New Roman" w:hAnsi="Times New Roman" w:cs="Times New Roman"/>
                <w:sz w:val="21"/>
                <w:szCs w:val="21"/>
              </w:rPr>
              <w:t>0.177(0.131,0.223)</w:t>
            </w:r>
          </w:p>
        </w:tc>
        <w:tc>
          <w:tcPr>
            <w:tcW w:w="355"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c>
          <w:tcPr>
            <w:tcW w:w="721" w:type="pct"/>
            <w:vAlign w:val="center"/>
          </w:tcPr>
          <w:p>
            <w:pPr>
              <w:jc w:val="center"/>
              <w:rPr>
                <w:rFonts w:ascii="Times New Roman" w:hAnsi="Times New Roman"/>
                <w:szCs w:val="21"/>
              </w:rPr>
            </w:pPr>
            <w:r>
              <w:rPr>
                <w:rFonts w:ascii="Times New Roman" w:hAnsi="Times New Roman" w:cs="Times New Roman"/>
                <w:sz w:val="21"/>
                <w:szCs w:val="21"/>
              </w:rPr>
              <w:t>0.738(0.544,0.932)</w:t>
            </w:r>
          </w:p>
        </w:tc>
        <w:tc>
          <w:tcPr>
            <w:tcW w:w="332" w:type="pct"/>
            <w:vAlign w:val="center"/>
          </w:tcPr>
          <w:p>
            <w:pPr>
              <w:jc w:val="center"/>
              <w:textAlignment w:val="center"/>
              <w:rPr>
                <w:rFonts w:ascii="Times New Roman" w:hAnsi="Times New Roman"/>
                <w:color w:val="000000"/>
                <w:szCs w:val="21"/>
                <w:lang w:bidi="ar"/>
              </w:rPr>
            </w:pPr>
            <w:r>
              <w:rPr>
                <w:rFonts w:ascii="Times New Roman" w:hAnsi="Times New Roman" w:cs="Times New Roman"/>
                <w:b/>
                <w:bCs/>
                <w:sz w:val="21"/>
                <w:szCs w:val="21"/>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32" w:type="pct"/>
            <w:tcBorders>
              <w:bottom w:val="single" w:color="000000" w:sz="4" w:space="0"/>
            </w:tcBorders>
            <w:vAlign w:val="center"/>
          </w:tcPr>
          <w:p>
            <w:pPr>
              <w:rPr>
                <w:rFonts w:ascii="Times New Roman" w:hAnsi="Times New Roman"/>
                <w:szCs w:val="21"/>
              </w:rPr>
            </w:pPr>
            <w:r>
              <w:rPr>
                <w:rFonts w:ascii="Times New Roman" w:hAnsi="Times New Roman" w:cs="Times New Roman"/>
                <w:sz w:val="21"/>
                <w:szCs w:val="21"/>
              </w:rPr>
              <w:t>CSO-PVS*time</w:t>
            </w:r>
          </w:p>
        </w:tc>
        <w:tc>
          <w:tcPr>
            <w:tcW w:w="717"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0.060(0.026,0.094)</w:t>
            </w:r>
          </w:p>
        </w:tc>
        <w:tc>
          <w:tcPr>
            <w:tcW w:w="343"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0.001</w:t>
            </w:r>
            <w:r>
              <w:rPr>
                <w:rFonts w:ascii="Times New Roman" w:hAnsi="Times New Roman" w:cs="Times New Roman"/>
                <w:b/>
                <w:bCs/>
                <w:sz w:val="21"/>
                <w:szCs w:val="21"/>
              </w:rPr>
              <w:t>*</w:t>
            </w:r>
          </w:p>
        </w:tc>
        <w:tc>
          <w:tcPr>
            <w:tcW w:w="696"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0.025(0.002,0.048)</w:t>
            </w:r>
          </w:p>
        </w:tc>
        <w:tc>
          <w:tcPr>
            <w:tcW w:w="346" w:type="pct"/>
            <w:tcBorders>
              <w:bottom w:val="single" w:color="000000" w:sz="4" w:space="0"/>
            </w:tcBorders>
            <w:vAlign w:val="center"/>
          </w:tcPr>
          <w:p>
            <w:pPr>
              <w:jc w:val="center"/>
              <w:textAlignment w:val="center"/>
              <w:rPr>
                <w:rFonts w:ascii="Times New Roman" w:hAnsi="Times New Roman"/>
                <w:b/>
                <w:bCs/>
                <w:szCs w:val="21"/>
              </w:rPr>
            </w:pPr>
            <w:r>
              <w:rPr>
                <w:rFonts w:ascii="Times New Roman" w:hAnsi="Times New Roman" w:cs="Times New Roman"/>
                <w:b/>
                <w:bCs/>
                <w:color w:val="000000"/>
                <w:sz w:val="21"/>
                <w:szCs w:val="21"/>
                <w:lang w:bidi="ar"/>
              </w:rPr>
              <w:t>0.032</w:t>
            </w:r>
            <w:r>
              <w:rPr>
                <w:rFonts w:ascii="Times New Roman" w:hAnsi="Times New Roman" w:cs="Times New Roman"/>
                <w:b/>
                <w:bCs/>
                <w:sz w:val="21"/>
                <w:szCs w:val="21"/>
              </w:rPr>
              <w:t>*</w:t>
            </w:r>
          </w:p>
        </w:tc>
        <w:tc>
          <w:tcPr>
            <w:tcW w:w="758"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0.094(0.046,0.142)</w:t>
            </w:r>
          </w:p>
        </w:tc>
        <w:tc>
          <w:tcPr>
            <w:tcW w:w="355"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b/>
                <w:bCs/>
                <w:sz w:val="21"/>
                <w:szCs w:val="21"/>
              </w:rPr>
              <w:t>&lt;0.001*</w:t>
            </w:r>
          </w:p>
        </w:tc>
        <w:tc>
          <w:tcPr>
            <w:tcW w:w="721" w:type="pct"/>
            <w:tcBorders>
              <w:bottom w:val="single" w:color="000000" w:sz="4" w:space="0"/>
            </w:tcBorders>
            <w:vAlign w:val="center"/>
          </w:tcPr>
          <w:p>
            <w:pPr>
              <w:jc w:val="center"/>
              <w:rPr>
                <w:rFonts w:ascii="Times New Roman" w:hAnsi="Times New Roman"/>
                <w:szCs w:val="21"/>
              </w:rPr>
            </w:pPr>
            <w:r>
              <w:rPr>
                <w:rFonts w:ascii="Times New Roman" w:hAnsi="Times New Roman" w:cs="Times New Roman"/>
                <w:sz w:val="21"/>
                <w:szCs w:val="21"/>
              </w:rPr>
              <w:t>0.015(-0.164,0.194)</w:t>
            </w:r>
          </w:p>
        </w:tc>
        <w:tc>
          <w:tcPr>
            <w:tcW w:w="332" w:type="pct"/>
            <w:tcBorders>
              <w:bottom w:val="single" w:color="000000" w:sz="4" w:space="0"/>
            </w:tcBorders>
            <w:vAlign w:val="center"/>
          </w:tcPr>
          <w:p>
            <w:pPr>
              <w:jc w:val="center"/>
              <w:textAlignment w:val="center"/>
              <w:rPr>
                <w:rFonts w:ascii="Times New Roman" w:hAnsi="Times New Roman"/>
                <w:szCs w:val="21"/>
              </w:rPr>
            </w:pPr>
            <w:r>
              <w:rPr>
                <w:rFonts w:ascii="Times New Roman" w:hAnsi="Times New Roman" w:cs="Times New Roman"/>
                <w:color w:val="000000"/>
                <w:sz w:val="21"/>
                <w:szCs w:val="21"/>
                <w:lang w:bidi="ar"/>
              </w:rPr>
              <w:t>0.870</w:t>
            </w:r>
          </w:p>
        </w:tc>
      </w:tr>
    </w:tbl>
    <w:p>
      <w:pPr>
        <w:rPr>
          <w:rFonts w:ascii="Times New Roman" w:hAnsi="Times New Roman"/>
          <w:szCs w:val="21"/>
        </w:rPr>
      </w:pPr>
      <w:r>
        <w:rPr>
          <w:rFonts w:ascii="Times New Roman" w:hAnsi="Times New Roman" w:cs="Times New Roman"/>
          <w:sz w:val="21"/>
          <w:szCs w:val="21"/>
        </w:rPr>
        <w:t xml:space="preserve">Models were adjusted for age, sex, education, apo ɛ4, hypertension, diabetes, hyperlipidemia, coronary heart disease, atrial fibrillation, smoking, WMH volume, hippocampus volume and intracranial volume. Continuous independent variables and covariates in the models were z-scored prior to analysis for standardization. CSO-PVS*time was the effect of interest, as it reflected whether CSO-PVS moderated the relationship between time and ADAS-Cog 13 change. *: </w:t>
      </w:r>
      <w:r>
        <w:rPr>
          <w:rFonts w:ascii="Times New Roman" w:hAnsi="Times New Roman" w:cs="Times New Roman"/>
          <w:i/>
          <w:iCs/>
          <w:sz w:val="21"/>
          <w:szCs w:val="21"/>
        </w:rPr>
        <w:t xml:space="preserve">p </w:t>
      </w:r>
      <w:r>
        <w:rPr>
          <w:rFonts w:ascii="Times New Roman" w:hAnsi="Times New Roman" w:cs="Times New Roman"/>
          <w:sz w:val="21"/>
          <w:szCs w:val="21"/>
        </w:rPr>
        <w:t xml:space="preserve">&lt; 0.0.5. CSO = centrum semiovale; PVS = perivascular spaces; CN = Control; MCI = mild cognitive impairment; AD = Alzheimer disease; ADAS-Cog 13 = 13-item Alzheimer’s Disease Assessment Scale-cognitive subscale. </w:t>
      </w:r>
    </w:p>
    <w:p>
      <w:pPr>
        <w:rPr>
          <w:rFonts w:ascii="Times New Roman" w:hAnsi="Times New Roman"/>
          <w:szCs w:val="21"/>
        </w:rPr>
      </w:pP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WQ2ODBlZmEyMzFiNmVkNWEyODRmNDUzOGFlN2IifQ=="/>
    <w:docVar w:name="Total_Editing_Time" w:val="0"/>
  </w:docVars>
  <w:rsids>
    <w:rsidRoot w:val="005812B3"/>
    <w:rsid w:val="00003A78"/>
    <w:rsid w:val="000128D9"/>
    <w:rsid w:val="0005306F"/>
    <w:rsid w:val="0007052B"/>
    <w:rsid w:val="00077036"/>
    <w:rsid w:val="00085B5B"/>
    <w:rsid w:val="000A3F4C"/>
    <w:rsid w:val="000B4178"/>
    <w:rsid w:val="000C5091"/>
    <w:rsid w:val="000C570C"/>
    <w:rsid w:val="000D43E4"/>
    <w:rsid w:val="000D58ED"/>
    <w:rsid w:val="000E6386"/>
    <w:rsid w:val="00121EDA"/>
    <w:rsid w:val="00122B91"/>
    <w:rsid w:val="00130513"/>
    <w:rsid w:val="00132DC3"/>
    <w:rsid w:val="001461AF"/>
    <w:rsid w:val="00147F24"/>
    <w:rsid w:val="0017546F"/>
    <w:rsid w:val="00183224"/>
    <w:rsid w:val="001871F4"/>
    <w:rsid w:val="001949A6"/>
    <w:rsid w:val="001B085F"/>
    <w:rsid w:val="001C33F7"/>
    <w:rsid w:val="001D3268"/>
    <w:rsid w:val="001D6833"/>
    <w:rsid w:val="001F0EB6"/>
    <w:rsid w:val="001F152E"/>
    <w:rsid w:val="0022753D"/>
    <w:rsid w:val="00231B88"/>
    <w:rsid w:val="00232542"/>
    <w:rsid w:val="002466A8"/>
    <w:rsid w:val="00255D0C"/>
    <w:rsid w:val="002565E7"/>
    <w:rsid w:val="00264E6F"/>
    <w:rsid w:val="00272D4C"/>
    <w:rsid w:val="00280D28"/>
    <w:rsid w:val="00284390"/>
    <w:rsid w:val="002A0443"/>
    <w:rsid w:val="002A62AF"/>
    <w:rsid w:val="002D33E8"/>
    <w:rsid w:val="002E1309"/>
    <w:rsid w:val="002E156F"/>
    <w:rsid w:val="002E19FA"/>
    <w:rsid w:val="00303759"/>
    <w:rsid w:val="003117DB"/>
    <w:rsid w:val="00316DA1"/>
    <w:rsid w:val="00350ADA"/>
    <w:rsid w:val="00365235"/>
    <w:rsid w:val="00367923"/>
    <w:rsid w:val="003759B5"/>
    <w:rsid w:val="00377375"/>
    <w:rsid w:val="00384BC1"/>
    <w:rsid w:val="00391A48"/>
    <w:rsid w:val="003965C8"/>
    <w:rsid w:val="003C0DDE"/>
    <w:rsid w:val="003E0367"/>
    <w:rsid w:val="003E29B7"/>
    <w:rsid w:val="00401322"/>
    <w:rsid w:val="00401C3C"/>
    <w:rsid w:val="004054FA"/>
    <w:rsid w:val="0041114A"/>
    <w:rsid w:val="004156B2"/>
    <w:rsid w:val="00417529"/>
    <w:rsid w:val="004264B0"/>
    <w:rsid w:val="00432D8E"/>
    <w:rsid w:val="0043733F"/>
    <w:rsid w:val="004547EC"/>
    <w:rsid w:val="004561B3"/>
    <w:rsid w:val="00456C08"/>
    <w:rsid w:val="00457C19"/>
    <w:rsid w:val="00461864"/>
    <w:rsid w:val="004778B3"/>
    <w:rsid w:val="0049339F"/>
    <w:rsid w:val="00497B2C"/>
    <w:rsid w:val="004A097B"/>
    <w:rsid w:val="004A1640"/>
    <w:rsid w:val="004A52FA"/>
    <w:rsid w:val="004B3B74"/>
    <w:rsid w:val="004C117F"/>
    <w:rsid w:val="004E1EF8"/>
    <w:rsid w:val="004E674E"/>
    <w:rsid w:val="004F6C9C"/>
    <w:rsid w:val="005116EA"/>
    <w:rsid w:val="005117A0"/>
    <w:rsid w:val="00525E42"/>
    <w:rsid w:val="00530C61"/>
    <w:rsid w:val="0053131A"/>
    <w:rsid w:val="00533629"/>
    <w:rsid w:val="005458AE"/>
    <w:rsid w:val="005463BB"/>
    <w:rsid w:val="00556AA5"/>
    <w:rsid w:val="00557EB0"/>
    <w:rsid w:val="00565A34"/>
    <w:rsid w:val="0057033E"/>
    <w:rsid w:val="005812B3"/>
    <w:rsid w:val="00591CC8"/>
    <w:rsid w:val="005B0790"/>
    <w:rsid w:val="005C04EF"/>
    <w:rsid w:val="005C3C36"/>
    <w:rsid w:val="005C5C7B"/>
    <w:rsid w:val="005C6533"/>
    <w:rsid w:val="005D6DBE"/>
    <w:rsid w:val="005E4B00"/>
    <w:rsid w:val="005F197A"/>
    <w:rsid w:val="005F2D3D"/>
    <w:rsid w:val="005F556C"/>
    <w:rsid w:val="00604E77"/>
    <w:rsid w:val="006200D9"/>
    <w:rsid w:val="00621530"/>
    <w:rsid w:val="00634427"/>
    <w:rsid w:val="00643A6A"/>
    <w:rsid w:val="00646BBD"/>
    <w:rsid w:val="00661108"/>
    <w:rsid w:val="00671DA9"/>
    <w:rsid w:val="006746CF"/>
    <w:rsid w:val="006806AC"/>
    <w:rsid w:val="0068239C"/>
    <w:rsid w:val="00687F6B"/>
    <w:rsid w:val="006A2918"/>
    <w:rsid w:val="006B17B7"/>
    <w:rsid w:val="006B61C9"/>
    <w:rsid w:val="006C3CA5"/>
    <w:rsid w:val="006F24C6"/>
    <w:rsid w:val="0070133A"/>
    <w:rsid w:val="00712AA5"/>
    <w:rsid w:val="00712BA2"/>
    <w:rsid w:val="00714F49"/>
    <w:rsid w:val="0074149F"/>
    <w:rsid w:val="0075392A"/>
    <w:rsid w:val="0075557B"/>
    <w:rsid w:val="00756EAF"/>
    <w:rsid w:val="00756EEB"/>
    <w:rsid w:val="007575BA"/>
    <w:rsid w:val="0076246E"/>
    <w:rsid w:val="007640BE"/>
    <w:rsid w:val="007668B7"/>
    <w:rsid w:val="00776417"/>
    <w:rsid w:val="00791F73"/>
    <w:rsid w:val="007A54D2"/>
    <w:rsid w:val="007B4CA7"/>
    <w:rsid w:val="007D5125"/>
    <w:rsid w:val="007D7279"/>
    <w:rsid w:val="007E76CD"/>
    <w:rsid w:val="007F2DF3"/>
    <w:rsid w:val="007F39CF"/>
    <w:rsid w:val="008271BD"/>
    <w:rsid w:val="00827446"/>
    <w:rsid w:val="00832BBE"/>
    <w:rsid w:val="00836EB8"/>
    <w:rsid w:val="00851E3A"/>
    <w:rsid w:val="0087016F"/>
    <w:rsid w:val="00871737"/>
    <w:rsid w:val="008764C1"/>
    <w:rsid w:val="00885A6A"/>
    <w:rsid w:val="00892288"/>
    <w:rsid w:val="00896A6F"/>
    <w:rsid w:val="00896FB5"/>
    <w:rsid w:val="008A1753"/>
    <w:rsid w:val="008A3634"/>
    <w:rsid w:val="008A4F44"/>
    <w:rsid w:val="008A69B9"/>
    <w:rsid w:val="008B76F1"/>
    <w:rsid w:val="008C0A53"/>
    <w:rsid w:val="008C10EF"/>
    <w:rsid w:val="008F22FA"/>
    <w:rsid w:val="00912E9A"/>
    <w:rsid w:val="00916F25"/>
    <w:rsid w:val="0092236B"/>
    <w:rsid w:val="0092583B"/>
    <w:rsid w:val="00971E47"/>
    <w:rsid w:val="00985659"/>
    <w:rsid w:val="009B59FF"/>
    <w:rsid w:val="009C1201"/>
    <w:rsid w:val="009C2CB9"/>
    <w:rsid w:val="009C5879"/>
    <w:rsid w:val="009E1DD8"/>
    <w:rsid w:val="009E6C59"/>
    <w:rsid w:val="009F6583"/>
    <w:rsid w:val="00A030AD"/>
    <w:rsid w:val="00A06165"/>
    <w:rsid w:val="00A23BE3"/>
    <w:rsid w:val="00A3132E"/>
    <w:rsid w:val="00A3596B"/>
    <w:rsid w:val="00A37685"/>
    <w:rsid w:val="00A71E39"/>
    <w:rsid w:val="00A75A17"/>
    <w:rsid w:val="00AA7147"/>
    <w:rsid w:val="00AB6229"/>
    <w:rsid w:val="00AC514A"/>
    <w:rsid w:val="00AD072F"/>
    <w:rsid w:val="00AD3286"/>
    <w:rsid w:val="00AE0E54"/>
    <w:rsid w:val="00AE5636"/>
    <w:rsid w:val="00B24D17"/>
    <w:rsid w:val="00B36FFF"/>
    <w:rsid w:val="00B46837"/>
    <w:rsid w:val="00B47EC1"/>
    <w:rsid w:val="00B679B1"/>
    <w:rsid w:val="00B764F6"/>
    <w:rsid w:val="00B92211"/>
    <w:rsid w:val="00BA3C7B"/>
    <w:rsid w:val="00BC559D"/>
    <w:rsid w:val="00BD5360"/>
    <w:rsid w:val="00BD76B1"/>
    <w:rsid w:val="00BD7D58"/>
    <w:rsid w:val="00BD7DA4"/>
    <w:rsid w:val="00BE0820"/>
    <w:rsid w:val="00BE74BE"/>
    <w:rsid w:val="00BF624B"/>
    <w:rsid w:val="00BF6942"/>
    <w:rsid w:val="00C002C4"/>
    <w:rsid w:val="00C23071"/>
    <w:rsid w:val="00C25803"/>
    <w:rsid w:val="00C3045C"/>
    <w:rsid w:val="00C3648B"/>
    <w:rsid w:val="00C408DE"/>
    <w:rsid w:val="00C41D8B"/>
    <w:rsid w:val="00C508F5"/>
    <w:rsid w:val="00C51491"/>
    <w:rsid w:val="00C574AE"/>
    <w:rsid w:val="00C66FBB"/>
    <w:rsid w:val="00C73946"/>
    <w:rsid w:val="00C7771B"/>
    <w:rsid w:val="00CB57E4"/>
    <w:rsid w:val="00CC3544"/>
    <w:rsid w:val="00CD1325"/>
    <w:rsid w:val="00CD3F49"/>
    <w:rsid w:val="00CE5DEE"/>
    <w:rsid w:val="00CF4CE5"/>
    <w:rsid w:val="00CF4EF1"/>
    <w:rsid w:val="00CF50DA"/>
    <w:rsid w:val="00D00136"/>
    <w:rsid w:val="00D016E2"/>
    <w:rsid w:val="00D07140"/>
    <w:rsid w:val="00D10BED"/>
    <w:rsid w:val="00D12A13"/>
    <w:rsid w:val="00D16ED3"/>
    <w:rsid w:val="00D276B6"/>
    <w:rsid w:val="00D45BD9"/>
    <w:rsid w:val="00D605E7"/>
    <w:rsid w:val="00D60C0B"/>
    <w:rsid w:val="00D67779"/>
    <w:rsid w:val="00DA11CA"/>
    <w:rsid w:val="00DB4CDB"/>
    <w:rsid w:val="00DC0218"/>
    <w:rsid w:val="00DC13D0"/>
    <w:rsid w:val="00DC1F59"/>
    <w:rsid w:val="00DC2E9B"/>
    <w:rsid w:val="00DE582A"/>
    <w:rsid w:val="00DF2091"/>
    <w:rsid w:val="00E10150"/>
    <w:rsid w:val="00E225C4"/>
    <w:rsid w:val="00E261C1"/>
    <w:rsid w:val="00E337B7"/>
    <w:rsid w:val="00E5339C"/>
    <w:rsid w:val="00E712C5"/>
    <w:rsid w:val="00E717A8"/>
    <w:rsid w:val="00E752B0"/>
    <w:rsid w:val="00E8265A"/>
    <w:rsid w:val="00E95AA9"/>
    <w:rsid w:val="00E97B6D"/>
    <w:rsid w:val="00EA35C1"/>
    <w:rsid w:val="00EC1AB3"/>
    <w:rsid w:val="00EC4CBE"/>
    <w:rsid w:val="00ED1290"/>
    <w:rsid w:val="00EF074B"/>
    <w:rsid w:val="00EF0AF2"/>
    <w:rsid w:val="00EF78F6"/>
    <w:rsid w:val="00F11E1E"/>
    <w:rsid w:val="00F223E6"/>
    <w:rsid w:val="00F378AE"/>
    <w:rsid w:val="00F41036"/>
    <w:rsid w:val="00F54511"/>
    <w:rsid w:val="00F55F90"/>
    <w:rsid w:val="00F6760C"/>
    <w:rsid w:val="00F67BAE"/>
    <w:rsid w:val="00F70C73"/>
    <w:rsid w:val="00F74BC9"/>
    <w:rsid w:val="00F7589A"/>
    <w:rsid w:val="00F94A75"/>
    <w:rsid w:val="00FA1AA8"/>
    <w:rsid w:val="00FA262A"/>
    <w:rsid w:val="00FA3801"/>
    <w:rsid w:val="00FB4238"/>
    <w:rsid w:val="00FC0F19"/>
    <w:rsid w:val="00FC5807"/>
    <w:rsid w:val="00FD7829"/>
    <w:rsid w:val="00FE258F"/>
    <w:rsid w:val="00FF42BB"/>
    <w:rsid w:val="00FF7461"/>
    <w:rsid w:val="23765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289</Words>
  <Characters>2640</Characters>
  <Lines>295</Lines>
  <Paragraphs>184</Paragraphs>
  <TotalTime>0</TotalTime>
  <ScaleCrop>false</ScaleCrop>
  <LinksUpToDate>false</LinksUpToDate>
  <CharactersWithSpaces>2764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2022-12-08T07:35:00Z</dcterms:created>
  <dc:creator>GCREDO</dc:creator>
  <cp:lastModifiedBy>王铭梁</cp:lastModifiedBy>
  <dcterms:modified xsi:type="dcterms:W3CDTF">2022-12-10T10:09:30Z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22F80FA5438341F6BC593AC0E5314AE8</vt:lpwstr>
  </property>
</Properties>
</file>