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A8EEB" w14:textId="77777777" w:rsidR="002C37D8" w:rsidRPr="002C37D8" w:rsidRDefault="002C37D8" w:rsidP="002C37D8">
      <w:pPr>
        <w:spacing w:line="360" w:lineRule="auto"/>
        <w:rPr>
          <w:rFonts w:ascii="Times New Roman" w:hAnsi="Times New Roman" w:cs="Times New Roman"/>
          <w:lang w:val="en-IE"/>
        </w:rPr>
      </w:pPr>
      <w:bookmarkStart w:id="0" w:name="_Hlk122786392"/>
      <w:r w:rsidRPr="002C37D8">
        <w:rPr>
          <w:rFonts w:ascii="Times New Roman" w:hAnsi="Times New Roman" w:cs="Times New Roman"/>
          <w:lang w:val="en-IE"/>
        </w:rPr>
        <w:t xml:space="preserve">Supplementary Table 1. Spatial coordinates and peak values of the striatal subregion showing significant differences in </w:t>
      </w:r>
      <w:proofErr w:type="spellStart"/>
      <w:r w:rsidRPr="002C37D8">
        <w:rPr>
          <w:rFonts w:ascii="Times New Roman" w:hAnsi="Times New Roman" w:cs="Times New Roman"/>
          <w:lang w:val="en-IE"/>
        </w:rPr>
        <w:t>gray</w:t>
      </w:r>
      <w:proofErr w:type="spellEnd"/>
      <w:r w:rsidRPr="002C37D8">
        <w:rPr>
          <w:rFonts w:ascii="Times New Roman" w:hAnsi="Times New Roman" w:cs="Times New Roman"/>
          <w:lang w:val="en-IE"/>
        </w:rPr>
        <w:t xml:space="preserve"> matter volume between </w:t>
      </w:r>
      <w:proofErr w:type="spellStart"/>
      <w:r w:rsidRPr="002C37D8">
        <w:rPr>
          <w:rFonts w:ascii="Times New Roman" w:hAnsi="Times New Roman" w:cs="Times New Roman"/>
          <w:lang w:val="en-IE"/>
        </w:rPr>
        <w:t>bvFTD</w:t>
      </w:r>
      <w:proofErr w:type="spellEnd"/>
      <w:r w:rsidRPr="002C37D8">
        <w:rPr>
          <w:rFonts w:ascii="Times New Roman" w:hAnsi="Times New Roman" w:cs="Times New Roman"/>
          <w:lang w:val="en-IE"/>
        </w:rPr>
        <w:t xml:space="preserve"> patients and controls</w:t>
      </w:r>
    </w:p>
    <w:tbl>
      <w:tblPr>
        <w:tblStyle w:val="a3"/>
        <w:tblpPr w:leftFromText="180" w:rightFromText="180" w:vertAnchor="page" w:horzAnchor="margin" w:tblpY="2536"/>
        <w:tblOverlap w:val="never"/>
        <w:tblW w:w="7916" w:type="dxa"/>
        <w:tblBorders>
          <w:left w:val="single" w:sz="12" w:space="0" w:color="FFFFFF" w:themeColor="background1"/>
          <w:right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385"/>
        <w:gridCol w:w="1382"/>
        <w:gridCol w:w="1383"/>
        <w:gridCol w:w="1660"/>
        <w:gridCol w:w="1106"/>
      </w:tblGrid>
      <w:tr w:rsidR="002C37D8" w:rsidRPr="002C37D8" w14:paraId="733B35BC" w14:textId="77777777" w:rsidTr="002C37D8">
        <w:tc>
          <w:tcPr>
            <w:tcW w:w="2385" w:type="dxa"/>
            <w:tcBorders>
              <w:left w:val="nil"/>
              <w:bottom w:val="single" w:sz="4" w:space="0" w:color="auto"/>
            </w:tcBorders>
          </w:tcPr>
          <w:p w14:paraId="628B355A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bookmarkStart w:id="1" w:name="_Hlk118125974"/>
            <w:bookmarkEnd w:id="0"/>
            <w:r w:rsidRPr="002C37D8">
              <w:rPr>
                <w:rFonts w:ascii="Times New Roman" w:hAnsi="Times New Roman" w:cs="Times New Roman"/>
                <w:szCs w:val="21"/>
              </w:rPr>
              <w:t>Region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14:paraId="118AA972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/>
                <w:szCs w:val="21"/>
              </w:rPr>
              <w:t>Side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0F933589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/>
                <w:szCs w:val="21"/>
              </w:rPr>
              <w:t>Cluster Size</w:t>
            </w:r>
          </w:p>
        </w:tc>
        <w:tc>
          <w:tcPr>
            <w:tcW w:w="1660" w:type="dxa"/>
            <w:tcBorders>
              <w:bottom w:val="single" w:sz="4" w:space="0" w:color="auto"/>
            </w:tcBorders>
          </w:tcPr>
          <w:p w14:paraId="1D798850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/>
                <w:szCs w:val="21"/>
              </w:rPr>
              <w:t>MNI coordinate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A6F19BC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/>
                <w:szCs w:val="21"/>
              </w:rPr>
              <w:t>T value</w:t>
            </w:r>
          </w:p>
        </w:tc>
      </w:tr>
      <w:tr w:rsidR="002C37D8" w:rsidRPr="002C37D8" w14:paraId="243B6CDE" w14:textId="77777777" w:rsidTr="002C37D8">
        <w:tc>
          <w:tcPr>
            <w:tcW w:w="2385" w:type="dxa"/>
            <w:tcBorders>
              <w:left w:val="nil"/>
              <w:bottom w:val="single" w:sz="12" w:space="0" w:color="FFFFFF" w:themeColor="background1"/>
              <w:right w:val="nil"/>
            </w:tcBorders>
          </w:tcPr>
          <w:p w14:paraId="4189517A" w14:textId="77777777" w:rsidR="002C37D8" w:rsidRPr="002C37D8" w:rsidRDefault="002C37D8" w:rsidP="002C37D8">
            <w:pPr>
              <w:rPr>
                <w:rFonts w:ascii="Times New Roman" w:hAnsi="Times New Roman" w:cs="Times New Roman"/>
              </w:rPr>
            </w:pPr>
            <w:r w:rsidRPr="002C37D8">
              <w:rPr>
                <w:rFonts w:ascii="Times New Roman" w:hAnsi="Times New Roman" w:cs="Times New Roman"/>
              </w:rPr>
              <w:t>Limbic region</w:t>
            </w:r>
          </w:p>
        </w:tc>
        <w:tc>
          <w:tcPr>
            <w:tcW w:w="1382" w:type="dxa"/>
            <w:tcBorders>
              <w:left w:val="nil"/>
              <w:bottom w:val="single" w:sz="12" w:space="0" w:color="FFFFFF" w:themeColor="background1"/>
              <w:right w:val="nil"/>
            </w:tcBorders>
          </w:tcPr>
          <w:p w14:paraId="4C07899D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 w:hint="eastAsia"/>
                <w:szCs w:val="21"/>
              </w:rPr>
              <w:t>L</w:t>
            </w:r>
          </w:p>
        </w:tc>
        <w:tc>
          <w:tcPr>
            <w:tcW w:w="1383" w:type="dxa"/>
            <w:tcBorders>
              <w:left w:val="nil"/>
              <w:bottom w:val="single" w:sz="12" w:space="0" w:color="FFFFFF" w:themeColor="background1"/>
              <w:right w:val="nil"/>
            </w:tcBorders>
          </w:tcPr>
          <w:p w14:paraId="58373323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/>
                <w:szCs w:val="21"/>
              </w:rPr>
              <w:t>877</w:t>
            </w:r>
          </w:p>
        </w:tc>
        <w:tc>
          <w:tcPr>
            <w:tcW w:w="1660" w:type="dxa"/>
            <w:tcBorders>
              <w:left w:val="nil"/>
              <w:bottom w:val="single" w:sz="12" w:space="0" w:color="FFFFFF" w:themeColor="background1"/>
              <w:right w:val="nil"/>
            </w:tcBorders>
          </w:tcPr>
          <w:p w14:paraId="58B19D28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/>
                <w:szCs w:val="21"/>
              </w:rPr>
              <w:t>-12 15 -14</w:t>
            </w:r>
          </w:p>
        </w:tc>
        <w:tc>
          <w:tcPr>
            <w:tcW w:w="1106" w:type="dxa"/>
            <w:tcBorders>
              <w:left w:val="nil"/>
              <w:bottom w:val="single" w:sz="12" w:space="0" w:color="FFFFFF" w:themeColor="background1"/>
            </w:tcBorders>
          </w:tcPr>
          <w:p w14:paraId="30E6E066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2C37D8">
              <w:rPr>
                <w:rFonts w:ascii="Times New Roman" w:hAnsi="Times New Roman" w:cs="Times New Roman"/>
                <w:szCs w:val="21"/>
              </w:rPr>
              <w:t>12.15</w:t>
            </w:r>
          </w:p>
        </w:tc>
      </w:tr>
      <w:tr w:rsidR="002C37D8" w:rsidRPr="002C37D8" w14:paraId="33213333" w14:textId="77777777" w:rsidTr="002C37D8">
        <w:tc>
          <w:tcPr>
            <w:tcW w:w="2385" w:type="dxa"/>
            <w:tcBorders>
              <w:left w:val="nil"/>
              <w:bottom w:val="single" w:sz="12" w:space="0" w:color="FFFFFF" w:themeColor="background1"/>
              <w:right w:val="nil"/>
            </w:tcBorders>
          </w:tcPr>
          <w:p w14:paraId="16CC42E3" w14:textId="77777777" w:rsidR="002C37D8" w:rsidRPr="002C37D8" w:rsidRDefault="002C37D8" w:rsidP="002C37D8">
            <w:pPr>
              <w:rPr>
                <w:rFonts w:ascii="Times New Roman" w:hAnsi="Times New Roman" w:cs="Times New Roman"/>
              </w:rPr>
            </w:pPr>
            <w:r w:rsidRPr="002C37D8">
              <w:rPr>
                <w:rFonts w:ascii="Times New Roman" w:hAnsi="Times New Roman" w:cs="Times New Roman"/>
              </w:rPr>
              <w:t>Limbic region</w:t>
            </w:r>
          </w:p>
        </w:tc>
        <w:tc>
          <w:tcPr>
            <w:tcW w:w="1382" w:type="dxa"/>
            <w:tcBorders>
              <w:left w:val="nil"/>
              <w:bottom w:val="single" w:sz="12" w:space="0" w:color="FFFFFF" w:themeColor="background1"/>
              <w:right w:val="nil"/>
            </w:tcBorders>
          </w:tcPr>
          <w:p w14:paraId="352EC7D2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1383" w:type="dxa"/>
            <w:tcBorders>
              <w:left w:val="nil"/>
              <w:bottom w:val="single" w:sz="12" w:space="0" w:color="FFFFFF" w:themeColor="background1"/>
              <w:right w:val="nil"/>
            </w:tcBorders>
          </w:tcPr>
          <w:p w14:paraId="5EB49675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/>
                <w:szCs w:val="21"/>
              </w:rPr>
              <w:t>713</w:t>
            </w:r>
          </w:p>
        </w:tc>
        <w:tc>
          <w:tcPr>
            <w:tcW w:w="1660" w:type="dxa"/>
            <w:tcBorders>
              <w:left w:val="nil"/>
              <w:bottom w:val="single" w:sz="12" w:space="0" w:color="FFFFFF" w:themeColor="background1"/>
              <w:right w:val="nil"/>
            </w:tcBorders>
          </w:tcPr>
          <w:p w14:paraId="50FCF82B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/>
                <w:szCs w:val="21"/>
              </w:rPr>
              <w:t>12 15 -14</w:t>
            </w:r>
          </w:p>
        </w:tc>
        <w:tc>
          <w:tcPr>
            <w:tcW w:w="1106" w:type="dxa"/>
            <w:tcBorders>
              <w:left w:val="nil"/>
              <w:bottom w:val="single" w:sz="12" w:space="0" w:color="FFFFFF" w:themeColor="background1"/>
            </w:tcBorders>
          </w:tcPr>
          <w:p w14:paraId="13C97885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/>
                <w:szCs w:val="21"/>
              </w:rPr>
              <w:t>-10.15</w:t>
            </w:r>
          </w:p>
        </w:tc>
      </w:tr>
      <w:tr w:rsidR="002C37D8" w:rsidRPr="002C37D8" w14:paraId="245B8F7B" w14:textId="77777777" w:rsidTr="002C37D8">
        <w:tc>
          <w:tcPr>
            <w:tcW w:w="2385" w:type="dxa"/>
            <w:tcBorders>
              <w:left w:val="nil"/>
              <w:bottom w:val="single" w:sz="12" w:space="0" w:color="FFFFFF" w:themeColor="background1"/>
              <w:right w:val="nil"/>
            </w:tcBorders>
          </w:tcPr>
          <w:p w14:paraId="1BB5FDCD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/>
              </w:rPr>
              <w:t>Executive subregion</w:t>
            </w:r>
          </w:p>
        </w:tc>
        <w:tc>
          <w:tcPr>
            <w:tcW w:w="1382" w:type="dxa"/>
            <w:tcBorders>
              <w:left w:val="nil"/>
              <w:bottom w:val="single" w:sz="12" w:space="0" w:color="FFFFFF" w:themeColor="background1"/>
              <w:right w:val="nil"/>
            </w:tcBorders>
          </w:tcPr>
          <w:p w14:paraId="2FD665E2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 w:hint="eastAsia"/>
                <w:szCs w:val="21"/>
              </w:rPr>
              <w:t>L</w:t>
            </w:r>
          </w:p>
        </w:tc>
        <w:tc>
          <w:tcPr>
            <w:tcW w:w="1383" w:type="dxa"/>
            <w:tcBorders>
              <w:left w:val="nil"/>
              <w:bottom w:val="single" w:sz="12" w:space="0" w:color="FFFFFF" w:themeColor="background1"/>
              <w:right w:val="nil"/>
            </w:tcBorders>
          </w:tcPr>
          <w:p w14:paraId="4F0F62B9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/>
                <w:szCs w:val="21"/>
              </w:rPr>
              <w:t>1898</w:t>
            </w:r>
          </w:p>
        </w:tc>
        <w:tc>
          <w:tcPr>
            <w:tcW w:w="1660" w:type="dxa"/>
            <w:tcBorders>
              <w:left w:val="nil"/>
              <w:bottom w:val="single" w:sz="12" w:space="0" w:color="FFFFFF" w:themeColor="background1"/>
              <w:right w:val="nil"/>
            </w:tcBorders>
          </w:tcPr>
          <w:p w14:paraId="1C4B21F6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2C37D8">
              <w:rPr>
                <w:rFonts w:ascii="Times New Roman" w:hAnsi="Times New Roman" w:cs="Times New Roman"/>
                <w:szCs w:val="21"/>
              </w:rPr>
              <w:t>12 13 7</w:t>
            </w:r>
          </w:p>
        </w:tc>
        <w:tc>
          <w:tcPr>
            <w:tcW w:w="1106" w:type="dxa"/>
            <w:tcBorders>
              <w:left w:val="nil"/>
              <w:bottom w:val="single" w:sz="12" w:space="0" w:color="FFFFFF" w:themeColor="background1"/>
            </w:tcBorders>
          </w:tcPr>
          <w:p w14:paraId="09628A2D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2C37D8">
              <w:rPr>
                <w:rFonts w:ascii="Times New Roman" w:hAnsi="Times New Roman" w:cs="Times New Roman"/>
                <w:szCs w:val="21"/>
              </w:rPr>
              <w:t>10.76</w:t>
            </w:r>
          </w:p>
        </w:tc>
      </w:tr>
      <w:tr w:rsidR="002C37D8" w:rsidRPr="002C37D8" w14:paraId="0B5832AD" w14:textId="77777777" w:rsidTr="002C37D8">
        <w:tc>
          <w:tcPr>
            <w:tcW w:w="2385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</w:tcPr>
          <w:p w14:paraId="679C1ED3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/>
              </w:rPr>
              <w:t>Executive subregion</w:t>
            </w:r>
          </w:p>
        </w:tc>
        <w:tc>
          <w:tcPr>
            <w:tcW w:w="1382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</w:tcPr>
          <w:p w14:paraId="6B5766E2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1383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</w:tcPr>
          <w:p w14:paraId="1312CAF7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/>
                <w:szCs w:val="21"/>
              </w:rPr>
              <w:t>1548</w:t>
            </w:r>
          </w:p>
        </w:tc>
        <w:tc>
          <w:tcPr>
            <w:tcW w:w="1660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</w:tcPr>
          <w:p w14:paraId="530117B5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2C37D8">
              <w:rPr>
                <w:rFonts w:ascii="Times New Roman" w:hAnsi="Times New Roman" w:cs="Times New Roman"/>
                <w:szCs w:val="21"/>
              </w:rPr>
              <w:t>2 13 7</w:t>
            </w:r>
          </w:p>
        </w:tc>
        <w:tc>
          <w:tcPr>
            <w:tcW w:w="1106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</w:tcBorders>
          </w:tcPr>
          <w:p w14:paraId="6BF75A83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2C37D8">
              <w:rPr>
                <w:rFonts w:ascii="Times New Roman" w:hAnsi="Times New Roman" w:cs="Times New Roman"/>
                <w:szCs w:val="21"/>
              </w:rPr>
              <w:t>9.35</w:t>
            </w:r>
          </w:p>
        </w:tc>
      </w:tr>
      <w:tr w:rsidR="002C37D8" w:rsidRPr="002C37D8" w14:paraId="1E91A5B5" w14:textId="77777777" w:rsidTr="002C37D8">
        <w:tc>
          <w:tcPr>
            <w:tcW w:w="2385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</w:tcPr>
          <w:p w14:paraId="519CDDA7" w14:textId="77777777" w:rsidR="002C37D8" w:rsidRPr="002C37D8" w:rsidRDefault="002C37D8" w:rsidP="002C37D8">
            <w:pPr>
              <w:rPr>
                <w:rFonts w:ascii="Times New Roman" w:hAnsi="Times New Roman" w:cs="Times New Roman"/>
              </w:rPr>
            </w:pPr>
            <w:r w:rsidRPr="002C37D8">
              <w:rPr>
                <w:rFonts w:ascii="Times New Roman" w:hAnsi="Times New Roman" w:cs="Times New Roman"/>
              </w:rPr>
              <w:t>Rostral-motor subregion</w:t>
            </w:r>
          </w:p>
        </w:tc>
        <w:tc>
          <w:tcPr>
            <w:tcW w:w="1382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</w:tcPr>
          <w:p w14:paraId="09F04276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 w:hint="eastAsia"/>
                <w:szCs w:val="21"/>
              </w:rPr>
              <w:t>L</w:t>
            </w:r>
          </w:p>
        </w:tc>
        <w:tc>
          <w:tcPr>
            <w:tcW w:w="1383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</w:tcPr>
          <w:p w14:paraId="613266D5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/>
                <w:szCs w:val="21"/>
              </w:rPr>
              <w:t>156</w:t>
            </w:r>
          </w:p>
        </w:tc>
        <w:tc>
          <w:tcPr>
            <w:tcW w:w="1660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</w:tcPr>
          <w:p w14:paraId="659FDB88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2C37D8">
              <w:rPr>
                <w:rFonts w:ascii="Times New Roman" w:hAnsi="Times New Roman" w:cs="Times New Roman"/>
                <w:szCs w:val="21"/>
              </w:rPr>
              <w:t>29 1 -1</w:t>
            </w:r>
          </w:p>
        </w:tc>
        <w:tc>
          <w:tcPr>
            <w:tcW w:w="1106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</w:tcBorders>
          </w:tcPr>
          <w:p w14:paraId="40B5EEA9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2C37D8">
              <w:rPr>
                <w:rFonts w:ascii="Times New Roman" w:hAnsi="Times New Roman" w:cs="Times New Roman"/>
                <w:szCs w:val="21"/>
              </w:rPr>
              <w:t>9.00</w:t>
            </w:r>
          </w:p>
        </w:tc>
      </w:tr>
      <w:tr w:rsidR="002C37D8" w:rsidRPr="002C37D8" w14:paraId="78857E33" w14:textId="77777777" w:rsidTr="002C37D8">
        <w:tc>
          <w:tcPr>
            <w:tcW w:w="2385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</w:tcPr>
          <w:p w14:paraId="548EE233" w14:textId="77777777" w:rsidR="002C37D8" w:rsidRPr="002C37D8" w:rsidRDefault="002C37D8" w:rsidP="002C37D8">
            <w:pPr>
              <w:rPr>
                <w:rFonts w:ascii="Times New Roman" w:hAnsi="Times New Roman" w:cs="Times New Roman"/>
              </w:rPr>
            </w:pPr>
            <w:r w:rsidRPr="002C37D8">
              <w:rPr>
                <w:rFonts w:ascii="Times New Roman" w:hAnsi="Times New Roman" w:cs="Times New Roman"/>
              </w:rPr>
              <w:t>Rostral-motor subregion</w:t>
            </w:r>
          </w:p>
        </w:tc>
        <w:tc>
          <w:tcPr>
            <w:tcW w:w="1382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</w:tcPr>
          <w:p w14:paraId="0888A961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1383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</w:tcPr>
          <w:p w14:paraId="7DD6A276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2C37D8">
              <w:rPr>
                <w:rFonts w:ascii="Times New Roman" w:hAnsi="Times New Roman" w:cs="Times New Roman"/>
                <w:szCs w:val="21"/>
              </w:rPr>
              <w:t>02</w:t>
            </w:r>
          </w:p>
        </w:tc>
        <w:tc>
          <w:tcPr>
            <w:tcW w:w="1660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</w:tcPr>
          <w:p w14:paraId="2E2379DC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/>
                <w:szCs w:val="21"/>
              </w:rPr>
              <w:t>29 1 -1</w:t>
            </w:r>
          </w:p>
        </w:tc>
        <w:tc>
          <w:tcPr>
            <w:tcW w:w="1106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</w:tcBorders>
          </w:tcPr>
          <w:p w14:paraId="2206C377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/>
                <w:szCs w:val="21"/>
              </w:rPr>
              <w:t>-6.77</w:t>
            </w:r>
          </w:p>
        </w:tc>
      </w:tr>
      <w:tr w:rsidR="002C37D8" w:rsidRPr="002C37D8" w14:paraId="7843D4F0" w14:textId="77777777" w:rsidTr="002C37D8">
        <w:tc>
          <w:tcPr>
            <w:tcW w:w="2385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</w:tcPr>
          <w:p w14:paraId="34475FCB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/>
              </w:rPr>
              <w:t>Caudal motor subregion</w:t>
            </w:r>
          </w:p>
        </w:tc>
        <w:tc>
          <w:tcPr>
            <w:tcW w:w="1382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</w:tcPr>
          <w:p w14:paraId="3132AC90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 w:hint="eastAsia"/>
                <w:szCs w:val="21"/>
              </w:rPr>
              <w:t>L</w:t>
            </w:r>
          </w:p>
        </w:tc>
        <w:tc>
          <w:tcPr>
            <w:tcW w:w="1383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</w:tcPr>
          <w:p w14:paraId="0012E489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/>
                <w:szCs w:val="21"/>
              </w:rPr>
              <w:t>320</w:t>
            </w:r>
          </w:p>
        </w:tc>
        <w:tc>
          <w:tcPr>
            <w:tcW w:w="1660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</w:tcPr>
          <w:p w14:paraId="6FD61589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2C37D8">
              <w:rPr>
                <w:rFonts w:ascii="Times New Roman" w:hAnsi="Times New Roman" w:cs="Times New Roman"/>
                <w:szCs w:val="21"/>
              </w:rPr>
              <w:t>26 -6 -1</w:t>
            </w:r>
          </w:p>
        </w:tc>
        <w:tc>
          <w:tcPr>
            <w:tcW w:w="1106" w:type="dxa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</w:tcBorders>
          </w:tcPr>
          <w:p w14:paraId="03052AB3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2C37D8">
              <w:rPr>
                <w:rFonts w:ascii="Times New Roman" w:hAnsi="Times New Roman" w:cs="Times New Roman"/>
                <w:szCs w:val="21"/>
              </w:rPr>
              <w:t>9.71</w:t>
            </w:r>
          </w:p>
        </w:tc>
      </w:tr>
      <w:tr w:rsidR="002C37D8" w:rsidRPr="002C37D8" w14:paraId="19E3F811" w14:textId="77777777" w:rsidTr="002C37D8">
        <w:tc>
          <w:tcPr>
            <w:tcW w:w="2385" w:type="dxa"/>
            <w:tcBorders>
              <w:top w:val="single" w:sz="12" w:space="0" w:color="FFFFFF" w:themeColor="background1"/>
              <w:left w:val="nil"/>
              <w:right w:val="nil"/>
            </w:tcBorders>
          </w:tcPr>
          <w:p w14:paraId="5D4CF911" w14:textId="77777777" w:rsidR="002C37D8" w:rsidRPr="002C37D8" w:rsidRDefault="002C37D8" w:rsidP="002C37D8">
            <w:pPr>
              <w:rPr>
                <w:rFonts w:ascii="Times New Roman" w:hAnsi="Times New Roman" w:cs="Times New Roman"/>
              </w:rPr>
            </w:pPr>
            <w:r w:rsidRPr="002C37D8">
              <w:rPr>
                <w:rFonts w:ascii="Times New Roman" w:hAnsi="Times New Roman" w:cs="Times New Roman"/>
              </w:rPr>
              <w:t>Caudal motor subregion</w:t>
            </w:r>
          </w:p>
        </w:tc>
        <w:tc>
          <w:tcPr>
            <w:tcW w:w="1382" w:type="dxa"/>
            <w:tcBorders>
              <w:top w:val="single" w:sz="12" w:space="0" w:color="FFFFFF" w:themeColor="background1"/>
              <w:left w:val="nil"/>
              <w:right w:val="nil"/>
            </w:tcBorders>
          </w:tcPr>
          <w:p w14:paraId="6CFBF816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1383" w:type="dxa"/>
            <w:tcBorders>
              <w:top w:val="single" w:sz="12" w:space="0" w:color="FFFFFF" w:themeColor="background1"/>
              <w:left w:val="nil"/>
              <w:right w:val="nil"/>
            </w:tcBorders>
          </w:tcPr>
          <w:p w14:paraId="196947F3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/>
                <w:szCs w:val="21"/>
              </w:rPr>
              <w:t>119</w:t>
            </w:r>
          </w:p>
        </w:tc>
        <w:tc>
          <w:tcPr>
            <w:tcW w:w="1660" w:type="dxa"/>
            <w:tcBorders>
              <w:top w:val="single" w:sz="12" w:space="0" w:color="FFFFFF" w:themeColor="background1"/>
              <w:left w:val="nil"/>
              <w:right w:val="nil"/>
            </w:tcBorders>
          </w:tcPr>
          <w:p w14:paraId="76F9F4BD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/>
                <w:szCs w:val="21"/>
              </w:rPr>
              <w:t>26 -6 -1</w:t>
            </w:r>
          </w:p>
        </w:tc>
        <w:tc>
          <w:tcPr>
            <w:tcW w:w="1106" w:type="dxa"/>
            <w:tcBorders>
              <w:top w:val="single" w:sz="12" w:space="0" w:color="FFFFFF" w:themeColor="background1"/>
              <w:left w:val="nil"/>
            </w:tcBorders>
          </w:tcPr>
          <w:p w14:paraId="6E2EF117" w14:textId="77777777" w:rsidR="002C37D8" w:rsidRPr="002C37D8" w:rsidRDefault="002C37D8" w:rsidP="002C37D8">
            <w:pPr>
              <w:rPr>
                <w:rFonts w:ascii="Times New Roman" w:hAnsi="Times New Roman" w:cs="Times New Roman"/>
                <w:szCs w:val="21"/>
              </w:rPr>
            </w:pPr>
            <w:r w:rsidRPr="002C37D8">
              <w:rPr>
                <w:rFonts w:ascii="Times New Roman" w:hAnsi="Times New Roman" w:cs="Times New Roman"/>
                <w:szCs w:val="21"/>
              </w:rPr>
              <w:t>-6.85</w:t>
            </w:r>
          </w:p>
        </w:tc>
      </w:tr>
      <w:bookmarkEnd w:id="1"/>
    </w:tbl>
    <w:p w14:paraId="3D59C149" w14:textId="77777777" w:rsidR="002C37D8" w:rsidRPr="002C37D8" w:rsidRDefault="002C37D8" w:rsidP="002C37D8">
      <w:pPr>
        <w:rPr>
          <w:rFonts w:ascii="Times New Roman" w:hAnsi="Times New Roman" w:cs="Times New Roman"/>
          <w:sz w:val="18"/>
          <w:szCs w:val="18"/>
        </w:rPr>
      </w:pPr>
    </w:p>
    <w:p w14:paraId="18121B80" w14:textId="77777777" w:rsidR="002C37D8" w:rsidRPr="002C37D8" w:rsidRDefault="002C37D8" w:rsidP="002C37D8">
      <w:pPr>
        <w:rPr>
          <w:rFonts w:ascii="Times New Roman" w:hAnsi="Times New Roman" w:cs="Times New Roman"/>
          <w:sz w:val="18"/>
          <w:szCs w:val="18"/>
        </w:rPr>
      </w:pPr>
      <w:r w:rsidRPr="002C37D8">
        <w:rPr>
          <w:rFonts w:ascii="Times New Roman" w:hAnsi="Times New Roman" w:cs="Times New Roman"/>
          <w:sz w:val="18"/>
          <w:szCs w:val="18"/>
        </w:rPr>
        <w:t>All regions survived the most stringent whole-brain family-wise error (FEW) correction for multiple comparisons at p &lt; 0.05 (minimum cluster size 100 voxels).</w:t>
      </w:r>
    </w:p>
    <w:p w14:paraId="09B5CBF4" w14:textId="59B06FA1" w:rsidR="002C37D8" w:rsidRPr="002C37D8" w:rsidRDefault="002C37D8" w:rsidP="002C37D8">
      <w:pPr>
        <w:rPr>
          <w:rFonts w:ascii="Times New Roman" w:hAnsi="Times New Roman" w:cs="Times New Roman"/>
          <w:sz w:val="18"/>
          <w:szCs w:val="18"/>
        </w:rPr>
      </w:pPr>
      <w:r w:rsidRPr="002C37D8">
        <w:rPr>
          <w:rFonts w:ascii="Times New Roman" w:hAnsi="Times New Roman" w:cs="Times New Roman"/>
          <w:sz w:val="18"/>
          <w:szCs w:val="18"/>
        </w:rPr>
        <w:t>Abbreviations: MNI, Montreal Neurological Institute.</w:t>
      </w:r>
    </w:p>
    <w:p w14:paraId="1B4F53B8" w14:textId="77777777" w:rsidR="002A47C0" w:rsidRPr="002C37D8" w:rsidRDefault="002A47C0"/>
    <w:sectPr w:rsidR="002A47C0" w:rsidRPr="002C37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7D8"/>
    <w:rsid w:val="002A47C0"/>
    <w:rsid w:val="002C37D8"/>
    <w:rsid w:val="00404718"/>
    <w:rsid w:val="00C7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7D9C3"/>
  <w15:chartTrackingRefBased/>
  <w15:docId w15:val="{B510FF8B-0E36-4AC6-A8FE-BCE9A587A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7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3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丽</dc:creator>
  <cp:keywords/>
  <dc:description/>
  <cp:lastModifiedBy>刘 丽</cp:lastModifiedBy>
  <cp:revision>1</cp:revision>
  <dcterms:created xsi:type="dcterms:W3CDTF">2022-12-24T15:05:00Z</dcterms:created>
  <dcterms:modified xsi:type="dcterms:W3CDTF">2022-12-24T15:06:00Z</dcterms:modified>
</cp:coreProperties>
</file>