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69151" w14:textId="77777777" w:rsidR="007A7F19" w:rsidRPr="006B0EE7" w:rsidRDefault="007A7F19" w:rsidP="007A7F19">
      <w:pPr>
        <w:pStyle w:val="Heading1"/>
        <w:spacing w:line="360" w:lineRule="auto"/>
        <w:jc w:val="both"/>
        <w:rPr>
          <w:rFonts w:ascii="Times New Roman" w:hAnsi="Times New Roman" w:cs="Times New Roman"/>
          <w:b/>
          <w:bCs/>
          <w:color w:val="000000" w:themeColor="text1"/>
          <w:sz w:val="24"/>
          <w:szCs w:val="24"/>
          <w:lang w:val="en-US"/>
        </w:rPr>
      </w:pPr>
      <w:r w:rsidRPr="006B0EE7">
        <w:rPr>
          <w:rFonts w:ascii="Times New Roman" w:hAnsi="Times New Roman" w:cs="Times New Roman"/>
          <w:b/>
          <w:bCs/>
          <w:color w:val="000000" w:themeColor="text1"/>
          <w:sz w:val="24"/>
          <w:szCs w:val="24"/>
          <w:lang w:val="en-US"/>
        </w:rPr>
        <w:t xml:space="preserve">Functional gradients of the medial parietal cortex in a healthy cohort with family history of sporadic Alzheimer’s disease </w:t>
      </w:r>
    </w:p>
    <w:p w14:paraId="5D46AAA4" w14:textId="436C604F" w:rsidR="00781288" w:rsidRPr="006B0EE7" w:rsidRDefault="00781288" w:rsidP="00781288">
      <w:pPr>
        <w:spacing w:line="360" w:lineRule="auto"/>
        <w:jc w:val="both"/>
        <w:rPr>
          <w:rFonts w:ascii="Times New Roman" w:hAnsi="Times New Roman" w:cs="Times New Roman"/>
          <w:color w:val="000000" w:themeColor="text1"/>
          <w:vertAlign w:val="superscript"/>
          <w:lang w:val="en-US"/>
        </w:rPr>
      </w:pPr>
      <w:r w:rsidRPr="006B0EE7">
        <w:rPr>
          <w:rFonts w:ascii="Times New Roman" w:hAnsi="Times New Roman" w:cs="Times New Roman"/>
          <w:color w:val="000000" w:themeColor="text1"/>
          <w:lang w:val="en-US"/>
        </w:rPr>
        <w:t>Dániel Veréb</w:t>
      </w:r>
      <w:r w:rsidRPr="006B0EE7">
        <w:rPr>
          <w:rFonts w:ascii="Times New Roman" w:hAnsi="Times New Roman" w:cs="Times New Roman"/>
          <w:color w:val="000000" w:themeColor="text1"/>
          <w:vertAlign w:val="superscript"/>
          <w:lang w:val="en-US"/>
        </w:rPr>
        <w:t>1</w:t>
      </w:r>
      <w:r w:rsidRPr="006B0EE7">
        <w:rPr>
          <w:rFonts w:ascii="Times New Roman" w:hAnsi="Times New Roman" w:cs="Times New Roman"/>
          <w:color w:val="000000" w:themeColor="text1"/>
          <w:lang w:val="en-US"/>
        </w:rPr>
        <w:t>, Mite Mijalkov</w:t>
      </w:r>
      <w:r w:rsidRPr="006B0EE7">
        <w:rPr>
          <w:rFonts w:ascii="Times New Roman" w:hAnsi="Times New Roman" w:cs="Times New Roman"/>
          <w:color w:val="000000" w:themeColor="text1"/>
          <w:vertAlign w:val="superscript"/>
          <w:lang w:val="en-US"/>
        </w:rPr>
        <w:t>1</w:t>
      </w:r>
      <w:r w:rsidRPr="006B0EE7">
        <w:rPr>
          <w:rFonts w:ascii="Times New Roman" w:hAnsi="Times New Roman" w:cs="Times New Roman"/>
          <w:color w:val="000000" w:themeColor="text1"/>
          <w:lang w:val="en-US"/>
        </w:rPr>
        <w:t>, Yu-Wei Chang</w:t>
      </w:r>
      <w:r w:rsidRPr="006B0EE7">
        <w:rPr>
          <w:rFonts w:ascii="Times New Roman" w:hAnsi="Times New Roman" w:cs="Times New Roman"/>
          <w:color w:val="000000" w:themeColor="text1"/>
          <w:vertAlign w:val="superscript"/>
          <w:lang w:val="en-US"/>
        </w:rPr>
        <w:t>2</w:t>
      </w:r>
      <w:r w:rsidRPr="006B0EE7">
        <w:rPr>
          <w:rFonts w:ascii="Times New Roman" w:hAnsi="Times New Roman" w:cs="Times New Roman"/>
          <w:color w:val="000000" w:themeColor="text1"/>
          <w:lang w:val="en-US"/>
        </w:rPr>
        <w:t>, Anna Canal-Garcia</w:t>
      </w:r>
      <w:r w:rsidRPr="006B0EE7">
        <w:rPr>
          <w:rFonts w:ascii="Times New Roman" w:hAnsi="Times New Roman" w:cs="Times New Roman"/>
          <w:color w:val="000000" w:themeColor="text1"/>
          <w:vertAlign w:val="superscript"/>
          <w:lang w:val="en-US"/>
        </w:rPr>
        <w:t>1</w:t>
      </w:r>
      <w:r w:rsidRPr="006B0EE7">
        <w:rPr>
          <w:rFonts w:ascii="Times New Roman" w:hAnsi="Times New Roman" w:cs="Times New Roman"/>
          <w:color w:val="000000" w:themeColor="text1"/>
          <w:lang w:val="en-US"/>
        </w:rPr>
        <w:t>, Emiliano Gomez-Ruis</w:t>
      </w:r>
      <w:r w:rsidRPr="006B0EE7">
        <w:rPr>
          <w:rFonts w:ascii="Times New Roman" w:hAnsi="Times New Roman" w:cs="Times New Roman"/>
          <w:color w:val="000000" w:themeColor="text1"/>
          <w:vertAlign w:val="superscript"/>
          <w:lang w:val="en-US"/>
        </w:rPr>
        <w:t>2</w:t>
      </w:r>
      <w:r w:rsidRPr="006B0EE7">
        <w:rPr>
          <w:rFonts w:ascii="Times New Roman" w:hAnsi="Times New Roman" w:cs="Times New Roman"/>
          <w:color w:val="000000" w:themeColor="text1"/>
          <w:lang w:val="en-US"/>
        </w:rPr>
        <w:t>, Anne Maass</w:t>
      </w:r>
      <w:r w:rsidRPr="006B0EE7">
        <w:rPr>
          <w:rFonts w:ascii="Times New Roman" w:hAnsi="Times New Roman" w:cs="Times New Roman"/>
          <w:color w:val="000000" w:themeColor="text1"/>
          <w:vertAlign w:val="superscript"/>
          <w:lang w:val="en-US"/>
        </w:rPr>
        <w:t>3</w:t>
      </w:r>
      <w:r w:rsidRPr="006B0EE7">
        <w:rPr>
          <w:rFonts w:ascii="Times New Roman" w:hAnsi="Times New Roman" w:cs="Times New Roman"/>
          <w:color w:val="000000" w:themeColor="text1"/>
          <w:lang w:val="en-US"/>
        </w:rPr>
        <w:t>,</w:t>
      </w:r>
      <w:r w:rsidRPr="006B0EE7">
        <w:rPr>
          <w:rFonts w:ascii="Times New Roman" w:hAnsi="Times New Roman" w:cs="Times New Roman"/>
          <w:color w:val="000000" w:themeColor="text1"/>
          <w:vertAlign w:val="superscript"/>
          <w:lang w:val="en-US"/>
        </w:rPr>
        <w:t xml:space="preserve"> </w:t>
      </w:r>
      <w:r w:rsidRPr="006B0EE7">
        <w:rPr>
          <w:rFonts w:ascii="Times New Roman" w:hAnsi="Times New Roman" w:cs="Times New Roman"/>
          <w:color w:val="000000" w:themeColor="text1"/>
          <w:lang w:val="en-US"/>
        </w:rPr>
        <w:t>Sylvia Villeneuve</w:t>
      </w:r>
      <w:r w:rsidRPr="006B0EE7">
        <w:rPr>
          <w:rFonts w:ascii="Times New Roman" w:hAnsi="Times New Roman" w:cs="Times New Roman"/>
          <w:color w:val="000000" w:themeColor="text1"/>
          <w:vertAlign w:val="superscript"/>
          <w:lang w:val="en-US"/>
        </w:rPr>
        <w:t>4,5</w:t>
      </w:r>
      <w:r w:rsidRPr="006B0EE7">
        <w:rPr>
          <w:rFonts w:ascii="Times New Roman" w:hAnsi="Times New Roman" w:cs="Times New Roman"/>
          <w:color w:val="000000" w:themeColor="text1"/>
          <w:lang w:val="en-US"/>
        </w:rPr>
        <w:t>, Giovanni Volpe</w:t>
      </w:r>
      <w:r w:rsidRPr="006B0EE7">
        <w:rPr>
          <w:rFonts w:ascii="Times New Roman" w:hAnsi="Times New Roman" w:cs="Times New Roman"/>
          <w:color w:val="000000" w:themeColor="text1"/>
          <w:vertAlign w:val="superscript"/>
          <w:lang w:val="en-US"/>
        </w:rPr>
        <w:t>2</w:t>
      </w:r>
      <w:r w:rsidRPr="006B0EE7">
        <w:rPr>
          <w:rFonts w:ascii="Times New Roman" w:hAnsi="Times New Roman" w:cs="Times New Roman"/>
          <w:color w:val="000000" w:themeColor="text1"/>
          <w:lang w:val="en-US"/>
        </w:rPr>
        <w:t>, Joana B. Pereira</w:t>
      </w:r>
      <w:r w:rsidRPr="006B0EE7">
        <w:rPr>
          <w:rFonts w:ascii="Times New Roman" w:hAnsi="Times New Roman" w:cs="Times New Roman"/>
          <w:color w:val="000000" w:themeColor="text1"/>
          <w:vertAlign w:val="superscript"/>
          <w:lang w:val="en-US"/>
        </w:rPr>
        <w:t>1</w:t>
      </w:r>
    </w:p>
    <w:p w14:paraId="7B0D46A4" w14:textId="77777777" w:rsidR="00781288" w:rsidRPr="006B0EE7" w:rsidRDefault="00781288" w:rsidP="00781288">
      <w:pPr>
        <w:spacing w:line="360" w:lineRule="auto"/>
        <w:jc w:val="both"/>
        <w:rPr>
          <w:rFonts w:ascii="Times New Roman" w:hAnsi="Times New Roman" w:cs="Times New Roman"/>
          <w:color w:val="000000" w:themeColor="text1"/>
          <w:vertAlign w:val="superscript"/>
          <w:lang w:val="en-US"/>
        </w:rPr>
      </w:pPr>
    </w:p>
    <w:p w14:paraId="475C0574" w14:textId="77777777" w:rsidR="00781288" w:rsidRPr="006B0EE7" w:rsidRDefault="00781288" w:rsidP="00781288">
      <w:pPr>
        <w:spacing w:line="360" w:lineRule="auto"/>
        <w:rPr>
          <w:rFonts w:ascii="Times New Roman" w:hAnsi="Times New Roman" w:cs="Times New Roman"/>
          <w:color w:val="000000" w:themeColor="text1"/>
          <w:lang w:val="en-US"/>
        </w:rPr>
      </w:pPr>
      <w:r w:rsidRPr="006B0EE7">
        <w:rPr>
          <w:rFonts w:ascii="Times New Roman" w:hAnsi="Times New Roman" w:cs="Times New Roman"/>
          <w:color w:val="000000" w:themeColor="text1"/>
          <w:vertAlign w:val="superscript"/>
          <w:lang w:val="en-US"/>
        </w:rPr>
        <w:t>1</w:t>
      </w:r>
      <w:r w:rsidRPr="006B0EE7">
        <w:rPr>
          <w:rFonts w:ascii="Times New Roman" w:hAnsi="Times New Roman" w:cs="Times New Roman"/>
          <w:color w:val="000000" w:themeColor="text1"/>
          <w:lang w:val="en-US"/>
        </w:rPr>
        <w:t xml:space="preserve"> Department of Neurobiology, Care Sciences and Society, Division of Clinical Geriatrics, Karolinska </w:t>
      </w:r>
      <w:proofErr w:type="spellStart"/>
      <w:r w:rsidRPr="006B0EE7">
        <w:rPr>
          <w:rFonts w:ascii="Times New Roman" w:hAnsi="Times New Roman" w:cs="Times New Roman"/>
          <w:color w:val="000000" w:themeColor="text1"/>
          <w:lang w:val="en-US"/>
        </w:rPr>
        <w:t>Institutet</w:t>
      </w:r>
      <w:proofErr w:type="spellEnd"/>
      <w:r w:rsidRPr="006B0EE7">
        <w:rPr>
          <w:rFonts w:ascii="Times New Roman" w:hAnsi="Times New Roman" w:cs="Times New Roman"/>
          <w:color w:val="000000" w:themeColor="text1"/>
          <w:lang w:val="en-US"/>
        </w:rPr>
        <w:t>, Stockholm, Sweden</w:t>
      </w:r>
    </w:p>
    <w:p w14:paraId="304A00FE" w14:textId="77777777" w:rsidR="00781288" w:rsidRPr="006B0EE7" w:rsidRDefault="00781288" w:rsidP="00781288">
      <w:pPr>
        <w:spacing w:line="360" w:lineRule="auto"/>
        <w:jc w:val="both"/>
        <w:rPr>
          <w:rFonts w:ascii="Times New Roman" w:hAnsi="Times New Roman" w:cs="Times New Roman"/>
          <w:color w:val="000000" w:themeColor="text1"/>
          <w:lang w:val="en-US"/>
        </w:rPr>
      </w:pPr>
      <w:r w:rsidRPr="006B0EE7">
        <w:rPr>
          <w:rFonts w:ascii="Times New Roman" w:hAnsi="Times New Roman" w:cs="Times New Roman"/>
          <w:color w:val="000000" w:themeColor="text1"/>
          <w:vertAlign w:val="superscript"/>
          <w:lang w:val="en-US"/>
        </w:rPr>
        <w:t>2</w:t>
      </w:r>
      <w:r w:rsidRPr="006B0EE7">
        <w:rPr>
          <w:rFonts w:ascii="Times New Roman" w:hAnsi="Times New Roman" w:cs="Times New Roman"/>
          <w:color w:val="000000" w:themeColor="text1"/>
          <w:lang w:val="en-US"/>
        </w:rPr>
        <w:t xml:space="preserve"> Department of Physics, Goteborg University, Goteborg, Sweden</w:t>
      </w:r>
    </w:p>
    <w:p w14:paraId="2214DF8D" w14:textId="77777777" w:rsidR="00781288" w:rsidRPr="006B0EE7" w:rsidRDefault="00781288" w:rsidP="00781288">
      <w:pPr>
        <w:spacing w:line="360" w:lineRule="auto"/>
        <w:jc w:val="both"/>
        <w:rPr>
          <w:rFonts w:ascii="Times New Roman" w:hAnsi="Times New Roman" w:cs="Times New Roman"/>
          <w:color w:val="000000" w:themeColor="text1"/>
          <w:lang w:val="en-US"/>
        </w:rPr>
      </w:pPr>
      <w:r w:rsidRPr="006B0EE7">
        <w:rPr>
          <w:rFonts w:ascii="Times New Roman" w:hAnsi="Times New Roman" w:cs="Times New Roman"/>
          <w:color w:val="000000" w:themeColor="text1"/>
          <w:vertAlign w:val="superscript"/>
          <w:lang w:val="en-US"/>
        </w:rPr>
        <w:t>3</w:t>
      </w:r>
      <w:r w:rsidRPr="006B0EE7">
        <w:rPr>
          <w:rFonts w:ascii="Times New Roman" w:hAnsi="Times New Roman" w:cs="Times New Roman"/>
          <w:color w:val="000000" w:themeColor="text1"/>
          <w:lang w:val="en-US"/>
        </w:rPr>
        <w:t xml:space="preserve"> German Center for Neurodegenerative Diseases (DZNE), Magdeburg, 39120 Magdeburg, Germany</w:t>
      </w:r>
    </w:p>
    <w:p w14:paraId="15D0DE72" w14:textId="77777777" w:rsidR="00781288" w:rsidRPr="006B0EE7" w:rsidRDefault="00781288" w:rsidP="00781288">
      <w:pPr>
        <w:spacing w:line="360" w:lineRule="auto"/>
        <w:jc w:val="both"/>
        <w:rPr>
          <w:rFonts w:ascii="Times New Roman" w:hAnsi="Times New Roman" w:cs="Times New Roman"/>
          <w:color w:val="000000" w:themeColor="text1"/>
          <w:lang w:val="en-US"/>
        </w:rPr>
      </w:pPr>
      <w:r w:rsidRPr="006B0EE7">
        <w:rPr>
          <w:rFonts w:ascii="Times New Roman" w:hAnsi="Times New Roman" w:cs="Times New Roman"/>
          <w:color w:val="000000" w:themeColor="text1"/>
          <w:vertAlign w:val="superscript"/>
          <w:lang w:val="en-US"/>
        </w:rPr>
        <w:t>4</w:t>
      </w:r>
      <w:r w:rsidRPr="006B0EE7">
        <w:rPr>
          <w:rFonts w:ascii="Times New Roman" w:hAnsi="Times New Roman" w:cs="Times New Roman"/>
          <w:color w:val="000000" w:themeColor="text1"/>
          <w:lang w:val="en-US"/>
        </w:rPr>
        <w:t xml:space="preserve"> Douglas Mental Health University Institute, McGill University, Montreal, QC, Canada.</w:t>
      </w:r>
    </w:p>
    <w:p w14:paraId="08F27410" w14:textId="77777777" w:rsidR="00781288" w:rsidRPr="006B0EE7" w:rsidRDefault="00781288" w:rsidP="00781288">
      <w:pPr>
        <w:spacing w:line="360" w:lineRule="auto"/>
        <w:jc w:val="both"/>
        <w:rPr>
          <w:rFonts w:ascii="Times New Roman" w:hAnsi="Times New Roman" w:cs="Times New Roman"/>
          <w:color w:val="000000" w:themeColor="text1"/>
          <w:lang w:val="en-US"/>
        </w:rPr>
      </w:pPr>
      <w:r w:rsidRPr="006B0EE7">
        <w:rPr>
          <w:rFonts w:ascii="Times New Roman" w:hAnsi="Times New Roman" w:cs="Times New Roman"/>
          <w:color w:val="000000" w:themeColor="text1"/>
          <w:vertAlign w:val="superscript"/>
          <w:lang w:val="en-US"/>
        </w:rPr>
        <w:t xml:space="preserve">5 </w:t>
      </w:r>
      <w:r w:rsidRPr="006B0EE7">
        <w:rPr>
          <w:rFonts w:ascii="Times New Roman" w:hAnsi="Times New Roman" w:cs="Times New Roman"/>
          <w:color w:val="000000" w:themeColor="text1"/>
          <w:lang w:val="en-US"/>
        </w:rPr>
        <w:t>McConnell Brain Imaging Center, Montreal Neurological Institute, McGill University, Montreal, QC, Canada</w:t>
      </w:r>
    </w:p>
    <w:p w14:paraId="01580D7D" w14:textId="6F1C5DD8" w:rsidR="00FA1047" w:rsidRPr="007A44C7" w:rsidRDefault="00FA1047" w:rsidP="009D5CFB">
      <w:pPr>
        <w:jc w:val="both"/>
        <w:rPr>
          <w:rFonts w:ascii="Times New Roman" w:hAnsi="Times New Roman" w:cs="Times New Roman"/>
          <w:color w:val="000000" w:themeColor="text1"/>
          <w:lang w:val="en-US"/>
        </w:rPr>
      </w:pPr>
    </w:p>
    <w:p w14:paraId="2E4913E4" w14:textId="195CFC5C" w:rsidR="00AA6F53" w:rsidRPr="007A44C7" w:rsidRDefault="00AA6F53" w:rsidP="009D5CFB">
      <w:pPr>
        <w:pStyle w:val="Heading1"/>
        <w:jc w:val="both"/>
        <w:rPr>
          <w:rFonts w:ascii="Times New Roman" w:hAnsi="Times New Roman" w:cs="Times New Roman"/>
          <w:b/>
          <w:bCs/>
          <w:color w:val="000000" w:themeColor="text1"/>
          <w:sz w:val="24"/>
          <w:szCs w:val="24"/>
          <w:lang w:val="en-US"/>
        </w:rPr>
      </w:pPr>
      <w:r w:rsidRPr="007A44C7">
        <w:rPr>
          <w:rFonts w:ascii="Times New Roman" w:hAnsi="Times New Roman" w:cs="Times New Roman"/>
          <w:b/>
          <w:bCs/>
          <w:color w:val="000000" w:themeColor="text1"/>
          <w:sz w:val="24"/>
          <w:szCs w:val="24"/>
          <w:lang w:val="en-US"/>
        </w:rPr>
        <w:t>Supplementary material</w:t>
      </w:r>
    </w:p>
    <w:p w14:paraId="1B9CE5A0" w14:textId="6D21DCE0" w:rsidR="00F042D5" w:rsidRPr="007A44C7" w:rsidRDefault="00F042D5" w:rsidP="009D5CFB">
      <w:pPr>
        <w:jc w:val="both"/>
        <w:rPr>
          <w:rFonts w:ascii="Times New Roman" w:hAnsi="Times New Roman" w:cs="Times New Roman"/>
          <w:color w:val="000000" w:themeColor="text1"/>
          <w:lang w:val="en-US"/>
        </w:rPr>
      </w:pPr>
    </w:p>
    <w:p w14:paraId="47236E97" w14:textId="2802948C" w:rsidR="00F042D5" w:rsidRPr="00EC5AE6" w:rsidRDefault="008E63B9" w:rsidP="00781288">
      <w:pPr>
        <w:pStyle w:val="Heading2"/>
        <w:spacing w:line="360"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Secondary</w:t>
      </w:r>
      <w:r w:rsidRPr="00EC5AE6">
        <w:rPr>
          <w:rFonts w:ascii="Times New Roman" w:hAnsi="Times New Roman" w:cs="Times New Roman"/>
          <w:b/>
          <w:bCs/>
          <w:color w:val="000000" w:themeColor="text1"/>
          <w:sz w:val="24"/>
          <w:szCs w:val="24"/>
          <w:lang w:val="en-US"/>
        </w:rPr>
        <w:t xml:space="preserve"> </w:t>
      </w:r>
      <w:r w:rsidR="00F042D5" w:rsidRPr="00EC5AE6">
        <w:rPr>
          <w:rFonts w:ascii="Times New Roman" w:hAnsi="Times New Roman" w:cs="Times New Roman"/>
          <w:b/>
          <w:bCs/>
          <w:color w:val="000000" w:themeColor="text1"/>
          <w:sz w:val="24"/>
          <w:szCs w:val="24"/>
          <w:lang w:val="en-US"/>
        </w:rPr>
        <w:t>analyses to demonstrate</w:t>
      </w:r>
      <w:r w:rsidR="0012697A">
        <w:rPr>
          <w:rFonts w:ascii="Times New Roman" w:hAnsi="Times New Roman" w:cs="Times New Roman"/>
          <w:b/>
          <w:bCs/>
          <w:color w:val="000000" w:themeColor="text1"/>
          <w:sz w:val="24"/>
          <w:szCs w:val="24"/>
          <w:lang w:val="en-US"/>
        </w:rPr>
        <w:t xml:space="preserve"> the</w:t>
      </w:r>
      <w:r w:rsidR="00F042D5" w:rsidRPr="00EC5AE6">
        <w:rPr>
          <w:rFonts w:ascii="Times New Roman" w:hAnsi="Times New Roman" w:cs="Times New Roman"/>
          <w:b/>
          <w:bCs/>
          <w:color w:val="000000" w:themeColor="text1"/>
          <w:sz w:val="24"/>
          <w:szCs w:val="24"/>
          <w:lang w:val="en-US"/>
        </w:rPr>
        <w:t xml:space="preserve"> specificity of </w:t>
      </w:r>
      <w:r w:rsidR="00494C3B">
        <w:rPr>
          <w:rFonts w:ascii="Times New Roman" w:hAnsi="Times New Roman" w:cs="Times New Roman"/>
          <w:b/>
          <w:bCs/>
          <w:color w:val="000000" w:themeColor="text1"/>
          <w:sz w:val="24"/>
          <w:szCs w:val="24"/>
          <w:lang w:val="en-US"/>
        </w:rPr>
        <w:t>gradient</w:t>
      </w:r>
      <w:r w:rsidR="00F042D5" w:rsidRPr="00EC5AE6">
        <w:rPr>
          <w:rFonts w:ascii="Times New Roman" w:hAnsi="Times New Roman" w:cs="Times New Roman"/>
          <w:b/>
          <w:bCs/>
          <w:color w:val="000000" w:themeColor="text1"/>
          <w:sz w:val="24"/>
          <w:szCs w:val="24"/>
          <w:lang w:val="en-US"/>
        </w:rPr>
        <w:t xml:space="preserve"> alterations</w:t>
      </w:r>
    </w:p>
    <w:p w14:paraId="54E098E4" w14:textId="3A6A5D21" w:rsidR="00890627" w:rsidRDefault="00013E56" w:rsidP="00890627">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To assess whether traditional functional connectivity metrics can detect the same subtle changes as the </w:t>
      </w:r>
      <w:r w:rsidR="000A0D8B">
        <w:rPr>
          <w:rFonts w:ascii="Times New Roman" w:hAnsi="Times New Roman" w:cs="Times New Roman"/>
          <w:color w:val="000000" w:themeColor="text1"/>
          <w:lang w:val="en-US"/>
        </w:rPr>
        <w:t xml:space="preserve">functional </w:t>
      </w:r>
      <w:r>
        <w:rPr>
          <w:rFonts w:ascii="Times New Roman" w:hAnsi="Times New Roman" w:cs="Times New Roman"/>
          <w:color w:val="000000" w:themeColor="text1"/>
          <w:lang w:val="en-US"/>
        </w:rPr>
        <w:t>gradient</w:t>
      </w:r>
      <w:r w:rsidR="000A0D8B">
        <w:rPr>
          <w:rFonts w:ascii="Times New Roman" w:hAnsi="Times New Roman" w:cs="Times New Roman"/>
          <w:color w:val="000000" w:themeColor="text1"/>
          <w:lang w:val="en-US"/>
        </w:rPr>
        <w:t>s</w:t>
      </w:r>
      <w:r>
        <w:rPr>
          <w:rFonts w:ascii="Times New Roman" w:hAnsi="Times New Roman" w:cs="Times New Roman"/>
          <w:color w:val="000000" w:themeColor="text1"/>
          <w:lang w:val="en-US"/>
        </w:rPr>
        <w:t xml:space="preserve">, we performed several </w:t>
      </w:r>
      <w:r w:rsidR="000A0D8B">
        <w:rPr>
          <w:rFonts w:ascii="Times New Roman" w:hAnsi="Times New Roman" w:cs="Times New Roman"/>
          <w:color w:val="000000" w:themeColor="text1"/>
          <w:lang w:val="en-US"/>
        </w:rPr>
        <w:t xml:space="preserve">additional </w:t>
      </w:r>
      <w:r>
        <w:rPr>
          <w:rFonts w:ascii="Times New Roman" w:hAnsi="Times New Roman" w:cs="Times New Roman"/>
          <w:color w:val="000000" w:themeColor="text1"/>
          <w:lang w:val="en-US"/>
        </w:rPr>
        <w:t>analyses</w:t>
      </w:r>
      <w:r w:rsidR="00DB2B5D">
        <w:rPr>
          <w:rFonts w:ascii="Times New Roman" w:hAnsi="Times New Roman" w:cs="Times New Roman"/>
          <w:color w:val="000000" w:themeColor="text1"/>
          <w:lang w:val="en-US"/>
        </w:rPr>
        <w:t xml:space="preserve"> using the resting state fMRI scans </w:t>
      </w:r>
      <w:r w:rsidR="0012697A">
        <w:rPr>
          <w:rFonts w:ascii="Times New Roman" w:hAnsi="Times New Roman" w:cs="Times New Roman"/>
          <w:color w:val="000000" w:themeColor="text1"/>
          <w:lang w:val="en-US"/>
        </w:rPr>
        <w:t>of</w:t>
      </w:r>
      <w:r w:rsidR="00DB2B5D">
        <w:rPr>
          <w:rFonts w:ascii="Times New Roman" w:hAnsi="Times New Roman" w:cs="Times New Roman"/>
          <w:color w:val="000000" w:themeColor="text1"/>
          <w:lang w:val="en-US"/>
        </w:rPr>
        <w:t xml:space="preserve"> the PREVENT-AD cohort</w:t>
      </w:r>
      <w:r>
        <w:rPr>
          <w:rFonts w:ascii="Times New Roman" w:hAnsi="Times New Roman" w:cs="Times New Roman"/>
          <w:color w:val="000000" w:themeColor="text1"/>
          <w:lang w:val="en-US"/>
        </w:rPr>
        <w:t>, namely an intrinsic functional connectivity analysis of the default-mode network (DMN), a seed</w:t>
      </w:r>
      <w:r w:rsidR="00773993">
        <w:rPr>
          <w:rFonts w:ascii="Times New Roman" w:hAnsi="Times New Roman" w:cs="Times New Roman"/>
          <w:color w:val="000000" w:themeColor="text1"/>
          <w:lang w:val="en-US"/>
        </w:rPr>
        <w:t>-</w:t>
      </w:r>
      <w:r>
        <w:rPr>
          <w:rFonts w:ascii="Times New Roman" w:hAnsi="Times New Roman" w:cs="Times New Roman"/>
          <w:color w:val="000000" w:themeColor="text1"/>
          <w:lang w:val="en-US"/>
        </w:rPr>
        <w:t>based whole-brain functional connectivity analysis based on the average medial parietal cortex ROI time series,</w:t>
      </w:r>
      <w:r w:rsidR="00773993">
        <w:rPr>
          <w:rFonts w:ascii="Times New Roman" w:hAnsi="Times New Roman" w:cs="Times New Roman"/>
          <w:color w:val="000000" w:themeColor="text1"/>
          <w:lang w:val="en-US"/>
        </w:rPr>
        <w:t xml:space="preserve"> and </w:t>
      </w:r>
      <w:r w:rsidR="0012697A">
        <w:rPr>
          <w:rFonts w:ascii="Times New Roman" w:hAnsi="Times New Roman" w:cs="Times New Roman"/>
          <w:color w:val="000000" w:themeColor="text1"/>
          <w:lang w:val="en-US"/>
        </w:rPr>
        <w:t xml:space="preserve">a </w:t>
      </w:r>
      <w:r w:rsidR="00773993">
        <w:rPr>
          <w:rFonts w:ascii="Times New Roman" w:hAnsi="Times New Roman" w:cs="Times New Roman"/>
          <w:color w:val="000000" w:themeColor="text1"/>
          <w:lang w:val="en-US"/>
        </w:rPr>
        <w:t>seed-based whole-brain functional connectivity analys</w:t>
      </w:r>
      <w:r w:rsidR="0012697A">
        <w:rPr>
          <w:rFonts w:ascii="Times New Roman" w:hAnsi="Times New Roman" w:cs="Times New Roman"/>
          <w:color w:val="000000" w:themeColor="text1"/>
          <w:lang w:val="en-US"/>
        </w:rPr>
        <w:t>i</w:t>
      </w:r>
      <w:r w:rsidR="00773993">
        <w:rPr>
          <w:rFonts w:ascii="Times New Roman" w:hAnsi="Times New Roman" w:cs="Times New Roman"/>
          <w:color w:val="000000" w:themeColor="text1"/>
          <w:lang w:val="en-US"/>
        </w:rPr>
        <w:t xml:space="preserve">s based on the average time series of medial parietal cortex subregions. </w:t>
      </w:r>
      <w:r w:rsidR="005E3E7D" w:rsidRPr="007A44C7">
        <w:rPr>
          <w:rFonts w:ascii="Times New Roman" w:hAnsi="Times New Roman" w:cs="Times New Roman"/>
          <w:color w:val="000000" w:themeColor="text1"/>
          <w:lang w:val="en-US"/>
        </w:rPr>
        <w:t xml:space="preserve">Intrinsic </w:t>
      </w:r>
      <w:r w:rsidR="00AA27D2">
        <w:rPr>
          <w:rFonts w:ascii="Times New Roman" w:hAnsi="Times New Roman" w:cs="Times New Roman"/>
          <w:color w:val="000000" w:themeColor="text1"/>
          <w:lang w:val="en-US"/>
        </w:rPr>
        <w:t xml:space="preserve">functional </w:t>
      </w:r>
      <w:r w:rsidR="005E3E7D" w:rsidRPr="007A44C7">
        <w:rPr>
          <w:rFonts w:ascii="Times New Roman" w:hAnsi="Times New Roman" w:cs="Times New Roman"/>
          <w:color w:val="000000" w:themeColor="text1"/>
          <w:lang w:val="en-US"/>
        </w:rPr>
        <w:t>connectivity within the default mode network was calculated</w:t>
      </w:r>
      <w:r w:rsidR="00BD4DEF" w:rsidRPr="007A44C7">
        <w:rPr>
          <w:rFonts w:ascii="Times New Roman" w:hAnsi="Times New Roman" w:cs="Times New Roman"/>
          <w:color w:val="000000" w:themeColor="text1"/>
          <w:lang w:val="en-US"/>
        </w:rPr>
        <w:t xml:space="preserve"> as the Pearson’s correlation between node time series</w:t>
      </w:r>
      <w:r w:rsidR="005E3E7D" w:rsidRPr="007A44C7">
        <w:rPr>
          <w:rFonts w:ascii="Times New Roman" w:hAnsi="Times New Roman" w:cs="Times New Roman"/>
          <w:color w:val="000000" w:themeColor="text1"/>
          <w:lang w:val="en-US"/>
        </w:rPr>
        <w:t xml:space="preserve"> using regions from a recent updated neuroanatomical model of the DMN </w:t>
      </w:r>
      <w:r w:rsidR="00F57B14" w:rsidRPr="007A44C7">
        <w:rPr>
          <w:rFonts w:ascii="Times New Roman" w:hAnsi="Times New Roman" w:cs="Times New Roman"/>
          <w:color w:val="000000" w:themeColor="text1"/>
          <w:lang w:val="en-US"/>
        </w:rPr>
        <w:fldChar w:fldCharType="begin" w:fldLock="1"/>
      </w:r>
      <w:r w:rsidR="0062350E" w:rsidRPr="007A44C7">
        <w:rPr>
          <w:rFonts w:ascii="Times New Roman" w:hAnsi="Times New Roman" w:cs="Times New Roman"/>
          <w:color w:val="000000" w:themeColor="text1"/>
          <w:lang w:val="en-US"/>
        </w:rPr>
        <w:instrText>ADDIN CSL_CITATION {"citationItems":[{"id":"ITEM-1","itemData":{"DOI":"10.1038/s42003-019-0611-3","ISSN":"2399-3642 (Electronic)","PMID":"31633061","abstract":"The brain is constituted of multiple networks of functionally correlated brain  areas, out of which the default-mode network (DMN) is the largest. Most existing research into the DMN has taken a corticocentric approach. Despite its resemblance with the unitary model of the limbic system, the contribution of subcortical structures to the DMN may be underappreciated. Here, we propose a more comprehensive neuroanatomical model of the DMN including subcortical structures such as the basal forebrain, cholinergic nuclei, anterior and mediodorsal thalamic nuclei. Additionally, tractography of diffusion-weighted imaging was employed to explore the structural connectivity, which revealed that the thalamus and basal forebrain are of central importance for the functioning of the DMN. The contribution of these neurochemically diverse brain nuclei reconciles previous neuroimaging with neuropathological findings in diseased brains and offers the potential for identifying a conserved homologue of the DMN in other mammalian species.","author":[{"dropping-particle":"","family":"Alves","given":"Pedro Nascimento","non-dropping-particle":"","parse-names":false,"suffix":""},{"dropping-particle":"","family":"Foulon","given":"Chris","non-dropping-particle":"","parse-names":false,"suffix":""},{"dropping-particle":"","family":"Karolis","given":"Vyacheslav","non-dropping-particle":"","parse-names":false,"suffix":""},{"dropping-particle":"","family":"Bzdok","given":"Danilo","non-dropping-particle":"","parse-names":false,"suffix":""},{"dropping-particle":"","family":"Margulies","given":"Daniel S","non-dropping-particle":"","parse-names":false,"suffix":""},{"dropping-particle":"","family":"Volle","given":"Emmanuelle","non-dropping-particle":"","parse-names":false,"suffix":""},{"dropping-particle":"","family":"Thiebaut de Schotten","given":"Michel","non-dropping-particle":"","parse-names":false,"suffix":""}],"container-title":"Communications biology","id":"ITEM-1","issued":{"date-parts":[["2019"]]},"language":"eng","page":"370","title":"An improved neuroanatomical model of the default-mode network reconciles previous  neuroimaging and neuropathological findings.","type":"article-journal","volume":"2"},"uris":["http://www.mendeley.com/documents/?uuid=bb819256-1121-4729-80f2-1a0a9b2411e8"]}],"mendeley":{"formattedCitation":"(Alves &lt;i&gt;et al.&lt;/i&gt;, 2019)","plainTextFormattedCitation":"(Alves et al., 2019)","previouslyFormattedCitation":"(Alves &lt;i&gt;et al.&lt;/i&gt;, 2019)"},"properties":{"noteIndex":0},"schema":"https://github.com/citation-style-language/schema/raw/master/csl-citation.json"}</w:instrText>
      </w:r>
      <w:r w:rsidR="00F57B14" w:rsidRPr="007A44C7">
        <w:rPr>
          <w:rFonts w:ascii="Times New Roman" w:hAnsi="Times New Roman" w:cs="Times New Roman"/>
          <w:color w:val="000000" w:themeColor="text1"/>
          <w:lang w:val="en-US"/>
        </w:rPr>
        <w:fldChar w:fldCharType="separate"/>
      </w:r>
      <w:r w:rsidR="00763AB6" w:rsidRPr="007A44C7">
        <w:rPr>
          <w:rFonts w:ascii="Times New Roman" w:hAnsi="Times New Roman" w:cs="Times New Roman"/>
          <w:noProof/>
          <w:color w:val="000000" w:themeColor="text1"/>
          <w:lang w:val="en-US"/>
        </w:rPr>
        <w:t xml:space="preserve">(Alves </w:t>
      </w:r>
      <w:r w:rsidR="00763AB6" w:rsidRPr="007A44C7">
        <w:rPr>
          <w:rFonts w:ascii="Times New Roman" w:hAnsi="Times New Roman" w:cs="Times New Roman"/>
          <w:i/>
          <w:noProof/>
          <w:color w:val="000000" w:themeColor="text1"/>
          <w:lang w:val="en-US"/>
        </w:rPr>
        <w:t>et al.</w:t>
      </w:r>
      <w:r w:rsidR="00763AB6" w:rsidRPr="007A44C7">
        <w:rPr>
          <w:rFonts w:ascii="Times New Roman" w:hAnsi="Times New Roman" w:cs="Times New Roman"/>
          <w:noProof/>
          <w:color w:val="000000" w:themeColor="text1"/>
          <w:lang w:val="en-US"/>
        </w:rPr>
        <w:t>, 2019)</w:t>
      </w:r>
      <w:r w:rsidR="00F57B14" w:rsidRPr="007A44C7">
        <w:rPr>
          <w:rFonts w:ascii="Times New Roman" w:hAnsi="Times New Roman" w:cs="Times New Roman"/>
          <w:color w:val="000000" w:themeColor="text1"/>
          <w:lang w:val="en-US"/>
        </w:rPr>
        <w:fldChar w:fldCharType="end"/>
      </w:r>
      <w:r w:rsidR="00F57B14" w:rsidRPr="007A44C7">
        <w:rPr>
          <w:rFonts w:ascii="Times New Roman" w:hAnsi="Times New Roman" w:cs="Times New Roman"/>
          <w:color w:val="000000" w:themeColor="text1"/>
          <w:lang w:val="en-US"/>
        </w:rPr>
        <w:t xml:space="preserve"> </w:t>
      </w:r>
      <w:r w:rsidR="005E3E7D" w:rsidRPr="007A44C7">
        <w:rPr>
          <w:rFonts w:ascii="Times New Roman" w:hAnsi="Times New Roman" w:cs="Times New Roman"/>
          <w:color w:val="000000" w:themeColor="text1"/>
          <w:lang w:val="en-US"/>
        </w:rPr>
        <w:t>in addition to the medial parietal cortex ROI defined in this study.</w:t>
      </w:r>
      <w:r w:rsidR="00BD4DEF" w:rsidRPr="007A44C7">
        <w:rPr>
          <w:rFonts w:ascii="Times New Roman" w:hAnsi="Times New Roman" w:cs="Times New Roman"/>
          <w:color w:val="000000" w:themeColor="text1"/>
          <w:lang w:val="en-US"/>
        </w:rPr>
        <w:t xml:space="preserve"> Analy</w:t>
      </w:r>
      <w:r w:rsidR="00781288">
        <w:rPr>
          <w:rFonts w:ascii="Times New Roman" w:hAnsi="Times New Roman" w:cs="Times New Roman"/>
          <w:color w:val="000000" w:themeColor="text1"/>
          <w:lang w:val="en-US"/>
        </w:rPr>
        <w:t>z</w:t>
      </w:r>
      <w:r w:rsidR="00BD4DEF" w:rsidRPr="007A44C7">
        <w:rPr>
          <w:rFonts w:ascii="Times New Roman" w:hAnsi="Times New Roman" w:cs="Times New Roman"/>
          <w:color w:val="000000" w:themeColor="text1"/>
          <w:lang w:val="en-US"/>
        </w:rPr>
        <w:t xml:space="preserve">ed nodes included the bilateral angular gyri, </w:t>
      </w:r>
      <w:bookmarkStart w:id="0" w:name="OLE_LINK1"/>
      <w:bookmarkStart w:id="1" w:name="OLE_LINK2"/>
      <w:r w:rsidR="00BD4DEF" w:rsidRPr="007A44C7">
        <w:rPr>
          <w:rFonts w:ascii="Times New Roman" w:hAnsi="Times New Roman" w:cs="Times New Roman"/>
          <w:color w:val="000000" w:themeColor="text1"/>
          <w:lang w:val="en-US"/>
        </w:rPr>
        <w:t>superior temporal gyri, ventromedial prefrontal cortex, thalami and hippocampi</w:t>
      </w:r>
      <w:r w:rsidR="00AA27D2">
        <w:rPr>
          <w:rFonts w:ascii="Times New Roman" w:hAnsi="Times New Roman" w:cs="Times New Roman"/>
          <w:color w:val="000000" w:themeColor="text1"/>
          <w:lang w:val="en-US"/>
        </w:rPr>
        <w:t>, apart from the medial parietal cortex</w:t>
      </w:r>
      <w:r w:rsidR="00BD4DEF" w:rsidRPr="007A44C7">
        <w:rPr>
          <w:rFonts w:ascii="Times New Roman" w:hAnsi="Times New Roman" w:cs="Times New Roman"/>
          <w:color w:val="000000" w:themeColor="text1"/>
          <w:lang w:val="en-US"/>
        </w:rPr>
        <w:t>.</w:t>
      </w:r>
      <w:r w:rsidR="00F57B14" w:rsidRPr="007A44C7">
        <w:rPr>
          <w:rFonts w:ascii="Times New Roman" w:hAnsi="Times New Roman" w:cs="Times New Roman"/>
          <w:color w:val="000000" w:themeColor="text1"/>
          <w:lang w:val="en-US"/>
        </w:rPr>
        <w:t xml:space="preserve"> </w:t>
      </w:r>
      <w:r w:rsidR="0062350E" w:rsidRPr="007A44C7">
        <w:rPr>
          <w:rFonts w:ascii="Times New Roman" w:hAnsi="Times New Roman" w:cs="Times New Roman"/>
          <w:color w:val="000000" w:themeColor="text1"/>
          <w:lang w:val="en-US"/>
        </w:rPr>
        <w:t>Additionally</w:t>
      </w:r>
      <w:bookmarkEnd w:id="0"/>
      <w:bookmarkEnd w:id="1"/>
      <w:r w:rsidR="0062350E" w:rsidRPr="007A44C7">
        <w:rPr>
          <w:rFonts w:ascii="Times New Roman" w:hAnsi="Times New Roman" w:cs="Times New Roman"/>
          <w:color w:val="000000" w:themeColor="text1"/>
          <w:lang w:val="en-US"/>
        </w:rPr>
        <w:t xml:space="preserve">, whole brain </w:t>
      </w:r>
      <w:r w:rsidR="00781288">
        <w:rPr>
          <w:rFonts w:ascii="Times New Roman" w:hAnsi="Times New Roman" w:cs="Times New Roman"/>
          <w:color w:val="000000" w:themeColor="text1"/>
          <w:lang w:val="en-US"/>
        </w:rPr>
        <w:t xml:space="preserve">functional </w:t>
      </w:r>
      <w:r w:rsidR="0062350E" w:rsidRPr="007A44C7">
        <w:rPr>
          <w:rFonts w:ascii="Times New Roman" w:hAnsi="Times New Roman" w:cs="Times New Roman"/>
          <w:color w:val="000000" w:themeColor="text1"/>
          <w:lang w:val="en-US"/>
        </w:rPr>
        <w:t xml:space="preserve">connectivity was calculated with time series extracted using the 200-region resolution Craddock-parcellation </w:t>
      </w:r>
      <w:r w:rsidR="0062350E" w:rsidRPr="007A44C7">
        <w:rPr>
          <w:rFonts w:ascii="Times New Roman" w:hAnsi="Times New Roman" w:cs="Times New Roman"/>
          <w:color w:val="000000" w:themeColor="text1"/>
          <w:lang w:val="en-US"/>
        </w:rPr>
        <w:fldChar w:fldCharType="begin" w:fldLock="1"/>
      </w:r>
      <w:r w:rsidR="00EC5AE6">
        <w:rPr>
          <w:rFonts w:ascii="Times New Roman" w:hAnsi="Times New Roman" w:cs="Times New Roman"/>
          <w:color w:val="000000" w:themeColor="text1"/>
          <w:lang w:val="en-US"/>
        </w:rPr>
        <w:instrText>ADDIN CSL_CITATION {"citationItems":[{"id":"ITEM-1","itemData":{"DOI":"10.1002/hbm.21333","ISSN":"1097-0193 (Electronic)","PMID":"21769991","abstract":"Connectivity analyses and computational modeling of human brain function from  fMRI data frequently require the specification of regions of interests (ROIs). Several analyses have relied on atlases derived from anatomical or cyto-architectonic boundaries to specify these ROIs, yet the suitability of atlases for resting state functional connectivity (FC) studies has yet to be established. This article introduces a data-driven method for generating an ROI atlas by parcellating whole brain resting-state fMRI data into spatially coherent regions of homogeneous FC. Several clustering statistics are used to compare methodological trade-offs as well as determine an adequate number of clusters. Additionally, we evaluate the suitability of the parcellation atlas against four ROI atlases (Talairach and Tournoux, Harvard-Oxford, Eickoff-Zilles, and Automatic Anatomical Labeling) and a random parcellation approach. The evaluated anatomical atlases exhibit poor ROI homogeneity and do not accurately reproduce FC patterns present at the voxel scale. In general, the proposed functional and random parcellations perform equivalently for most of the metrics evaluated. ROI size and hence the number of ROIs in a parcellation had the greatest impact on their suitability for FC analysis. With 200 or fewer ROIs, the resulting parcellations consist of ROIs with anatomic homology, and thus offer increased interpretability. Parcellation results containing higher numbers of ROIs (600 or 1,000) most accurately represent FC patterns present at the voxel scale and are preferable when interpretability can be sacrificed for accuracy. The resulting atlases and clustering software have been made publicly available at: http://www.nitrc.org/projects/cluster_roi/.","author":[{"dropping-particle":"","family":"Craddock","given":"R Cameron","non-dropping-particle":"","parse-names":false,"suffix":""},{"dropping-particle":"","family":"James","given":"G Andrew","non-dropping-particle":"","parse-names":false,"suffix":""},{"dropping-particle":"","family":"Holtzheimer","given":"Paul E 3rd","non-dropping-particle":"","parse-names":false,"suffix":""},{"dropping-particle":"","family":"Hu","given":"Xiaoping P","non-dropping-particle":"","parse-names":false,"suffix":""},{"dropping-particle":"","family":"Mayberg","given":"Helen S","non-dropping-particle":"","parse-names":false,"suffix":""}],"container-title":"Human brain mapping","id":"ITEM-1","issue":"8","issued":{"date-parts":[["2012","8"]]},"language":"eng","page":"1914-1928","title":"A whole brain fMRI atlas generated via spatially constrained spectral clustering.","type":"article-journal","volume":"33"},"uris":["http://www.mendeley.com/documents/?uuid=bf6cc452-4445-4bb7-bf89-c821486a1138"]}],"mendeley":{"formattedCitation":"(Craddock &lt;i&gt;et al.&lt;/i&gt;, 2012)","plainTextFormattedCitation":"(Craddock et al., 2012)","previouslyFormattedCitation":"(Craddock &lt;i&gt;et al.&lt;/i&gt;, 2012)"},"properties":{"noteIndex":0},"schema":"https://github.com/citation-style-language/schema/raw/master/csl-citation.json"}</w:instrText>
      </w:r>
      <w:r w:rsidR="0062350E" w:rsidRPr="007A44C7">
        <w:rPr>
          <w:rFonts w:ascii="Times New Roman" w:hAnsi="Times New Roman" w:cs="Times New Roman"/>
          <w:color w:val="000000" w:themeColor="text1"/>
          <w:lang w:val="en-US"/>
        </w:rPr>
        <w:fldChar w:fldCharType="separate"/>
      </w:r>
      <w:r w:rsidR="0062350E" w:rsidRPr="007A44C7">
        <w:rPr>
          <w:rFonts w:ascii="Times New Roman" w:hAnsi="Times New Roman" w:cs="Times New Roman"/>
          <w:noProof/>
          <w:color w:val="000000" w:themeColor="text1"/>
          <w:lang w:val="en-US"/>
        </w:rPr>
        <w:t xml:space="preserve">(Craddock </w:t>
      </w:r>
      <w:r w:rsidR="0062350E" w:rsidRPr="007A44C7">
        <w:rPr>
          <w:rFonts w:ascii="Times New Roman" w:hAnsi="Times New Roman" w:cs="Times New Roman"/>
          <w:i/>
          <w:noProof/>
          <w:color w:val="000000" w:themeColor="text1"/>
          <w:lang w:val="en-US"/>
        </w:rPr>
        <w:t>et al.</w:t>
      </w:r>
      <w:r w:rsidR="0062350E" w:rsidRPr="007A44C7">
        <w:rPr>
          <w:rFonts w:ascii="Times New Roman" w:hAnsi="Times New Roman" w:cs="Times New Roman"/>
          <w:noProof/>
          <w:color w:val="000000" w:themeColor="text1"/>
          <w:lang w:val="en-US"/>
        </w:rPr>
        <w:t>, 2012)</w:t>
      </w:r>
      <w:r w:rsidR="0062350E" w:rsidRPr="007A44C7">
        <w:rPr>
          <w:rFonts w:ascii="Times New Roman" w:hAnsi="Times New Roman" w:cs="Times New Roman"/>
          <w:color w:val="000000" w:themeColor="text1"/>
          <w:lang w:val="en-US"/>
        </w:rPr>
        <w:fldChar w:fldCharType="end"/>
      </w:r>
      <w:r w:rsidR="00817821" w:rsidRPr="007A44C7">
        <w:rPr>
          <w:rFonts w:ascii="Times New Roman" w:hAnsi="Times New Roman" w:cs="Times New Roman"/>
          <w:color w:val="000000" w:themeColor="text1"/>
          <w:lang w:val="en-US"/>
        </w:rPr>
        <w:t xml:space="preserve">, </w:t>
      </w:r>
      <w:r w:rsidR="0062440E" w:rsidRPr="007A44C7">
        <w:rPr>
          <w:rFonts w:ascii="Times New Roman" w:hAnsi="Times New Roman" w:cs="Times New Roman"/>
          <w:color w:val="000000" w:themeColor="text1"/>
          <w:lang w:val="en-US"/>
        </w:rPr>
        <w:t xml:space="preserve">using either the whole medial parietal cortex ROI or three subregions derived from the </w:t>
      </w:r>
      <w:r w:rsidR="00FC26AD">
        <w:rPr>
          <w:rFonts w:ascii="Times New Roman" w:hAnsi="Times New Roman" w:cs="Times New Roman"/>
          <w:color w:val="000000" w:themeColor="text1"/>
          <w:lang w:val="en-US"/>
        </w:rPr>
        <w:t xml:space="preserve">average </w:t>
      </w:r>
      <w:r w:rsidR="0062440E" w:rsidRPr="007A44C7">
        <w:rPr>
          <w:rFonts w:ascii="Times New Roman" w:hAnsi="Times New Roman" w:cs="Times New Roman"/>
          <w:color w:val="000000" w:themeColor="text1"/>
          <w:lang w:val="en-US"/>
        </w:rPr>
        <w:t xml:space="preserve">main </w:t>
      </w:r>
      <w:r w:rsidR="00781288">
        <w:rPr>
          <w:rFonts w:ascii="Times New Roman" w:hAnsi="Times New Roman" w:cs="Times New Roman"/>
          <w:color w:val="000000" w:themeColor="text1"/>
          <w:lang w:val="en-US"/>
        </w:rPr>
        <w:t>gradient</w:t>
      </w:r>
      <w:r w:rsidR="0062440E" w:rsidRPr="007A44C7">
        <w:rPr>
          <w:rFonts w:ascii="Times New Roman" w:hAnsi="Times New Roman" w:cs="Times New Roman"/>
          <w:color w:val="000000" w:themeColor="text1"/>
          <w:lang w:val="en-US"/>
        </w:rPr>
        <w:t xml:space="preserve"> as seeds</w:t>
      </w:r>
      <w:r w:rsidR="0062350E" w:rsidRPr="007A44C7">
        <w:rPr>
          <w:rFonts w:ascii="Times New Roman" w:hAnsi="Times New Roman" w:cs="Times New Roman"/>
          <w:color w:val="000000" w:themeColor="text1"/>
          <w:lang w:val="en-US"/>
        </w:rPr>
        <w:t>.</w:t>
      </w:r>
      <w:r w:rsidR="00781288">
        <w:rPr>
          <w:rFonts w:ascii="Times New Roman" w:hAnsi="Times New Roman" w:cs="Times New Roman"/>
          <w:color w:val="000000" w:themeColor="text1"/>
          <w:lang w:val="en-US"/>
        </w:rPr>
        <w:t xml:space="preserve"> The latter were defined by dividing the </w:t>
      </w:r>
      <w:r w:rsidR="0012697A">
        <w:rPr>
          <w:rFonts w:ascii="Times New Roman" w:hAnsi="Times New Roman" w:cs="Times New Roman"/>
          <w:color w:val="000000" w:themeColor="text1"/>
          <w:lang w:val="en-US"/>
        </w:rPr>
        <w:t xml:space="preserve">dominant </w:t>
      </w:r>
      <w:r w:rsidR="00FC26AD">
        <w:rPr>
          <w:rFonts w:ascii="Times New Roman" w:hAnsi="Times New Roman" w:cs="Times New Roman"/>
          <w:color w:val="000000" w:themeColor="text1"/>
          <w:lang w:val="en-US"/>
        </w:rPr>
        <w:t xml:space="preserve">group average </w:t>
      </w:r>
      <w:r w:rsidR="00781288">
        <w:rPr>
          <w:rFonts w:ascii="Times New Roman" w:hAnsi="Times New Roman" w:cs="Times New Roman"/>
          <w:color w:val="000000" w:themeColor="text1"/>
          <w:lang w:val="en-US"/>
        </w:rPr>
        <w:t>normalized gradient</w:t>
      </w:r>
      <w:r w:rsidR="0062350E" w:rsidRPr="007A44C7">
        <w:rPr>
          <w:rFonts w:ascii="Times New Roman" w:hAnsi="Times New Roman" w:cs="Times New Roman"/>
          <w:color w:val="000000" w:themeColor="text1"/>
          <w:lang w:val="en-US"/>
        </w:rPr>
        <w:t xml:space="preserve"> </w:t>
      </w:r>
      <w:r w:rsidR="00781288">
        <w:rPr>
          <w:rFonts w:ascii="Times New Roman" w:hAnsi="Times New Roman" w:cs="Times New Roman"/>
          <w:color w:val="000000" w:themeColor="text1"/>
          <w:lang w:val="en-US"/>
        </w:rPr>
        <w:t>into three parts (</w:t>
      </w:r>
      <w:r w:rsidR="009A1177">
        <w:rPr>
          <w:rFonts w:ascii="Times New Roman" w:hAnsi="Times New Roman" w:cs="Times New Roman"/>
          <w:color w:val="000000" w:themeColor="text1"/>
          <w:lang w:val="en-US"/>
        </w:rPr>
        <w:t xml:space="preserve">using </w:t>
      </w:r>
      <w:r w:rsidR="009A1177">
        <w:rPr>
          <w:rFonts w:ascii="Times New Roman" w:hAnsi="Times New Roman" w:cs="Times New Roman"/>
          <w:color w:val="000000" w:themeColor="text1"/>
          <w:lang w:val="en-US"/>
        </w:rPr>
        <w:lastRenderedPageBreak/>
        <w:t xml:space="preserve">the thresholds </w:t>
      </w:r>
      <w:r w:rsidR="00781288">
        <w:rPr>
          <w:rFonts w:ascii="Times New Roman" w:hAnsi="Times New Roman" w:cs="Times New Roman"/>
          <w:color w:val="000000" w:themeColor="text1"/>
          <w:lang w:val="en-US"/>
        </w:rPr>
        <w:t>&lt;0.3, 0.3&lt;0.7, 0.7&lt;</w:t>
      </w:r>
      <w:r w:rsidR="009A1177">
        <w:rPr>
          <w:rFonts w:ascii="Times New Roman" w:hAnsi="Times New Roman" w:cs="Times New Roman"/>
          <w:color w:val="000000" w:themeColor="text1"/>
          <w:lang w:val="en-US"/>
        </w:rPr>
        <w:t>; gradient values in the normalized gradient range from 0 to 1</w:t>
      </w:r>
      <w:r w:rsidR="00781288">
        <w:rPr>
          <w:rFonts w:ascii="Times New Roman" w:hAnsi="Times New Roman" w:cs="Times New Roman"/>
          <w:color w:val="000000" w:themeColor="text1"/>
          <w:lang w:val="en-US"/>
        </w:rPr>
        <w:t xml:space="preserve">). </w:t>
      </w:r>
      <w:r w:rsidR="00B20738">
        <w:rPr>
          <w:rFonts w:ascii="Times New Roman" w:hAnsi="Times New Roman" w:cs="Times New Roman"/>
          <w:color w:val="000000" w:themeColor="text1"/>
          <w:lang w:val="en-US"/>
        </w:rPr>
        <w:t>Furthermore, to determine if individual differences in subregion borders are sufficient to detect associations with markers instead of more nuanced gradient models, we calculated the relative size of subregion clusters in the medial parietal cortex by dividing individual gradients into three clusters</w:t>
      </w:r>
      <w:r w:rsidR="006B6CCA">
        <w:rPr>
          <w:rFonts w:ascii="Times New Roman" w:hAnsi="Times New Roman" w:cs="Times New Roman"/>
          <w:color w:val="000000" w:themeColor="text1"/>
          <w:lang w:val="en-US"/>
        </w:rPr>
        <w:t xml:space="preserve"> (via the same thresholds as mentioned previously)</w:t>
      </w:r>
      <w:r w:rsidR="00B20738">
        <w:rPr>
          <w:rFonts w:ascii="Times New Roman" w:hAnsi="Times New Roman" w:cs="Times New Roman"/>
          <w:color w:val="000000" w:themeColor="text1"/>
          <w:lang w:val="en-US"/>
        </w:rPr>
        <w:t xml:space="preserve"> and carried out the correlation analyses. </w:t>
      </w:r>
      <w:r w:rsidR="00CC6A98">
        <w:rPr>
          <w:rFonts w:ascii="Times New Roman" w:hAnsi="Times New Roman" w:cs="Times New Roman"/>
          <w:color w:val="000000" w:themeColor="text1"/>
          <w:lang w:val="en-US"/>
        </w:rPr>
        <w:t>For all the analys</w:t>
      </w:r>
      <w:r w:rsidR="00DC08E0">
        <w:rPr>
          <w:rFonts w:ascii="Times New Roman" w:hAnsi="Times New Roman" w:cs="Times New Roman"/>
          <w:color w:val="000000" w:themeColor="text1"/>
          <w:lang w:val="en-US"/>
        </w:rPr>
        <w:t>e</w:t>
      </w:r>
      <w:r w:rsidR="00CC6A98">
        <w:rPr>
          <w:rFonts w:ascii="Times New Roman" w:hAnsi="Times New Roman" w:cs="Times New Roman"/>
          <w:color w:val="000000" w:themeColor="text1"/>
          <w:lang w:val="en-US"/>
        </w:rPr>
        <w:t xml:space="preserve">s, group differences were determined via independent samples Student’s t-tests and correlation analyses were carried out using the Spearman’s rank correlation coefficient. </w:t>
      </w:r>
      <w:r w:rsidR="00F57B14" w:rsidRPr="007A44C7">
        <w:rPr>
          <w:rFonts w:ascii="Times New Roman" w:hAnsi="Times New Roman" w:cs="Times New Roman"/>
          <w:color w:val="000000" w:themeColor="text1"/>
          <w:lang w:val="en-US"/>
        </w:rPr>
        <w:t>No</w:t>
      </w:r>
      <w:r w:rsidR="00B0129A" w:rsidRPr="007A44C7">
        <w:rPr>
          <w:rFonts w:ascii="Times New Roman" w:hAnsi="Times New Roman" w:cs="Times New Roman"/>
          <w:color w:val="000000" w:themeColor="text1"/>
          <w:lang w:val="en-US"/>
        </w:rPr>
        <w:t>ne of these analyses</w:t>
      </w:r>
      <w:r w:rsidR="00F57B14" w:rsidRPr="007A44C7">
        <w:rPr>
          <w:rFonts w:ascii="Times New Roman" w:hAnsi="Times New Roman" w:cs="Times New Roman"/>
          <w:color w:val="000000" w:themeColor="text1"/>
          <w:lang w:val="en-US"/>
        </w:rPr>
        <w:t xml:space="preserve"> </w:t>
      </w:r>
      <w:r w:rsidR="00B0129A" w:rsidRPr="007A44C7">
        <w:rPr>
          <w:rFonts w:ascii="Times New Roman" w:hAnsi="Times New Roman" w:cs="Times New Roman"/>
          <w:color w:val="000000" w:themeColor="text1"/>
          <w:lang w:val="en-US"/>
        </w:rPr>
        <w:t>revealed</w:t>
      </w:r>
      <w:r w:rsidR="00F57B14" w:rsidRPr="007A44C7">
        <w:rPr>
          <w:rFonts w:ascii="Times New Roman" w:hAnsi="Times New Roman" w:cs="Times New Roman"/>
          <w:color w:val="000000" w:themeColor="text1"/>
          <w:lang w:val="en-US"/>
        </w:rPr>
        <w:t xml:space="preserve"> </w:t>
      </w:r>
      <w:r w:rsidR="00020326">
        <w:rPr>
          <w:rFonts w:ascii="Times New Roman" w:hAnsi="Times New Roman" w:cs="Times New Roman"/>
          <w:color w:val="000000" w:themeColor="text1"/>
          <w:lang w:val="en-US"/>
        </w:rPr>
        <w:t xml:space="preserve">significant </w:t>
      </w:r>
      <w:r w:rsidR="007C31A9" w:rsidRPr="007A44C7">
        <w:rPr>
          <w:rFonts w:ascii="Times New Roman" w:hAnsi="Times New Roman" w:cs="Times New Roman"/>
          <w:color w:val="000000" w:themeColor="text1"/>
          <w:lang w:val="en-US"/>
        </w:rPr>
        <w:t xml:space="preserve">associations </w:t>
      </w:r>
      <w:r w:rsidR="001273BE">
        <w:rPr>
          <w:rFonts w:ascii="Times New Roman" w:hAnsi="Times New Roman" w:cs="Times New Roman"/>
          <w:color w:val="000000" w:themeColor="text1"/>
          <w:lang w:val="en-US"/>
        </w:rPr>
        <w:t>with</w:t>
      </w:r>
      <w:r w:rsidR="001273BE" w:rsidRPr="007A44C7">
        <w:rPr>
          <w:rFonts w:ascii="Times New Roman" w:hAnsi="Times New Roman" w:cs="Times New Roman"/>
          <w:color w:val="000000" w:themeColor="text1"/>
          <w:lang w:val="en-US"/>
        </w:rPr>
        <w:t xml:space="preserve"> </w:t>
      </w:r>
      <w:proofErr w:type="spellStart"/>
      <w:r w:rsidR="007C31A9" w:rsidRPr="007A44C7">
        <w:rPr>
          <w:rFonts w:ascii="Times New Roman" w:hAnsi="Times New Roman" w:cs="Times New Roman"/>
          <w:color w:val="000000" w:themeColor="text1"/>
          <w:lang w:val="en-US"/>
        </w:rPr>
        <w:t>ApoE</w:t>
      </w:r>
      <w:proofErr w:type="spellEnd"/>
      <w:r w:rsidR="007C31A9" w:rsidRPr="007A44C7">
        <w:rPr>
          <w:rFonts w:ascii="Times New Roman" w:hAnsi="Times New Roman" w:cs="Times New Roman"/>
          <w:color w:val="000000" w:themeColor="text1"/>
          <w:lang w:val="en-US"/>
        </w:rPr>
        <w:t xml:space="preserve"> status, CSF</w:t>
      </w:r>
      <w:r w:rsidR="005E7D31">
        <w:rPr>
          <w:rFonts w:ascii="Times New Roman" w:hAnsi="Times New Roman" w:cs="Times New Roman"/>
          <w:color w:val="000000" w:themeColor="text1"/>
          <w:lang w:val="en-US"/>
        </w:rPr>
        <w:t xml:space="preserve"> </w:t>
      </w:r>
      <w:r w:rsidR="007C31A9" w:rsidRPr="007A44C7">
        <w:rPr>
          <w:rFonts w:ascii="Times New Roman" w:hAnsi="Times New Roman" w:cs="Times New Roman"/>
          <w:color w:val="000000" w:themeColor="text1"/>
          <w:lang w:val="en-US"/>
        </w:rPr>
        <w:t>markers or RBANS memory scores after multiple comparison correction</w:t>
      </w:r>
      <w:r w:rsidR="00DC08E0">
        <w:rPr>
          <w:rFonts w:ascii="Times New Roman" w:hAnsi="Times New Roman" w:cs="Times New Roman"/>
          <w:color w:val="000000" w:themeColor="text1"/>
          <w:lang w:val="en-US"/>
        </w:rPr>
        <w:t>s</w:t>
      </w:r>
      <w:r w:rsidR="00EC5AE6">
        <w:rPr>
          <w:rFonts w:ascii="Times New Roman" w:hAnsi="Times New Roman" w:cs="Times New Roman"/>
          <w:color w:val="000000" w:themeColor="text1"/>
          <w:lang w:val="en-US"/>
        </w:rPr>
        <w:t xml:space="preserve"> </w:t>
      </w:r>
      <w:r w:rsidR="00DC08E0">
        <w:rPr>
          <w:rFonts w:ascii="Times New Roman" w:hAnsi="Times New Roman" w:cs="Times New Roman"/>
          <w:color w:val="000000" w:themeColor="text1"/>
          <w:lang w:val="en-US"/>
        </w:rPr>
        <w:t>using</w:t>
      </w:r>
      <w:r w:rsidR="00EC5AE6">
        <w:rPr>
          <w:rFonts w:ascii="Times New Roman" w:hAnsi="Times New Roman" w:cs="Times New Roman"/>
          <w:color w:val="000000" w:themeColor="text1"/>
          <w:lang w:val="en-US"/>
        </w:rPr>
        <w:t xml:space="preserve"> false discovery rate</w:t>
      </w:r>
      <w:r w:rsidR="00DC08E0">
        <w:rPr>
          <w:rFonts w:ascii="Times New Roman" w:hAnsi="Times New Roman" w:cs="Times New Roman"/>
          <w:color w:val="000000" w:themeColor="text1"/>
          <w:lang w:val="en-US"/>
        </w:rPr>
        <w:t xml:space="preserve"> (FDR)</w:t>
      </w:r>
      <w:r w:rsidR="007C31A9" w:rsidRPr="007A44C7">
        <w:rPr>
          <w:rFonts w:ascii="Times New Roman" w:hAnsi="Times New Roman" w:cs="Times New Roman"/>
          <w:color w:val="000000" w:themeColor="text1"/>
          <w:lang w:val="en-US"/>
        </w:rPr>
        <w:t>.</w:t>
      </w:r>
      <w:r w:rsidR="00781288">
        <w:rPr>
          <w:rFonts w:ascii="Times New Roman" w:hAnsi="Times New Roman" w:cs="Times New Roman"/>
          <w:color w:val="000000" w:themeColor="text1"/>
          <w:lang w:val="en-US"/>
        </w:rPr>
        <w:t xml:space="preserve"> The range of statistic values and p-values are reported in </w:t>
      </w:r>
      <w:r w:rsidR="00781288" w:rsidRPr="00781288">
        <w:rPr>
          <w:rFonts w:ascii="Times New Roman" w:hAnsi="Times New Roman" w:cs="Times New Roman"/>
          <w:b/>
          <w:bCs/>
          <w:color w:val="000000" w:themeColor="text1"/>
          <w:lang w:val="en-US"/>
        </w:rPr>
        <w:t>Table S1</w:t>
      </w:r>
      <w:r w:rsidR="00781288">
        <w:rPr>
          <w:rFonts w:ascii="Times New Roman" w:hAnsi="Times New Roman" w:cs="Times New Roman"/>
          <w:color w:val="000000" w:themeColor="text1"/>
          <w:lang w:val="en-US"/>
        </w:rPr>
        <w:t>.</w:t>
      </w:r>
    </w:p>
    <w:p w14:paraId="515CA990" w14:textId="77777777" w:rsidR="00AE71E5" w:rsidRDefault="00AE71E5" w:rsidP="00890627">
      <w:pPr>
        <w:spacing w:line="360" w:lineRule="auto"/>
        <w:jc w:val="both"/>
        <w:rPr>
          <w:rFonts w:ascii="Times New Roman" w:hAnsi="Times New Roman" w:cs="Times New Roman"/>
          <w:color w:val="000000" w:themeColor="text1"/>
          <w:lang w:val="en-US"/>
        </w:rPr>
      </w:pPr>
    </w:p>
    <w:p w14:paraId="10A9E372" w14:textId="475635D9" w:rsidR="00AE71E5" w:rsidRDefault="00AE71E5" w:rsidP="00890627">
      <w:pPr>
        <w:spacing w:line="360" w:lineRule="auto"/>
        <w:jc w:val="both"/>
        <w:rPr>
          <w:rFonts w:ascii="Times New Roman" w:hAnsi="Times New Roman" w:cs="Times New Roman"/>
          <w:color w:val="000000" w:themeColor="text1"/>
          <w:lang w:val="en-US"/>
        </w:rPr>
        <w:sectPr w:rsidR="00AE71E5">
          <w:pgSz w:w="11906" w:h="16838"/>
          <w:pgMar w:top="1440" w:right="1440" w:bottom="1440" w:left="1440" w:header="708" w:footer="708" w:gutter="0"/>
          <w:cols w:space="708"/>
          <w:docGrid w:linePitch="360"/>
        </w:sectPr>
      </w:pPr>
    </w:p>
    <w:p w14:paraId="6377560B" w14:textId="37BC7969" w:rsidR="00D967A3" w:rsidRDefault="00A9780C">
      <w:pPr>
        <w:rPr>
          <w:rFonts w:ascii="Times New Roman" w:hAnsi="Times New Roman" w:cs="Times New Roman"/>
          <w:b/>
          <w:bCs/>
          <w:color w:val="000000" w:themeColor="text1"/>
          <w:lang w:val="en-US"/>
        </w:rPr>
      </w:pPr>
      <w:r w:rsidRPr="00A9780C">
        <w:rPr>
          <w:rFonts w:ascii="Times New Roman" w:hAnsi="Times New Roman" w:cs="Times New Roman"/>
          <w:b/>
          <w:bCs/>
          <w:color w:val="000000" w:themeColor="text1"/>
          <w:lang w:val="en-US"/>
        </w:rPr>
        <w:lastRenderedPageBreak/>
        <w:t>Table S1.</w:t>
      </w:r>
      <w:r>
        <w:rPr>
          <w:rFonts w:ascii="Times New Roman" w:hAnsi="Times New Roman" w:cs="Times New Roman"/>
          <w:b/>
          <w:bCs/>
          <w:color w:val="000000" w:themeColor="text1"/>
          <w:lang w:val="en-US"/>
        </w:rPr>
        <w:t xml:space="preserve"> </w:t>
      </w:r>
      <w:r w:rsidR="009C53BA">
        <w:rPr>
          <w:rFonts w:ascii="Times New Roman" w:hAnsi="Times New Roman" w:cs="Times New Roman"/>
          <w:b/>
          <w:bCs/>
          <w:color w:val="000000" w:themeColor="text1"/>
          <w:lang w:val="en-US"/>
        </w:rPr>
        <w:t xml:space="preserve">Secondary </w:t>
      </w:r>
      <w:r>
        <w:rPr>
          <w:rFonts w:ascii="Times New Roman" w:hAnsi="Times New Roman" w:cs="Times New Roman"/>
          <w:b/>
          <w:bCs/>
          <w:color w:val="000000" w:themeColor="text1"/>
          <w:lang w:val="en-US"/>
        </w:rPr>
        <w:t>analysis results.</w:t>
      </w:r>
    </w:p>
    <w:p w14:paraId="1D009D2E" w14:textId="77777777" w:rsidR="006F06E3" w:rsidRPr="00A9780C" w:rsidRDefault="006F06E3">
      <w:pPr>
        <w:rPr>
          <w:rFonts w:ascii="Times New Roman" w:hAnsi="Times New Roman" w:cs="Times New Roman"/>
          <w:b/>
          <w:bCs/>
          <w:color w:val="000000" w:themeColor="text1"/>
          <w:lang w:val="en-US"/>
        </w:rPr>
      </w:pPr>
    </w:p>
    <w:tbl>
      <w:tblPr>
        <w:tblStyle w:val="GridTable5Dark-Accent31"/>
        <w:tblW w:w="0" w:type="auto"/>
        <w:tblLook w:val="04A0" w:firstRow="1" w:lastRow="0" w:firstColumn="1" w:lastColumn="0" w:noHBand="0" w:noVBand="1"/>
      </w:tblPr>
      <w:tblGrid>
        <w:gridCol w:w="2325"/>
        <w:gridCol w:w="1639"/>
        <w:gridCol w:w="1590"/>
        <w:gridCol w:w="1599"/>
        <w:gridCol w:w="1599"/>
        <w:gridCol w:w="1586"/>
        <w:gridCol w:w="1961"/>
        <w:gridCol w:w="1875"/>
      </w:tblGrid>
      <w:tr w:rsidR="00DC08E0" w:rsidRPr="001B7653" w14:paraId="6FD04C92" w14:textId="77777777" w:rsidTr="001E0FDE">
        <w:trPr>
          <w:cnfStyle w:val="100000000000" w:firstRow="1" w:lastRow="0" w:firstColumn="0" w:lastColumn="0" w:oddVBand="0" w:evenVBand="0" w:oddHBand="0" w:evenHBand="0" w:firstRowFirstColumn="0" w:firstRowLastColumn="0" w:lastRowFirstColumn="0" w:lastRowLastColumn="0"/>
          <w:trHeight w:val="1393"/>
        </w:trPr>
        <w:tc>
          <w:tcPr>
            <w:cnfStyle w:val="001000000000" w:firstRow="0" w:lastRow="0" w:firstColumn="1" w:lastColumn="0" w:oddVBand="0" w:evenVBand="0" w:oddHBand="0" w:evenHBand="0" w:firstRowFirstColumn="0" w:firstRowLastColumn="0" w:lastRowFirstColumn="0" w:lastRowLastColumn="0"/>
            <w:tcW w:w="0" w:type="auto"/>
          </w:tcPr>
          <w:p w14:paraId="48CD718A" w14:textId="77777777" w:rsidR="00391C9A" w:rsidRPr="001B7653" w:rsidRDefault="00391C9A" w:rsidP="00911838">
            <w:pPr>
              <w:rPr>
                <w:rFonts w:ascii="Times New Roman" w:hAnsi="Times New Roman" w:cs="Times New Roman"/>
                <w:color w:val="000000" w:themeColor="text1"/>
                <w:lang w:val="en-US"/>
              </w:rPr>
            </w:pPr>
          </w:p>
        </w:tc>
        <w:tc>
          <w:tcPr>
            <w:tcW w:w="0" w:type="auto"/>
          </w:tcPr>
          <w:p w14:paraId="2A687366"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proofErr w:type="spellStart"/>
            <w:r w:rsidRPr="001B7653">
              <w:rPr>
                <w:rFonts w:ascii="Times New Roman" w:hAnsi="Times New Roman" w:cs="Times New Roman"/>
                <w:color w:val="000000" w:themeColor="text1"/>
                <w:lang w:val="en-US"/>
              </w:rPr>
              <w:t>ApoE</w:t>
            </w:r>
            <w:proofErr w:type="spellEnd"/>
            <w:r w:rsidRPr="001B7653">
              <w:rPr>
                <w:rFonts w:ascii="Times New Roman" w:hAnsi="Times New Roman" w:cs="Times New Roman"/>
                <w:color w:val="000000" w:themeColor="text1"/>
                <w:lang w:val="en-US"/>
              </w:rPr>
              <w:t xml:space="preserve"> </w:t>
            </w:r>
            <w:r w:rsidRPr="001B7653">
              <w:rPr>
                <w:rFonts w:ascii="Times New Roman" w:hAnsi="Times New Roman" w:cs="Times New Roman"/>
                <w:color w:val="000000" w:themeColor="text1"/>
                <w:lang w:val="en-US"/>
              </w:rPr>
              <w:sym w:font="Symbol" w:char="F065"/>
            </w:r>
            <w:r w:rsidRPr="001B7653">
              <w:rPr>
                <w:rFonts w:ascii="Times New Roman" w:hAnsi="Times New Roman" w:cs="Times New Roman"/>
                <w:color w:val="000000" w:themeColor="text1"/>
                <w:lang w:val="en-US"/>
              </w:rPr>
              <w:t xml:space="preserve">4 carrier vs. noncarrier </w:t>
            </w:r>
          </w:p>
          <w:p w14:paraId="0C8996A0" w14:textId="5282FFBB"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(T-statistic/</w:t>
            </w:r>
            <w:r w:rsidR="00DC08E0">
              <w:rPr>
                <w:rFonts w:ascii="Times New Roman" w:hAnsi="Times New Roman" w:cs="Times New Roman"/>
                <w:color w:val="000000" w:themeColor="text1"/>
                <w:lang w:val="en-US"/>
              </w:rPr>
              <w:t xml:space="preserve"> </w:t>
            </w:r>
            <w:r w:rsidRPr="001B7653">
              <w:rPr>
                <w:rFonts w:ascii="Times New Roman" w:hAnsi="Times New Roman" w:cs="Times New Roman"/>
                <w:color w:val="000000" w:themeColor="text1"/>
                <w:lang w:val="en-US"/>
              </w:rPr>
              <w:t>p-value)</w:t>
            </w:r>
          </w:p>
        </w:tc>
        <w:tc>
          <w:tcPr>
            <w:tcW w:w="0" w:type="auto"/>
          </w:tcPr>
          <w:p w14:paraId="069991E9"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t-tau correlation (R-value/</w:t>
            </w:r>
          </w:p>
          <w:p w14:paraId="3DAA72F9" w14:textId="4C7F5D7A"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p-value)</w:t>
            </w:r>
          </w:p>
        </w:tc>
        <w:tc>
          <w:tcPr>
            <w:tcW w:w="0" w:type="auto"/>
          </w:tcPr>
          <w:p w14:paraId="4D31F640"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p-tau correlation (R-value/</w:t>
            </w:r>
          </w:p>
          <w:p w14:paraId="4F0990EC" w14:textId="10C0C26E"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p-value)</w:t>
            </w:r>
          </w:p>
        </w:tc>
        <w:tc>
          <w:tcPr>
            <w:tcW w:w="0" w:type="auto"/>
          </w:tcPr>
          <w:p w14:paraId="4DEFACE2" w14:textId="548A9134"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Aß42 correlation (R-value/</w:t>
            </w:r>
          </w:p>
          <w:p w14:paraId="3D099F1A" w14:textId="7EC83968"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p-value)</w:t>
            </w:r>
          </w:p>
        </w:tc>
        <w:tc>
          <w:tcPr>
            <w:tcW w:w="0" w:type="auto"/>
          </w:tcPr>
          <w:p w14:paraId="624F4CC8"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proofErr w:type="spellStart"/>
            <w:r w:rsidRPr="001B7653">
              <w:rPr>
                <w:rFonts w:ascii="Times New Roman" w:hAnsi="Times New Roman" w:cs="Times New Roman"/>
                <w:color w:val="000000" w:themeColor="text1"/>
                <w:lang w:val="en-US"/>
              </w:rPr>
              <w:t>Aß</w:t>
            </w:r>
            <w:proofErr w:type="spellEnd"/>
            <w:r w:rsidRPr="001B7653">
              <w:rPr>
                <w:rFonts w:ascii="Times New Roman" w:hAnsi="Times New Roman" w:cs="Times New Roman"/>
                <w:color w:val="000000" w:themeColor="text1"/>
                <w:lang w:val="en-US"/>
              </w:rPr>
              <w:t xml:space="preserve">/p-tau ratio correlation </w:t>
            </w:r>
          </w:p>
          <w:p w14:paraId="451345FB"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(R-value/</w:t>
            </w:r>
          </w:p>
          <w:p w14:paraId="35297B78" w14:textId="0F708148"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p-value)</w:t>
            </w:r>
          </w:p>
        </w:tc>
        <w:tc>
          <w:tcPr>
            <w:tcW w:w="1961" w:type="dxa"/>
          </w:tcPr>
          <w:p w14:paraId="49C26178"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 xml:space="preserve">RBANS immediate memory correlation </w:t>
            </w:r>
          </w:p>
          <w:p w14:paraId="6A1C6B7D" w14:textId="41220E63"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(R-value/</w:t>
            </w:r>
          </w:p>
          <w:p w14:paraId="137267F7" w14:textId="5F548D6C"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p-value)</w:t>
            </w:r>
          </w:p>
        </w:tc>
        <w:tc>
          <w:tcPr>
            <w:tcW w:w="1875" w:type="dxa"/>
          </w:tcPr>
          <w:p w14:paraId="528EC4FB"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 xml:space="preserve">RBANS delayed memory correlation </w:t>
            </w:r>
          </w:p>
          <w:p w14:paraId="6DA264D1" w14:textId="77777777" w:rsidR="00DC08E0"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(R-value/</w:t>
            </w:r>
          </w:p>
          <w:p w14:paraId="270B1924" w14:textId="0A029666" w:rsidR="00391C9A" w:rsidRPr="001B7653" w:rsidRDefault="00391C9A" w:rsidP="005C5A7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p-value)</w:t>
            </w:r>
          </w:p>
        </w:tc>
      </w:tr>
      <w:tr w:rsidR="00DC08E0" w14:paraId="479DB49F" w14:textId="77777777" w:rsidTr="001E0FDE">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0" w:type="auto"/>
          </w:tcPr>
          <w:p w14:paraId="25167CB8" w14:textId="6C3F7715" w:rsidR="00391C9A" w:rsidRPr="001B7653" w:rsidRDefault="00391C9A" w:rsidP="00911838">
            <w:pPr>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Intrinsic DMN FC</w:t>
            </w:r>
          </w:p>
        </w:tc>
        <w:tc>
          <w:tcPr>
            <w:tcW w:w="0" w:type="auto"/>
          </w:tcPr>
          <w:p w14:paraId="1B7701D5"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-2.72–1.22/</w:t>
            </w:r>
          </w:p>
          <w:p w14:paraId="6ABB6619" w14:textId="447D7179"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0.0069-0.98</w:t>
            </w:r>
          </w:p>
        </w:tc>
        <w:tc>
          <w:tcPr>
            <w:tcW w:w="0" w:type="auto"/>
          </w:tcPr>
          <w:p w14:paraId="44689937"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-0.19-0.23/</w:t>
            </w:r>
          </w:p>
          <w:p w14:paraId="2C79EC65" w14:textId="3F8DF7CF"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0.027-0.99</w:t>
            </w:r>
          </w:p>
        </w:tc>
        <w:tc>
          <w:tcPr>
            <w:tcW w:w="0" w:type="auto"/>
          </w:tcPr>
          <w:p w14:paraId="281E53EE"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-0.15-0.20/</w:t>
            </w:r>
          </w:p>
          <w:p w14:paraId="5C6E9CBB" w14:textId="7BCAA4B9"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0.052-0.97</w:t>
            </w:r>
          </w:p>
        </w:tc>
        <w:tc>
          <w:tcPr>
            <w:tcW w:w="0" w:type="auto"/>
          </w:tcPr>
          <w:p w14:paraId="30EBBD79"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-0.18-0.19/</w:t>
            </w:r>
          </w:p>
          <w:p w14:paraId="1A7F9B10" w14:textId="44D16A67"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0.077-1.00</w:t>
            </w:r>
          </w:p>
        </w:tc>
        <w:tc>
          <w:tcPr>
            <w:tcW w:w="0" w:type="auto"/>
          </w:tcPr>
          <w:p w14:paraId="780722DD"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-0.26-0.12/</w:t>
            </w:r>
          </w:p>
          <w:p w14:paraId="2C6C6238" w14:textId="26C894F4"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0.014-0.99</w:t>
            </w:r>
          </w:p>
        </w:tc>
        <w:tc>
          <w:tcPr>
            <w:tcW w:w="1961" w:type="dxa"/>
          </w:tcPr>
          <w:p w14:paraId="5525D0D0"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-0.08-0.12/</w:t>
            </w:r>
          </w:p>
          <w:p w14:paraId="5500DB07" w14:textId="75A85084"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w:t>
            </w:r>
            <w:r w:rsidR="00AD78F5">
              <w:rPr>
                <w:rFonts w:ascii="Times New Roman" w:hAnsi="Times New Roman" w:cs="Times New Roman"/>
                <w:color w:val="000000" w:themeColor="text1"/>
                <w:lang w:val="en-US"/>
              </w:rPr>
              <w:t>6</w:t>
            </w:r>
            <w:r>
              <w:rPr>
                <w:rFonts w:ascii="Times New Roman" w:hAnsi="Times New Roman" w:cs="Times New Roman"/>
                <w:color w:val="000000" w:themeColor="text1"/>
                <w:lang w:val="en-US"/>
              </w:rPr>
              <w:t>-0.99</w:t>
            </w:r>
          </w:p>
        </w:tc>
        <w:tc>
          <w:tcPr>
            <w:tcW w:w="1875" w:type="dxa"/>
          </w:tcPr>
          <w:p w14:paraId="27F824CB"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-0.07-0.10/</w:t>
            </w:r>
          </w:p>
          <w:p w14:paraId="1CDF8FD6" w14:textId="53601450"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w:t>
            </w:r>
            <w:r w:rsidR="00AD78F5">
              <w:rPr>
                <w:rFonts w:ascii="Times New Roman" w:hAnsi="Times New Roman" w:cs="Times New Roman"/>
                <w:color w:val="000000" w:themeColor="text1"/>
                <w:lang w:val="en-US"/>
              </w:rPr>
              <w:t>10</w:t>
            </w:r>
            <w:r>
              <w:rPr>
                <w:rFonts w:ascii="Times New Roman" w:hAnsi="Times New Roman" w:cs="Times New Roman"/>
                <w:color w:val="000000" w:themeColor="text1"/>
                <w:lang w:val="en-US"/>
              </w:rPr>
              <w:t>-0.96</w:t>
            </w:r>
          </w:p>
        </w:tc>
      </w:tr>
      <w:tr w:rsidR="00DC08E0" w14:paraId="01D05184" w14:textId="77777777" w:rsidTr="001E0FDE">
        <w:trPr>
          <w:trHeight w:val="278"/>
        </w:trPr>
        <w:tc>
          <w:tcPr>
            <w:cnfStyle w:val="001000000000" w:firstRow="0" w:lastRow="0" w:firstColumn="1" w:lastColumn="0" w:oddVBand="0" w:evenVBand="0" w:oddHBand="0" w:evenHBand="0" w:firstRowFirstColumn="0" w:firstRowLastColumn="0" w:lastRowFirstColumn="0" w:lastRowLastColumn="0"/>
            <w:tcW w:w="0" w:type="auto"/>
          </w:tcPr>
          <w:p w14:paraId="0827143A" w14:textId="6426E302" w:rsidR="00391C9A" w:rsidRPr="001B7653" w:rsidRDefault="00391C9A" w:rsidP="00911838">
            <w:pPr>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MPC ROI – whole brain FC</w:t>
            </w:r>
          </w:p>
        </w:tc>
        <w:tc>
          <w:tcPr>
            <w:tcW w:w="0" w:type="auto"/>
          </w:tcPr>
          <w:p w14:paraId="59A906F9" w14:textId="77777777" w:rsidR="00B27764"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-2.44-2.75/</w:t>
            </w:r>
          </w:p>
          <w:p w14:paraId="5E3FAE17" w14:textId="6C0D6A04"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0.0063-0.99</w:t>
            </w:r>
          </w:p>
        </w:tc>
        <w:tc>
          <w:tcPr>
            <w:tcW w:w="0" w:type="auto"/>
          </w:tcPr>
          <w:p w14:paraId="320DDAB5" w14:textId="61402F8F"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-0.20-0.19/0.06-1.00</w:t>
            </w:r>
          </w:p>
        </w:tc>
        <w:tc>
          <w:tcPr>
            <w:tcW w:w="0" w:type="auto"/>
          </w:tcPr>
          <w:p w14:paraId="588C1557" w14:textId="0E1D0986"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-0.16-0.24/0.02-1.00</w:t>
            </w:r>
          </w:p>
        </w:tc>
        <w:tc>
          <w:tcPr>
            <w:tcW w:w="0" w:type="auto"/>
          </w:tcPr>
          <w:p w14:paraId="111B7E4E" w14:textId="03D517A8"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-0.12-0.24/0.02-0.98</w:t>
            </w:r>
          </w:p>
        </w:tc>
        <w:tc>
          <w:tcPr>
            <w:tcW w:w="0" w:type="auto"/>
          </w:tcPr>
          <w:p w14:paraId="34AF5277" w14:textId="77777777" w:rsidR="00B27764"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-0.19-0.18/</w:t>
            </w:r>
          </w:p>
          <w:p w14:paraId="66C925B0" w14:textId="216B83E3"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0.07-1.00</w:t>
            </w:r>
          </w:p>
        </w:tc>
        <w:tc>
          <w:tcPr>
            <w:tcW w:w="1961" w:type="dxa"/>
          </w:tcPr>
          <w:p w14:paraId="7D10958A" w14:textId="77777777" w:rsidR="00B27764"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-0.13-0.15/</w:t>
            </w:r>
          </w:p>
          <w:p w14:paraId="4DB7C959" w14:textId="2E869BB7"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0.015-1.00</w:t>
            </w:r>
          </w:p>
        </w:tc>
        <w:tc>
          <w:tcPr>
            <w:tcW w:w="1875" w:type="dxa"/>
          </w:tcPr>
          <w:p w14:paraId="587BDDA9" w14:textId="77777777" w:rsidR="00B27764"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-0.08-0.19/</w:t>
            </w:r>
          </w:p>
          <w:p w14:paraId="1EB43134" w14:textId="01C0B211" w:rsidR="00391C9A" w:rsidRDefault="00391C9A" w:rsidP="005C5A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0.003-1.00</w:t>
            </w:r>
          </w:p>
        </w:tc>
      </w:tr>
      <w:tr w:rsidR="00DC08E0" w14:paraId="2E4CE43A" w14:textId="77777777" w:rsidTr="001E0FD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tcPr>
          <w:p w14:paraId="2FD3DC38" w14:textId="6CA10A57" w:rsidR="00391C9A" w:rsidRPr="001B7653" w:rsidRDefault="00391C9A" w:rsidP="00911838">
            <w:pPr>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MPC subregions – whole brain FC</w:t>
            </w:r>
          </w:p>
        </w:tc>
        <w:tc>
          <w:tcPr>
            <w:tcW w:w="0" w:type="auto"/>
          </w:tcPr>
          <w:p w14:paraId="34138621"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-3.12-3.13/</w:t>
            </w:r>
          </w:p>
          <w:p w14:paraId="6DB40AB6" w14:textId="1E72C59B"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0.002-1.00</w:t>
            </w:r>
          </w:p>
        </w:tc>
        <w:tc>
          <w:tcPr>
            <w:tcW w:w="0" w:type="auto"/>
          </w:tcPr>
          <w:p w14:paraId="1B5EC9DC"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-0.23-0.22/</w:t>
            </w:r>
          </w:p>
          <w:p w14:paraId="776C1D11" w14:textId="225B15C4"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0.03-1.00</w:t>
            </w:r>
          </w:p>
        </w:tc>
        <w:tc>
          <w:tcPr>
            <w:tcW w:w="0" w:type="auto"/>
          </w:tcPr>
          <w:p w14:paraId="57603EEE"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-0.21-0.26/</w:t>
            </w:r>
          </w:p>
          <w:p w14:paraId="09A40DAA" w14:textId="05382E98"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0.01-1.00</w:t>
            </w:r>
          </w:p>
        </w:tc>
        <w:tc>
          <w:tcPr>
            <w:tcW w:w="0" w:type="auto"/>
          </w:tcPr>
          <w:p w14:paraId="525E42DE"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-0.17-0.31/</w:t>
            </w:r>
          </w:p>
          <w:p w14:paraId="75ACE93A" w14:textId="4AEBC7D6"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0.003-1.00</w:t>
            </w:r>
          </w:p>
        </w:tc>
        <w:tc>
          <w:tcPr>
            <w:tcW w:w="0" w:type="auto"/>
          </w:tcPr>
          <w:p w14:paraId="7A7DE5F4" w14:textId="77777777" w:rsidR="00B27764"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-0.26-0.25/</w:t>
            </w:r>
          </w:p>
          <w:p w14:paraId="057C584D" w14:textId="44FB5F25" w:rsidR="00391C9A" w:rsidRDefault="00391C9A"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0.01-1.00</w:t>
            </w:r>
          </w:p>
        </w:tc>
        <w:tc>
          <w:tcPr>
            <w:tcW w:w="1961" w:type="dxa"/>
          </w:tcPr>
          <w:p w14:paraId="13189202" w14:textId="77777777" w:rsidR="00B27764" w:rsidRDefault="007C3E7B"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-0.1</w:t>
            </w:r>
            <w:r w:rsidR="00737649">
              <w:rPr>
                <w:rFonts w:ascii="Times New Roman" w:hAnsi="Times New Roman" w:cs="Times New Roman"/>
                <w:color w:val="000000" w:themeColor="text1"/>
                <w:lang w:val="en-US"/>
              </w:rPr>
              <w:t>4</w:t>
            </w:r>
            <w:r>
              <w:rPr>
                <w:rFonts w:ascii="Times New Roman" w:hAnsi="Times New Roman" w:cs="Times New Roman"/>
                <w:color w:val="000000" w:themeColor="text1"/>
                <w:lang w:val="en-US"/>
              </w:rPr>
              <w:t>-0.</w:t>
            </w:r>
            <w:r w:rsidR="00737649">
              <w:rPr>
                <w:rFonts w:ascii="Times New Roman" w:hAnsi="Times New Roman" w:cs="Times New Roman"/>
                <w:color w:val="000000" w:themeColor="text1"/>
                <w:lang w:val="en-US"/>
              </w:rPr>
              <w:t>21</w:t>
            </w:r>
            <w:r>
              <w:rPr>
                <w:rFonts w:ascii="Times New Roman" w:hAnsi="Times New Roman" w:cs="Times New Roman"/>
                <w:color w:val="000000" w:themeColor="text1"/>
                <w:lang w:val="en-US"/>
              </w:rPr>
              <w:t>/</w:t>
            </w:r>
          </w:p>
          <w:p w14:paraId="0E5429C3" w14:textId="0045DC14" w:rsidR="00391C9A" w:rsidRDefault="007C3E7B"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0.000</w:t>
            </w:r>
            <w:r w:rsidR="00737649">
              <w:rPr>
                <w:rFonts w:ascii="Times New Roman" w:hAnsi="Times New Roman" w:cs="Times New Roman"/>
                <w:color w:val="000000" w:themeColor="text1"/>
                <w:lang w:val="en-US"/>
              </w:rPr>
              <w:t>5</w:t>
            </w:r>
            <w:r>
              <w:rPr>
                <w:rFonts w:ascii="Times New Roman" w:hAnsi="Times New Roman" w:cs="Times New Roman"/>
                <w:color w:val="000000" w:themeColor="text1"/>
                <w:lang w:val="en-US"/>
              </w:rPr>
              <w:t>-1.00</w:t>
            </w:r>
          </w:p>
        </w:tc>
        <w:tc>
          <w:tcPr>
            <w:tcW w:w="1875" w:type="dxa"/>
          </w:tcPr>
          <w:p w14:paraId="6C5B3302" w14:textId="77777777" w:rsidR="00B27764" w:rsidRDefault="00737649"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-0.09-0.18/</w:t>
            </w:r>
          </w:p>
          <w:p w14:paraId="4DD2E2A0" w14:textId="30A606AF" w:rsidR="00391C9A" w:rsidRDefault="00737649" w:rsidP="005C5A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Pr>
                <w:rFonts w:ascii="Times New Roman" w:hAnsi="Times New Roman" w:cs="Times New Roman"/>
                <w:color w:val="000000" w:themeColor="text1"/>
                <w:lang w:val="en-US"/>
              </w:rPr>
              <w:t>0.004-1.00</w:t>
            </w:r>
          </w:p>
        </w:tc>
      </w:tr>
      <w:tr w:rsidR="00DC08E0" w14:paraId="53A72759" w14:textId="77777777" w:rsidTr="001E0FDE">
        <w:trPr>
          <w:trHeight w:val="261"/>
        </w:trPr>
        <w:tc>
          <w:tcPr>
            <w:cnfStyle w:val="001000000000" w:firstRow="0" w:lastRow="0" w:firstColumn="1" w:lastColumn="0" w:oddVBand="0" w:evenVBand="0" w:oddHBand="0" w:evenHBand="0" w:firstRowFirstColumn="0" w:firstRowLastColumn="0" w:lastRowFirstColumn="0" w:lastRowLastColumn="0"/>
            <w:tcW w:w="0" w:type="auto"/>
          </w:tcPr>
          <w:p w14:paraId="56DC3F37" w14:textId="05877241" w:rsidR="00391C9A" w:rsidRPr="001B7653" w:rsidRDefault="00FC26AD" w:rsidP="00911838">
            <w:pPr>
              <w:rPr>
                <w:rFonts w:ascii="Times New Roman" w:hAnsi="Times New Roman" w:cs="Times New Roman"/>
                <w:color w:val="000000" w:themeColor="text1"/>
                <w:lang w:val="en-US"/>
              </w:rPr>
            </w:pPr>
            <w:r w:rsidRPr="001B7653">
              <w:rPr>
                <w:rFonts w:ascii="Times New Roman" w:hAnsi="Times New Roman" w:cs="Times New Roman"/>
                <w:color w:val="000000" w:themeColor="text1"/>
                <w:lang w:val="en-US"/>
              </w:rPr>
              <w:t>Relative size of MPC subregion clusters derived from individual gradients</w:t>
            </w:r>
          </w:p>
        </w:tc>
        <w:tc>
          <w:tcPr>
            <w:tcW w:w="0" w:type="auto"/>
          </w:tcPr>
          <w:p w14:paraId="36406693" w14:textId="77777777" w:rsidR="00391C9A" w:rsidRDefault="00465CA6"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1</w:t>
            </w:r>
            <w:r w:rsidR="00F54D3C">
              <w:rPr>
                <w:color w:val="000000" w:themeColor="text1"/>
                <w:lang w:val="en-US"/>
              </w:rPr>
              <w:t>: -1.16/0.25</w:t>
            </w:r>
          </w:p>
          <w:p w14:paraId="659E6A3E" w14:textId="77777777" w:rsidR="00F54D3C" w:rsidRDefault="00F54D3C"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-1.04/0.30</w:t>
            </w:r>
          </w:p>
          <w:p w14:paraId="5A71F905" w14:textId="6418DF0F" w:rsidR="00F54D3C" w:rsidRPr="00F54D3C" w:rsidRDefault="00F54D3C"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1.79/0.07</w:t>
            </w:r>
          </w:p>
        </w:tc>
        <w:tc>
          <w:tcPr>
            <w:tcW w:w="0" w:type="auto"/>
          </w:tcPr>
          <w:p w14:paraId="498BB0C2" w14:textId="77777777" w:rsidR="00391C9A" w:rsidRDefault="00F54D3C"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1: 0.11/0.31</w:t>
            </w:r>
          </w:p>
          <w:p w14:paraId="05B28F56" w14:textId="77777777" w:rsidR="00F54D3C" w:rsidRDefault="00F54D3C"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0.18/0.08</w:t>
            </w:r>
          </w:p>
          <w:p w14:paraId="65939861" w14:textId="504D63CB" w:rsidR="00F54D3C" w:rsidRPr="00F54D3C" w:rsidRDefault="00F54D3C"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-0.21/0.05</w:t>
            </w:r>
          </w:p>
        </w:tc>
        <w:tc>
          <w:tcPr>
            <w:tcW w:w="0" w:type="auto"/>
          </w:tcPr>
          <w:p w14:paraId="1DE84DD1" w14:textId="77777777" w:rsidR="00391C9A" w:rsidRDefault="00F46726"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 xml:space="preserve">Cluster 1: </w:t>
            </w:r>
            <w:r w:rsidR="0071255B">
              <w:rPr>
                <w:color w:val="000000" w:themeColor="text1"/>
                <w:lang w:val="en-US"/>
              </w:rPr>
              <w:t>0.14/0.20</w:t>
            </w:r>
          </w:p>
          <w:p w14:paraId="43688177" w14:textId="77777777" w:rsidR="0071255B" w:rsidRDefault="0071255B"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0.16/0.13</w:t>
            </w:r>
          </w:p>
          <w:p w14:paraId="6A49ACD5" w14:textId="7AFC1738" w:rsidR="0071255B" w:rsidRPr="00F46726" w:rsidRDefault="0071255B"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-0.20/0.06</w:t>
            </w:r>
          </w:p>
        </w:tc>
        <w:tc>
          <w:tcPr>
            <w:tcW w:w="0" w:type="auto"/>
          </w:tcPr>
          <w:p w14:paraId="34B8D30F" w14:textId="77777777" w:rsidR="00391C9A" w:rsidRDefault="00580672"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1: 0.01/0.94</w:t>
            </w:r>
          </w:p>
          <w:p w14:paraId="39A53BB1" w14:textId="77777777" w:rsidR="00580672" w:rsidRDefault="00580672"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0.09/0.40</w:t>
            </w:r>
          </w:p>
          <w:p w14:paraId="2778614A" w14:textId="339A262D" w:rsidR="00580672" w:rsidRPr="00580672" w:rsidRDefault="00580672"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-0.08/0.47</w:t>
            </w:r>
          </w:p>
        </w:tc>
        <w:tc>
          <w:tcPr>
            <w:tcW w:w="0" w:type="auto"/>
          </w:tcPr>
          <w:p w14:paraId="340C6B12" w14:textId="77777777" w:rsidR="00391C9A" w:rsidRDefault="00746610"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 xml:space="preserve">Cluster 1: </w:t>
            </w:r>
            <w:r w:rsidR="00D92AE2">
              <w:rPr>
                <w:color w:val="000000" w:themeColor="text1"/>
                <w:lang w:val="en-US"/>
              </w:rPr>
              <w:t>-0.12/0,26</w:t>
            </w:r>
          </w:p>
          <w:p w14:paraId="611400C8" w14:textId="77777777" w:rsidR="00D92AE2" w:rsidRDefault="00D92AE2"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-0.21/0.05</w:t>
            </w:r>
          </w:p>
          <w:p w14:paraId="50391BAA" w14:textId="72959C3E" w:rsidR="00D92AE2" w:rsidRPr="00746610" w:rsidRDefault="00D92AE2"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0.23/0.03</w:t>
            </w:r>
          </w:p>
        </w:tc>
        <w:tc>
          <w:tcPr>
            <w:tcW w:w="1961" w:type="dxa"/>
          </w:tcPr>
          <w:p w14:paraId="1A529D61" w14:textId="77777777" w:rsidR="00391C9A" w:rsidRDefault="00DB2B5D"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 xml:space="preserve">Cluster 1: </w:t>
            </w:r>
            <w:r w:rsidR="004746BD">
              <w:rPr>
                <w:color w:val="000000" w:themeColor="text1"/>
                <w:lang w:val="en-US"/>
              </w:rPr>
              <w:t>0.01/0.91</w:t>
            </w:r>
          </w:p>
          <w:p w14:paraId="764C5E25" w14:textId="07004E5A" w:rsidR="004746BD" w:rsidRDefault="004746BD"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-0.03/0.67</w:t>
            </w:r>
          </w:p>
          <w:p w14:paraId="39E7230C" w14:textId="723EA72B" w:rsidR="004746BD" w:rsidRPr="00DB2B5D" w:rsidRDefault="004746BD"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0.01/0.93</w:t>
            </w:r>
          </w:p>
        </w:tc>
        <w:tc>
          <w:tcPr>
            <w:tcW w:w="1875" w:type="dxa"/>
          </w:tcPr>
          <w:p w14:paraId="59E98ADD" w14:textId="77777777" w:rsidR="00391C9A" w:rsidRDefault="004F5FE4"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sidRPr="004F5FE4">
              <w:rPr>
                <w:color w:val="000000" w:themeColor="text1"/>
                <w:lang w:val="en-US"/>
              </w:rPr>
              <w:t>Cluster 1</w:t>
            </w:r>
            <w:r>
              <w:rPr>
                <w:color w:val="000000" w:themeColor="text1"/>
                <w:lang w:val="en-US"/>
              </w:rPr>
              <w:t>: -0.08/0.20</w:t>
            </w:r>
          </w:p>
          <w:p w14:paraId="55BF2D68" w14:textId="77777777" w:rsidR="004F5FE4" w:rsidRDefault="004F5FE4"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2: 0.03/0.62</w:t>
            </w:r>
          </w:p>
          <w:p w14:paraId="7338587A" w14:textId="1C6E6007" w:rsidR="004F5FE4" w:rsidRPr="004F5FE4" w:rsidRDefault="004F5FE4" w:rsidP="00B27764">
            <w:pPr>
              <w:pStyle w:val="ListParagraph"/>
              <w:numPr>
                <w:ilvl w:val="0"/>
                <w:numId w:val="2"/>
              </w:numPr>
              <w:ind w:left="357" w:hanging="357"/>
              <w:cnfStyle w:val="000000000000" w:firstRow="0" w:lastRow="0" w:firstColumn="0" w:lastColumn="0" w:oddVBand="0" w:evenVBand="0" w:oddHBand="0" w:evenHBand="0" w:firstRowFirstColumn="0" w:firstRowLastColumn="0" w:lastRowFirstColumn="0" w:lastRowLastColumn="0"/>
              <w:rPr>
                <w:color w:val="000000" w:themeColor="text1"/>
                <w:lang w:val="en-US"/>
              </w:rPr>
            </w:pPr>
            <w:r>
              <w:rPr>
                <w:color w:val="000000" w:themeColor="text1"/>
                <w:lang w:val="en-US"/>
              </w:rPr>
              <w:t>Cluster 3: 0.04/0.52</w:t>
            </w:r>
          </w:p>
        </w:tc>
      </w:tr>
    </w:tbl>
    <w:p w14:paraId="7FCEFB65" w14:textId="77777777" w:rsidR="00667CFA" w:rsidRDefault="00667CFA">
      <w:pPr>
        <w:rPr>
          <w:rFonts w:ascii="Times New Roman" w:hAnsi="Times New Roman" w:cs="Times New Roman"/>
          <w:color w:val="000000" w:themeColor="text1"/>
          <w:lang w:val="en-US"/>
        </w:rPr>
      </w:pPr>
    </w:p>
    <w:p w14:paraId="65FFF9A3" w14:textId="249598E1" w:rsidR="00A9780C" w:rsidRDefault="00667CFA" w:rsidP="00787940">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Abbreviations: MPC - medial parietal cortex, RBANS – Repeatable </w:t>
      </w:r>
      <w:r w:rsidRPr="006B0EE7">
        <w:rPr>
          <w:rFonts w:ascii="Times New Roman" w:hAnsi="Times New Roman" w:cs="Times New Roman"/>
          <w:color w:val="000000" w:themeColor="text1"/>
          <w:lang w:val="en-US"/>
        </w:rPr>
        <w:t>Battery for the Assessment of Neuropsychological Status</w:t>
      </w:r>
      <w:r>
        <w:rPr>
          <w:rFonts w:ascii="Times New Roman" w:hAnsi="Times New Roman" w:cs="Times New Roman"/>
          <w:color w:val="000000" w:themeColor="text1"/>
          <w:lang w:val="en-US"/>
        </w:rPr>
        <w:t>, FC – functional connectivity, DMN – default mode network</w:t>
      </w:r>
      <w:r w:rsidR="008D3AB3">
        <w:rPr>
          <w:rFonts w:ascii="Times New Roman" w:hAnsi="Times New Roman" w:cs="Times New Roman"/>
          <w:color w:val="000000" w:themeColor="text1"/>
          <w:lang w:val="en-US"/>
        </w:rPr>
        <w:t>.</w:t>
      </w:r>
      <w:r w:rsidR="00746610">
        <w:rPr>
          <w:rFonts w:ascii="Times New Roman" w:hAnsi="Times New Roman" w:cs="Times New Roman"/>
          <w:color w:val="000000" w:themeColor="text1"/>
          <w:lang w:val="en-US"/>
        </w:rPr>
        <w:t xml:space="preserve"> All reported p-values are uncorrected for multiple comparisons.</w:t>
      </w:r>
      <w:r w:rsidR="008829D0">
        <w:rPr>
          <w:rFonts w:ascii="Times New Roman" w:hAnsi="Times New Roman" w:cs="Times New Roman"/>
          <w:color w:val="000000" w:themeColor="text1"/>
          <w:lang w:val="en-US"/>
        </w:rPr>
        <w:t xml:space="preserve"> For the connectivity analyses, statistical metrics and p-values are reported as a range (minimum-maximum)</w:t>
      </w:r>
      <w:r w:rsidR="00B27580">
        <w:rPr>
          <w:rFonts w:ascii="Times New Roman" w:hAnsi="Times New Roman" w:cs="Times New Roman"/>
          <w:color w:val="000000" w:themeColor="text1"/>
          <w:lang w:val="en-US"/>
        </w:rPr>
        <w:t xml:space="preserve">, </w:t>
      </w:r>
      <w:r w:rsidR="00B27580" w:rsidRPr="00B27580">
        <w:rPr>
          <w:rFonts w:ascii="Times New Roman" w:hAnsi="Times New Roman" w:cs="Times New Roman"/>
          <w:color w:val="000000" w:themeColor="text1"/>
          <w:highlight w:val="yellow"/>
          <w:lang w:val="en-GB"/>
        </w:rPr>
        <w:t>referring to the range across multiple targets from a single seed ROI (in the case of MPC ROI- whole brain FC) or across pairwise differences in ROI-ROI connectivity (in the case of intrinsic DMN correlation and MPC subregions – whole brain FC)</w:t>
      </w:r>
      <w:r w:rsidR="008829D0" w:rsidRPr="00B27580">
        <w:rPr>
          <w:rFonts w:ascii="Times New Roman" w:hAnsi="Times New Roman" w:cs="Times New Roman"/>
          <w:color w:val="000000" w:themeColor="text1"/>
          <w:highlight w:val="yellow"/>
          <w:lang w:val="en-US"/>
        </w:rPr>
        <w:t>.</w:t>
      </w:r>
    </w:p>
    <w:p w14:paraId="6A9C9DB5" w14:textId="77777777" w:rsidR="00667CFA" w:rsidRDefault="00667CFA">
      <w:pPr>
        <w:rPr>
          <w:rFonts w:ascii="Times New Roman" w:hAnsi="Times New Roman" w:cs="Times New Roman"/>
          <w:color w:val="000000" w:themeColor="text1"/>
          <w:lang w:val="en-US"/>
        </w:rPr>
      </w:pPr>
    </w:p>
    <w:p w14:paraId="465D446A" w14:textId="4979F02E" w:rsidR="00A9780C" w:rsidRDefault="00A9780C">
      <w:pPr>
        <w:rPr>
          <w:rFonts w:ascii="Times New Roman" w:hAnsi="Times New Roman" w:cs="Times New Roman"/>
          <w:color w:val="000000" w:themeColor="text1"/>
          <w:lang w:val="en-US"/>
        </w:rPr>
        <w:sectPr w:rsidR="00A9780C" w:rsidSect="00911838">
          <w:pgSz w:w="16838" w:h="11906" w:orient="landscape"/>
          <w:pgMar w:top="1440" w:right="1440" w:bottom="1440" w:left="1440" w:header="708" w:footer="708" w:gutter="0"/>
          <w:cols w:space="708"/>
          <w:docGrid w:linePitch="360"/>
        </w:sectPr>
      </w:pPr>
    </w:p>
    <w:p w14:paraId="4C257243" w14:textId="2BF5F123" w:rsidR="00BF00CA" w:rsidRDefault="000921BD" w:rsidP="009D5CFB">
      <w:pPr>
        <w:pStyle w:val="Heading2"/>
        <w:jc w:val="both"/>
        <w:rPr>
          <w:rFonts w:ascii="Times New Roman" w:hAnsi="Times New Roman" w:cs="Times New Roman"/>
          <w:b/>
          <w:color w:val="000000" w:themeColor="text1"/>
          <w:sz w:val="24"/>
          <w:szCs w:val="24"/>
          <w:lang w:val="en-US"/>
        </w:rPr>
      </w:pPr>
      <w:r>
        <w:rPr>
          <w:rFonts w:ascii="Times New Roman" w:hAnsi="Times New Roman" w:cs="Times New Roman"/>
          <w:b/>
          <w:noProof/>
          <w:color w:val="000000" w:themeColor="text1"/>
          <w:sz w:val="24"/>
          <w:szCs w:val="24"/>
          <w:lang w:val="en-US"/>
        </w:rPr>
        <w:lastRenderedPageBreak/>
        <w:drawing>
          <wp:inline distT="0" distB="0" distL="0" distR="0" wp14:anchorId="153088EF" wp14:editId="646651AC">
            <wp:extent cx="5147310" cy="88633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a:fillRect/>
                    </a:stretch>
                  </pic:blipFill>
                  <pic:spPr>
                    <a:xfrm>
                      <a:off x="0" y="0"/>
                      <a:ext cx="5147310" cy="8863330"/>
                    </a:xfrm>
                    <a:prstGeom prst="rect">
                      <a:avLst/>
                    </a:prstGeom>
                  </pic:spPr>
                </pic:pic>
              </a:graphicData>
            </a:graphic>
          </wp:inline>
        </w:drawing>
      </w:r>
    </w:p>
    <w:p w14:paraId="527C005D" w14:textId="0E88CD1B" w:rsidR="00D5111A" w:rsidRPr="001F381C" w:rsidRDefault="00D5111A" w:rsidP="00DF37E7">
      <w:pPr>
        <w:spacing w:line="360" w:lineRule="auto"/>
        <w:jc w:val="both"/>
        <w:rPr>
          <w:rFonts w:ascii="Times New Roman" w:hAnsi="Times New Roman" w:cs="Times New Roman"/>
          <w:lang w:val="en-US"/>
        </w:rPr>
      </w:pPr>
      <w:r w:rsidRPr="001F381C">
        <w:rPr>
          <w:rFonts w:ascii="Times New Roman" w:hAnsi="Times New Roman" w:cs="Times New Roman"/>
          <w:b/>
          <w:bCs/>
          <w:highlight w:val="yellow"/>
          <w:lang w:val="en-US"/>
        </w:rPr>
        <w:lastRenderedPageBreak/>
        <w:t xml:space="preserve">Figure S1. Examples of outlier functional gradients excluded from further analysis. </w:t>
      </w:r>
      <w:r w:rsidR="007F317C" w:rsidRPr="001F381C">
        <w:rPr>
          <w:rFonts w:ascii="Times New Roman" w:hAnsi="Times New Roman" w:cs="Times New Roman"/>
          <w:highlight w:val="yellow"/>
          <w:lang w:val="en-US"/>
        </w:rPr>
        <w:t>Outlier functional gradients of representative participants were projected onto the HCP 32k vertex resolution surface template. These gradients, as shown by the adjacent histograms, were dominated by a small number of voxels</w:t>
      </w:r>
      <w:r w:rsidR="00984225">
        <w:rPr>
          <w:rFonts w:ascii="Times New Roman" w:hAnsi="Times New Roman" w:cs="Times New Roman"/>
          <w:highlight w:val="yellow"/>
          <w:lang w:val="en-US"/>
        </w:rPr>
        <w:t>,</w:t>
      </w:r>
      <w:r w:rsidR="007F317C" w:rsidRPr="001F381C">
        <w:rPr>
          <w:rFonts w:ascii="Times New Roman" w:hAnsi="Times New Roman" w:cs="Times New Roman"/>
          <w:highlight w:val="yellow"/>
          <w:lang w:val="en-US"/>
        </w:rPr>
        <w:t xml:space="preserve"> </w:t>
      </w:r>
      <w:r w:rsidR="00984225">
        <w:rPr>
          <w:rFonts w:ascii="Times New Roman" w:hAnsi="Times New Roman" w:cs="Times New Roman"/>
          <w:highlight w:val="yellow"/>
          <w:lang w:val="en-US"/>
        </w:rPr>
        <w:t xml:space="preserve">which </w:t>
      </w:r>
      <w:r w:rsidR="00984225" w:rsidRPr="00984225">
        <w:rPr>
          <w:rFonts w:ascii="Times New Roman" w:hAnsi="Times New Roman" w:cs="Times New Roman"/>
          <w:highlight w:val="yellow"/>
          <w:lang w:val="en-GB"/>
        </w:rPr>
        <w:t>were markedly different from all other voxels in the ROI, resulting in a disbalanced gradient with a steep demarcation between the outlier voxels and other voxels</w:t>
      </w:r>
      <w:r w:rsidR="005E7D31">
        <w:rPr>
          <w:rFonts w:ascii="Times New Roman" w:hAnsi="Times New Roman" w:cs="Times New Roman"/>
          <w:highlight w:val="yellow"/>
          <w:lang w:val="en-GB"/>
        </w:rPr>
        <w:t>,</w:t>
      </w:r>
      <w:r w:rsidR="00984225" w:rsidRPr="00984225">
        <w:rPr>
          <w:rFonts w:ascii="Times New Roman" w:hAnsi="Times New Roman" w:cs="Times New Roman"/>
          <w:highlight w:val="yellow"/>
          <w:lang w:val="en-US"/>
        </w:rPr>
        <w:t xml:space="preserve"> </w:t>
      </w:r>
      <w:r w:rsidR="00B2228C">
        <w:rPr>
          <w:rFonts w:ascii="Times New Roman" w:hAnsi="Times New Roman" w:cs="Times New Roman"/>
          <w:highlight w:val="yellow"/>
          <w:lang w:val="en-US"/>
        </w:rPr>
        <w:t>while also</w:t>
      </w:r>
      <w:r w:rsidR="007F317C" w:rsidRPr="001F381C">
        <w:rPr>
          <w:rFonts w:ascii="Times New Roman" w:hAnsi="Times New Roman" w:cs="Times New Roman"/>
          <w:highlight w:val="yellow"/>
          <w:lang w:val="en-US"/>
        </w:rPr>
        <w:t xml:space="preserve"> not </w:t>
      </w:r>
      <w:r w:rsidR="00B2228C">
        <w:rPr>
          <w:rFonts w:ascii="Times New Roman" w:hAnsi="Times New Roman" w:cs="Times New Roman"/>
          <w:highlight w:val="yellow"/>
          <w:lang w:val="en-US"/>
        </w:rPr>
        <w:t>exhibiting</w:t>
      </w:r>
      <w:r w:rsidR="007F317C" w:rsidRPr="001F381C">
        <w:rPr>
          <w:rFonts w:ascii="Times New Roman" w:hAnsi="Times New Roman" w:cs="Times New Roman"/>
          <w:highlight w:val="yellow"/>
          <w:lang w:val="en-US"/>
        </w:rPr>
        <w:t xml:space="preserve"> clear directionality, likely represent</w:t>
      </w:r>
      <w:r w:rsidR="005E7D31">
        <w:rPr>
          <w:rFonts w:ascii="Times New Roman" w:hAnsi="Times New Roman" w:cs="Times New Roman"/>
          <w:highlight w:val="yellow"/>
          <w:lang w:val="en-US"/>
        </w:rPr>
        <w:t xml:space="preserve">ing </w:t>
      </w:r>
      <w:r w:rsidR="007F317C" w:rsidRPr="001F381C">
        <w:rPr>
          <w:rFonts w:ascii="Times New Roman" w:hAnsi="Times New Roman" w:cs="Times New Roman"/>
          <w:highlight w:val="yellow"/>
          <w:lang w:val="en-US"/>
        </w:rPr>
        <w:t>art</w:t>
      </w:r>
      <w:r w:rsidR="005E7D31">
        <w:rPr>
          <w:rFonts w:ascii="Times New Roman" w:hAnsi="Times New Roman" w:cs="Times New Roman"/>
          <w:highlight w:val="yellow"/>
          <w:lang w:val="en-US"/>
        </w:rPr>
        <w:t>i</w:t>
      </w:r>
      <w:r w:rsidR="007F317C" w:rsidRPr="001F381C">
        <w:rPr>
          <w:rFonts w:ascii="Times New Roman" w:hAnsi="Times New Roman" w:cs="Times New Roman"/>
          <w:highlight w:val="yellow"/>
          <w:lang w:val="en-US"/>
        </w:rPr>
        <w:t xml:space="preserve">factual changes rather than true connectivity </w:t>
      </w:r>
      <w:r w:rsidR="007F317C" w:rsidRPr="000921BD">
        <w:rPr>
          <w:rFonts w:ascii="Times New Roman" w:hAnsi="Times New Roman" w:cs="Times New Roman"/>
          <w:highlight w:val="yellow"/>
          <w:lang w:val="en-US"/>
        </w:rPr>
        <w:t>distributions.</w:t>
      </w:r>
      <w:r w:rsidR="000921BD" w:rsidRPr="000921BD">
        <w:rPr>
          <w:rFonts w:ascii="Times New Roman" w:hAnsi="Times New Roman" w:cs="Times New Roman"/>
          <w:highlight w:val="yellow"/>
          <w:lang w:val="en-US"/>
        </w:rPr>
        <w:t xml:space="preserve"> The color bars denote normalized gradient values.</w:t>
      </w:r>
    </w:p>
    <w:p w14:paraId="55964354" w14:textId="00A1D957" w:rsidR="00BF00CA" w:rsidRDefault="00BF00CA" w:rsidP="009D5CFB">
      <w:pPr>
        <w:pStyle w:val="Heading2"/>
        <w:jc w:val="both"/>
        <w:rPr>
          <w:rFonts w:ascii="Times New Roman" w:hAnsi="Times New Roman" w:cs="Times New Roman"/>
          <w:b/>
          <w:color w:val="000000" w:themeColor="text1"/>
          <w:sz w:val="24"/>
          <w:szCs w:val="24"/>
          <w:lang w:val="en-US"/>
        </w:rPr>
      </w:pPr>
    </w:p>
    <w:p w14:paraId="36C33ADF" w14:textId="77777777" w:rsidR="00D5111A" w:rsidRDefault="00D5111A" w:rsidP="00BF00CA">
      <w:pPr>
        <w:rPr>
          <w:lang w:val="en-US"/>
        </w:rPr>
        <w:sectPr w:rsidR="00D5111A">
          <w:pgSz w:w="11906" w:h="16838"/>
          <w:pgMar w:top="1440" w:right="1440" w:bottom="1440" w:left="1440" w:header="708" w:footer="708" w:gutter="0"/>
          <w:cols w:space="708"/>
          <w:docGrid w:linePitch="360"/>
        </w:sectPr>
      </w:pPr>
    </w:p>
    <w:p w14:paraId="10AE2729" w14:textId="539D536C" w:rsidR="007E7101" w:rsidRPr="001E0FDE" w:rsidRDefault="00DC08E0" w:rsidP="009D5CFB">
      <w:pPr>
        <w:pStyle w:val="Heading2"/>
        <w:jc w:val="both"/>
        <w:rPr>
          <w:rFonts w:ascii="Times New Roman" w:hAnsi="Times New Roman" w:cs="Times New Roman"/>
          <w:b/>
          <w:color w:val="000000" w:themeColor="text1"/>
          <w:sz w:val="24"/>
          <w:szCs w:val="24"/>
          <w:lang w:val="en-US"/>
        </w:rPr>
      </w:pPr>
      <w:r w:rsidRPr="001E0FDE">
        <w:rPr>
          <w:rFonts w:ascii="Times New Roman" w:hAnsi="Times New Roman" w:cs="Times New Roman"/>
          <w:b/>
          <w:color w:val="000000" w:themeColor="text1"/>
          <w:sz w:val="24"/>
          <w:szCs w:val="24"/>
          <w:lang w:val="en-US"/>
        </w:rPr>
        <w:lastRenderedPageBreak/>
        <w:t>R</w:t>
      </w:r>
      <w:r w:rsidR="007E7101" w:rsidRPr="001E0FDE">
        <w:rPr>
          <w:rFonts w:ascii="Times New Roman" w:hAnsi="Times New Roman" w:cs="Times New Roman"/>
          <w:b/>
          <w:color w:val="000000" w:themeColor="text1"/>
          <w:sz w:val="24"/>
          <w:szCs w:val="24"/>
          <w:lang w:val="en-US"/>
        </w:rPr>
        <w:t>eferences</w:t>
      </w:r>
    </w:p>
    <w:p w14:paraId="6A408CB3" w14:textId="3D592359" w:rsidR="00EC5AE6" w:rsidRDefault="00EC5AE6" w:rsidP="00EC5AE6">
      <w:pPr>
        <w:widowControl w:val="0"/>
        <w:autoSpaceDE w:val="0"/>
        <w:autoSpaceDN w:val="0"/>
        <w:adjustRightInd w:val="0"/>
        <w:rPr>
          <w:rFonts w:ascii="Times New Roman" w:hAnsi="Times New Roman" w:cs="Times New Roman"/>
          <w:noProof/>
          <w:lang w:val="en-GB"/>
        </w:rPr>
      </w:pPr>
      <w:r>
        <w:rPr>
          <w:rFonts w:ascii="Times New Roman" w:hAnsi="Times New Roman" w:cs="Times New Roman"/>
          <w:color w:val="000000" w:themeColor="text1"/>
          <w:lang w:val="en-US"/>
        </w:rPr>
        <w:fldChar w:fldCharType="begin" w:fldLock="1"/>
      </w:r>
      <w:r>
        <w:rPr>
          <w:rFonts w:ascii="Times New Roman" w:hAnsi="Times New Roman" w:cs="Times New Roman"/>
          <w:color w:val="000000" w:themeColor="text1"/>
          <w:lang w:val="en-US"/>
        </w:rPr>
        <w:instrText xml:space="preserve">ADDIN Mendeley Bibliography CSL_BIBLIOGRAPHY </w:instrText>
      </w:r>
      <w:r>
        <w:rPr>
          <w:rFonts w:ascii="Times New Roman" w:hAnsi="Times New Roman" w:cs="Times New Roman"/>
          <w:color w:val="000000" w:themeColor="text1"/>
          <w:lang w:val="en-US"/>
        </w:rPr>
        <w:fldChar w:fldCharType="separate"/>
      </w:r>
      <w:r w:rsidRPr="00EC5AE6">
        <w:rPr>
          <w:rFonts w:ascii="Times New Roman" w:hAnsi="Times New Roman" w:cs="Times New Roman"/>
          <w:noProof/>
          <w:lang w:val="en-GB"/>
        </w:rPr>
        <w:t xml:space="preserve">Alves, P. N. </w:t>
      </w:r>
      <w:r w:rsidRPr="00EC5AE6">
        <w:rPr>
          <w:rFonts w:ascii="Times New Roman" w:hAnsi="Times New Roman" w:cs="Times New Roman"/>
          <w:i/>
          <w:iCs/>
          <w:noProof/>
          <w:lang w:val="en-GB"/>
        </w:rPr>
        <w:t>et al.</w:t>
      </w:r>
      <w:r w:rsidRPr="00EC5AE6">
        <w:rPr>
          <w:rFonts w:ascii="Times New Roman" w:hAnsi="Times New Roman" w:cs="Times New Roman"/>
          <w:noProof/>
          <w:lang w:val="en-GB"/>
        </w:rPr>
        <w:t xml:space="preserve"> (2019) ‘An improved neuroanatomical model of the default-mode network reconciles previous  neuroimaging and neuropathological findings.’, </w:t>
      </w:r>
      <w:r w:rsidRPr="00EC5AE6">
        <w:rPr>
          <w:rFonts w:ascii="Times New Roman" w:hAnsi="Times New Roman" w:cs="Times New Roman"/>
          <w:i/>
          <w:iCs/>
          <w:noProof/>
          <w:lang w:val="en-GB"/>
        </w:rPr>
        <w:t>Communications biology</w:t>
      </w:r>
      <w:r w:rsidRPr="00EC5AE6">
        <w:rPr>
          <w:rFonts w:ascii="Times New Roman" w:hAnsi="Times New Roman" w:cs="Times New Roman"/>
          <w:noProof/>
          <w:lang w:val="en-GB"/>
        </w:rPr>
        <w:t>, 2, p. 370. doi: 10.1038/s42003-019-0611-3.</w:t>
      </w:r>
    </w:p>
    <w:p w14:paraId="20506CE5" w14:textId="77777777" w:rsidR="00DC08E0" w:rsidRPr="00EC5AE6" w:rsidRDefault="00DC08E0" w:rsidP="00EC5AE6">
      <w:pPr>
        <w:widowControl w:val="0"/>
        <w:autoSpaceDE w:val="0"/>
        <w:autoSpaceDN w:val="0"/>
        <w:adjustRightInd w:val="0"/>
        <w:rPr>
          <w:rFonts w:ascii="Times New Roman" w:hAnsi="Times New Roman" w:cs="Times New Roman"/>
          <w:noProof/>
          <w:lang w:val="en-GB"/>
        </w:rPr>
      </w:pPr>
    </w:p>
    <w:p w14:paraId="49629ED2" w14:textId="77777777" w:rsidR="00EC5AE6" w:rsidRPr="00EC5AE6" w:rsidRDefault="00EC5AE6" w:rsidP="00EC5AE6">
      <w:pPr>
        <w:widowControl w:val="0"/>
        <w:autoSpaceDE w:val="0"/>
        <w:autoSpaceDN w:val="0"/>
        <w:adjustRightInd w:val="0"/>
        <w:rPr>
          <w:rFonts w:ascii="Times New Roman" w:hAnsi="Times New Roman" w:cs="Times New Roman"/>
          <w:noProof/>
        </w:rPr>
      </w:pPr>
      <w:r w:rsidRPr="00EC5AE6">
        <w:rPr>
          <w:rFonts w:ascii="Times New Roman" w:hAnsi="Times New Roman" w:cs="Times New Roman"/>
          <w:noProof/>
          <w:lang w:val="en-GB"/>
        </w:rPr>
        <w:t xml:space="preserve">Craddock, R. C. </w:t>
      </w:r>
      <w:r w:rsidRPr="00EC5AE6">
        <w:rPr>
          <w:rFonts w:ascii="Times New Roman" w:hAnsi="Times New Roman" w:cs="Times New Roman"/>
          <w:i/>
          <w:iCs/>
          <w:noProof/>
          <w:lang w:val="en-GB"/>
        </w:rPr>
        <w:t>et al.</w:t>
      </w:r>
      <w:r w:rsidRPr="00EC5AE6">
        <w:rPr>
          <w:rFonts w:ascii="Times New Roman" w:hAnsi="Times New Roman" w:cs="Times New Roman"/>
          <w:noProof/>
          <w:lang w:val="en-GB"/>
        </w:rPr>
        <w:t xml:space="preserve"> (2012) ‘A whole brain fMRI atlas generated via spatially constrained spectral clustering.’, </w:t>
      </w:r>
      <w:r w:rsidRPr="00EC5AE6">
        <w:rPr>
          <w:rFonts w:ascii="Times New Roman" w:hAnsi="Times New Roman" w:cs="Times New Roman"/>
          <w:i/>
          <w:iCs/>
          <w:noProof/>
          <w:lang w:val="en-GB"/>
        </w:rPr>
        <w:t>Human brain mapping</w:t>
      </w:r>
      <w:r w:rsidRPr="00EC5AE6">
        <w:rPr>
          <w:rFonts w:ascii="Times New Roman" w:hAnsi="Times New Roman" w:cs="Times New Roman"/>
          <w:noProof/>
          <w:lang w:val="en-GB"/>
        </w:rPr>
        <w:t>, 33(8), pp. 1914–1928. doi: 10.1002/hbm.21333.</w:t>
      </w:r>
    </w:p>
    <w:p w14:paraId="31DDCF79" w14:textId="6773B86D" w:rsidR="00BF7E5E" w:rsidRPr="007A44C7" w:rsidRDefault="00EC5AE6" w:rsidP="009D5CFB">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fldChar w:fldCharType="end"/>
      </w:r>
    </w:p>
    <w:sectPr w:rsidR="00BF7E5E" w:rsidRPr="007A44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roman"/>
    <w:notTrueType/>
    <w:pitch w:val="default"/>
  </w:font>
  <w:font w:name="Lucida Grande">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25BAC"/>
    <w:multiLevelType w:val="hybridMultilevel"/>
    <w:tmpl w:val="EAD4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0135AF"/>
    <w:multiLevelType w:val="hybridMultilevel"/>
    <w:tmpl w:val="614ADC42"/>
    <w:lvl w:ilvl="0" w:tplc="69FEA77A">
      <w:start w:val="1"/>
      <w:numFmt w:val="bullet"/>
      <w:lvlText w:val="•"/>
      <w:lvlJc w:val="left"/>
      <w:pPr>
        <w:tabs>
          <w:tab w:val="num" w:pos="720"/>
        </w:tabs>
        <w:ind w:left="720" w:hanging="360"/>
      </w:pPr>
      <w:rPr>
        <w:rFonts w:ascii="Arial" w:hAnsi="Arial" w:hint="default"/>
      </w:rPr>
    </w:lvl>
    <w:lvl w:ilvl="1" w:tplc="9D069302" w:tentative="1">
      <w:start w:val="1"/>
      <w:numFmt w:val="bullet"/>
      <w:lvlText w:val="•"/>
      <w:lvlJc w:val="left"/>
      <w:pPr>
        <w:tabs>
          <w:tab w:val="num" w:pos="1440"/>
        </w:tabs>
        <w:ind w:left="1440" w:hanging="360"/>
      </w:pPr>
      <w:rPr>
        <w:rFonts w:ascii="Arial" w:hAnsi="Arial" w:hint="default"/>
      </w:rPr>
    </w:lvl>
    <w:lvl w:ilvl="2" w:tplc="20D0500A" w:tentative="1">
      <w:start w:val="1"/>
      <w:numFmt w:val="bullet"/>
      <w:lvlText w:val="•"/>
      <w:lvlJc w:val="left"/>
      <w:pPr>
        <w:tabs>
          <w:tab w:val="num" w:pos="2160"/>
        </w:tabs>
        <w:ind w:left="2160" w:hanging="360"/>
      </w:pPr>
      <w:rPr>
        <w:rFonts w:ascii="Arial" w:hAnsi="Arial" w:hint="default"/>
      </w:rPr>
    </w:lvl>
    <w:lvl w:ilvl="3" w:tplc="1F789416" w:tentative="1">
      <w:start w:val="1"/>
      <w:numFmt w:val="bullet"/>
      <w:lvlText w:val="•"/>
      <w:lvlJc w:val="left"/>
      <w:pPr>
        <w:tabs>
          <w:tab w:val="num" w:pos="2880"/>
        </w:tabs>
        <w:ind w:left="2880" w:hanging="360"/>
      </w:pPr>
      <w:rPr>
        <w:rFonts w:ascii="Arial" w:hAnsi="Arial" w:hint="default"/>
      </w:rPr>
    </w:lvl>
    <w:lvl w:ilvl="4" w:tplc="7F9621DE" w:tentative="1">
      <w:start w:val="1"/>
      <w:numFmt w:val="bullet"/>
      <w:lvlText w:val="•"/>
      <w:lvlJc w:val="left"/>
      <w:pPr>
        <w:tabs>
          <w:tab w:val="num" w:pos="3600"/>
        </w:tabs>
        <w:ind w:left="3600" w:hanging="360"/>
      </w:pPr>
      <w:rPr>
        <w:rFonts w:ascii="Arial" w:hAnsi="Arial" w:hint="default"/>
      </w:rPr>
    </w:lvl>
    <w:lvl w:ilvl="5" w:tplc="A7E221A0" w:tentative="1">
      <w:start w:val="1"/>
      <w:numFmt w:val="bullet"/>
      <w:lvlText w:val="•"/>
      <w:lvlJc w:val="left"/>
      <w:pPr>
        <w:tabs>
          <w:tab w:val="num" w:pos="4320"/>
        </w:tabs>
        <w:ind w:left="4320" w:hanging="360"/>
      </w:pPr>
      <w:rPr>
        <w:rFonts w:ascii="Arial" w:hAnsi="Arial" w:hint="default"/>
      </w:rPr>
    </w:lvl>
    <w:lvl w:ilvl="6" w:tplc="605E5C12" w:tentative="1">
      <w:start w:val="1"/>
      <w:numFmt w:val="bullet"/>
      <w:lvlText w:val="•"/>
      <w:lvlJc w:val="left"/>
      <w:pPr>
        <w:tabs>
          <w:tab w:val="num" w:pos="5040"/>
        </w:tabs>
        <w:ind w:left="5040" w:hanging="360"/>
      </w:pPr>
      <w:rPr>
        <w:rFonts w:ascii="Arial" w:hAnsi="Arial" w:hint="default"/>
      </w:rPr>
    </w:lvl>
    <w:lvl w:ilvl="7" w:tplc="A4F00D2C" w:tentative="1">
      <w:start w:val="1"/>
      <w:numFmt w:val="bullet"/>
      <w:lvlText w:val="•"/>
      <w:lvlJc w:val="left"/>
      <w:pPr>
        <w:tabs>
          <w:tab w:val="num" w:pos="5760"/>
        </w:tabs>
        <w:ind w:left="5760" w:hanging="360"/>
      </w:pPr>
      <w:rPr>
        <w:rFonts w:ascii="Arial" w:hAnsi="Arial" w:hint="default"/>
      </w:rPr>
    </w:lvl>
    <w:lvl w:ilvl="8" w:tplc="C0B0C726" w:tentative="1">
      <w:start w:val="1"/>
      <w:numFmt w:val="bullet"/>
      <w:lvlText w:val="•"/>
      <w:lvlJc w:val="left"/>
      <w:pPr>
        <w:tabs>
          <w:tab w:val="num" w:pos="6480"/>
        </w:tabs>
        <w:ind w:left="6480" w:hanging="360"/>
      </w:pPr>
      <w:rPr>
        <w:rFonts w:ascii="Arial" w:hAnsi="Arial" w:hint="default"/>
      </w:rPr>
    </w:lvl>
  </w:abstractNum>
  <w:num w:numId="1" w16cid:durableId="576399252">
    <w:abstractNumId w:val="1"/>
  </w:num>
  <w:num w:numId="2" w16cid:durableId="2121485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F53"/>
    <w:rsid w:val="00013E56"/>
    <w:rsid w:val="00020326"/>
    <w:rsid w:val="0008059A"/>
    <w:rsid w:val="000921BD"/>
    <w:rsid w:val="000A0D8B"/>
    <w:rsid w:val="0012697A"/>
    <w:rsid w:val="001273BE"/>
    <w:rsid w:val="001316E8"/>
    <w:rsid w:val="00193F36"/>
    <w:rsid w:val="001B7653"/>
    <w:rsid w:val="001E0FDE"/>
    <w:rsid w:val="001F2545"/>
    <w:rsid w:val="001F381C"/>
    <w:rsid w:val="00391C9A"/>
    <w:rsid w:val="003A45F9"/>
    <w:rsid w:val="00445C09"/>
    <w:rsid w:val="00447F3D"/>
    <w:rsid w:val="00457B49"/>
    <w:rsid w:val="00465CA6"/>
    <w:rsid w:val="004746BD"/>
    <w:rsid w:val="00494899"/>
    <w:rsid w:val="00494C3B"/>
    <w:rsid w:val="004F5FE4"/>
    <w:rsid w:val="005337F4"/>
    <w:rsid w:val="00544930"/>
    <w:rsid w:val="00553678"/>
    <w:rsid w:val="00580672"/>
    <w:rsid w:val="005B72E8"/>
    <w:rsid w:val="005C5A7B"/>
    <w:rsid w:val="005E3E7D"/>
    <w:rsid w:val="005E7D31"/>
    <w:rsid w:val="0062350E"/>
    <w:rsid w:val="0062440E"/>
    <w:rsid w:val="00645973"/>
    <w:rsid w:val="00651D8C"/>
    <w:rsid w:val="00667CFA"/>
    <w:rsid w:val="006800F6"/>
    <w:rsid w:val="00693BE2"/>
    <w:rsid w:val="006B6CCA"/>
    <w:rsid w:val="006C6624"/>
    <w:rsid w:val="006F06E3"/>
    <w:rsid w:val="006F0886"/>
    <w:rsid w:val="0071255B"/>
    <w:rsid w:val="00737649"/>
    <w:rsid w:val="007410B3"/>
    <w:rsid w:val="00746610"/>
    <w:rsid w:val="00763AB6"/>
    <w:rsid w:val="00773993"/>
    <w:rsid w:val="00776F8C"/>
    <w:rsid w:val="00780FAC"/>
    <w:rsid w:val="00781288"/>
    <w:rsid w:val="00787940"/>
    <w:rsid w:val="007A44C7"/>
    <w:rsid w:val="007A7F19"/>
    <w:rsid w:val="007B2543"/>
    <w:rsid w:val="007C31A9"/>
    <w:rsid w:val="007C3E7B"/>
    <w:rsid w:val="007E7101"/>
    <w:rsid w:val="007F317C"/>
    <w:rsid w:val="007F6086"/>
    <w:rsid w:val="007F7048"/>
    <w:rsid w:val="00817821"/>
    <w:rsid w:val="00825F1D"/>
    <w:rsid w:val="00852B15"/>
    <w:rsid w:val="008829D0"/>
    <w:rsid w:val="00882DCE"/>
    <w:rsid w:val="00890627"/>
    <w:rsid w:val="008D3AB3"/>
    <w:rsid w:val="008E63B9"/>
    <w:rsid w:val="008F063A"/>
    <w:rsid w:val="00911838"/>
    <w:rsid w:val="00962A6A"/>
    <w:rsid w:val="00972DF1"/>
    <w:rsid w:val="00984225"/>
    <w:rsid w:val="009A1177"/>
    <w:rsid w:val="009C53BA"/>
    <w:rsid w:val="009D5CFB"/>
    <w:rsid w:val="00A14E90"/>
    <w:rsid w:val="00A9780C"/>
    <w:rsid w:val="00AA27D2"/>
    <w:rsid w:val="00AA6F53"/>
    <w:rsid w:val="00AD3354"/>
    <w:rsid w:val="00AD78F5"/>
    <w:rsid w:val="00AE71E5"/>
    <w:rsid w:val="00B0129A"/>
    <w:rsid w:val="00B20738"/>
    <w:rsid w:val="00B2228C"/>
    <w:rsid w:val="00B27580"/>
    <w:rsid w:val="00B27764"/>
    <w:rsid w:val="00B56FD0"/>
    <w:rsid w:val="00B76346"/>
    <w:rsid w:val="00B81BA7"/>
    <w:rsid w:val="00BD4DEF"/>
    <w:rsid w:val="00BE3A78"/>
    <w:rsid w:val="00BF00CA"/>
    <w:rsid w:val="00BF071A"/>
    <w:rsid w:val="00BF7E5E"/>
    <w:rsid w:val="00C22FFF"/>
    <w:rsid w:val="00C43424"/>
    <w:rsid w:val="00C814CA"/>
    <w:rsid w:val="00CC6A98"/>
    <w:rsid w:val="00D213E0"/>
    <w:rsid w:val="00D5111A"/>
    <w:rsid w:val="00D52315"/>
    <w:rsid w:val="00D55E38"/>
    <w:rsid w:val="00D660A2"/>
    <w:rsid w:val="00D92AE2"/>
    <w:rsid w:val="00D967A3"/>
    <w:rsid w:val="00DA1528"/>
    <w:rsid w:val="00DB2B5D"/>
    <w:rsid w:val="00DC08E0"/>
    <w:rsid w:val="00DF37E7"/>
    <w:rsid w:val="00E74F44"/>
    <w:rsid w:val="00E95575"/>
    <w:rsid w:val="00EC5AE6"/>
    <w:rsid w:val="00F042D5"/>
    <w:rsid w:val="00F46726"/>
    <w:rsid w:val="00F54D3C"/>
    <w:rsid w:val="00F57B14"/>
    <w:rsid w:val="00FA1047"/>
    <w:rsid w:val="00FA7C9A"/>
    <w:rsid w:val="00FC26AD"/>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102576"/>
  <w15:docId w15:val="{FF25EAB5-7618-AB4C-B169-ED58FBDE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z-Cyrl-U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F53"/>
  </w:style>
  <w:style w:type="paragraph" w:styleId="Heading1">
    <w:name w:val="heading 1"/>
    <w:basedOn w:val="Normal"/>
    <w:next w:val="Normal"/>
    <w:link w:val="Heading1Char"/>
    <w:uiPriority w:val="9"/>
    <w:qFormat/>
    <w:rsid w:val="00AA6F5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F7E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76F8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F5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F7E5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E7101"/>
    <w:rPr>
      <w:color w:val="0563C1" w:themeColor="hyperlink"/>
      <w:u w:val="single"/>
    </w:rPr>
  </w:style>
  <w:style w:type="character" w:customStyle="1" w:styleId="UnresolvedMention1">
    <w:name w:val="Unresolved Mention1"/>
    <w:basedOn w:val="DefaultParagraphFont"/>
    <w:uiPriority w:val="99"/>
    <w:semiHidden/>
    <w:unhideWhenUsed/>
    <w:rsid w:val="007E7101"/>
    <w:rPr>
      <w:color w:val="605E5C"/>
      <w:shd w:val="clear" w:color="auto" w:fill="E1DFDD"/>
    </w:rPr>
  </w:style>
  <w:style w:type="character" w:customStyle="1" w:styleId="Heading3Char">
    <w:name w:val="Heading 3 Char"/>
    <w:basedOn w:val="DefaultParagraphFont"/>
    <w:link w:val="Heading3"/>
    <w:uiPriority w:val="9"/>
    <w:rsid w:val="00776F8C"/>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410B3"/>
    <w:pPr>
      <w:ind w:left="720"/>
      <w:contextualSpacing/>
    </w:pPr>
    <w:rPr>
      <w:rFonts w:ascii="Times New Roman" w:eastAsia="Times New Roman" w:hAnsi="Times New Roman" w:cs="Times New Roman"/>
      <w:lang w:eastAsia="en-GB"/>
    </w:rPr>
  </w:style>
  <w:style w:type="table" w:styleId="TableGrid">
    <w:name w:val="Table Grid"/>
    <w:basedOn w:val="TableNormal"/>
    <w:uiPriority w:val="39"/>
    <w:rsid w:val="0089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7F19"/>
    <w:rPr>
      <w:sz w:val="18"/>
      <w:szCs w:val="18"/>
    </w:rPr>
  </w:style>
  <w:style w:type="paragraph" w:styleId="CommentText">
    <w:name w:val="annotation text"/>
    <w:basedOn w:val="Normal"/>
    <w:link w:val="CommentTextChar"/>
    <w:uiPriority w:val="99"/>
    <w:semiHidden/>
    <w:unhideWhenUsed/>
    <w:rsid w:val="007A7F19"/>
  </w:style>
  <w:style w:type="character" w:customStyle="1" w:styleId="CommentTextChar">
    <w:name w:val="Comment Text Char"/>
    <w:basedOn w:val="DefaultParagraphFont"/>
    <w:link w:val="CommentText"/>
    <w:uiPriority w:val="99"/>
    <w:semiHidden/>
    <w:rsid w:val="007A7F19"/>
    <w:rPr>
      <w:lang w:val="uz-Cyrl-UZ"/>
    </w:rPr>
  </w:style>
  <w:style w:type="paragraph" w:styleId="Revision">
    <w:name w:val="Revision"/>
    <w:hidden/>
    <w:uiPriority w:val="99"/>
    <w:semiHidden/>
    <w:rsid w:val="007A7F19"/>
  </w:style>
  <w:style w:type="table" w:customStyle="1" w:styleId="GridTable5Dark-Accent31">
    <w:name w:val="Grid Table 5 Dark - Accent 31"/>
    <w:basedOn w:val="TableNormal"/>
    <w:uiPriority w:val="50"/>
    <w:rsid w:val="001B76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BalloonText">
    <w:name w:val="Balloon Text"/>
    <w:basedOn w:val="Normal"/>
    <w:link w:val="BalloonTextChar"/>
    <w:uiPriority w:val="99"/>
    <w:semiHidden/>
    <w:unhideWhenUsed/>
    <w:rsid w:val="008E63B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63B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05253">
      <w:bodyDiv w:val="1"/>
      <w:marLeft w:val="0"/>
      <w:marRight w:val="0"/>
      <w:marTop w:val="0"/>
      <w:marBottom w:val="0"/>
      <w:divBdr>
        <w:top w:val="none" w:sz="0" w:space="0" w:color="auto"/>
        <w:left w:val="none" w:sz="0" w:space="0" w:color="auto"/>
        <w:bottom w:val="none" w:sz="0" w:space="0" w:color="auto"/>
        <w:right w:val="none" w:sz="0" w:space="0" w:color="auto"/>
      </w:divBdr>
      <w:divsChild>
        <w:div w:id="703211273">
          <w:marLeft w:val="446"/>
          <w:marRight w:val="0"/>
          <w:marTop w:val="0"/>
          <w:marBottom w:val="0"/>
          <w:divBdr>
            <w:top w:val="none" w:sz="0" w:space="0" w:color="auto"/>
            <w:left w:val="none" w:sz="0" w:space="0" w:color="auto"/>
            <w:bottom w:val="none" w:sz="0" w:space="0" w:color="auto"/>
            <w:right w:val="none" w:sz="0" w:space="0" w:color="auto"/>
          </w:divBdr>
        </w:div>
        <w:div w:id="374619413">
          <w:marLeft w:val="446"/>
          <w:marRight w:val="0"/>
          <w:marTop w:val="0"/>
          <w:marBottom w:val="0"/>
          <w:divBdr>
            <w:top w:val="none" w:sz="0" w:space="0" w:color="auto"/>
            <w:left w:val="none" w:sz="0" w:space="0" w:color="auto"/>
            <w:bottom w:val="none" w:sz="0" w:space="0" w:color="auto"/>
            <w:right w:val="none" w:sz="0" w:space="0" w:color="auto"/>
          </w:divBdr>
        </w:div>
        <w:div w:id="1271739646">
          <w:marLeft w:val="446"/>
          <w:marRight w:val="0"/>
          <w:marTop w:val="0"/>
          <w:marBottom w:val="0"/>
          <w:divBdr>
            <w:top w:val="none" w:sz="0" w:space="0" w:color="auto"/>
            <w:left w:val="none" w:sz="0" w:space="0" w:color="auto"/>
            <w:bottom w:val="none" w:sz="0" w:space="0" w:color="auto"/>
            <w:right w:val="none" w:sz="0" w:space="0" w:color="auto"/>
          </w:divBdr>
        </w:div>
        <w:div w:id="1946496403">
          <w:marLeft w:val="446"/>
          <w:marRight w:val="0"/>
          <w:marTop w:val="0"/>
          <w:marBottom w:val="0"/>
          <w:divBdr>
            <w:top w:val="none" w:sz="0" w:space="0" w:color="auto"/>
            <w:left w:val="none" w:sz="0" w:space="0" w:color="auto"/>
            <w:bottom w:val="none" w:sz="0" w:space="0" w:color="auto"/>
            <w:right w:val="none" w:sz="0" w:space="0" w:color="auto"/>
          </w:divBdr>
        </w:div>
        <w:div w:id="33149183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319D2-4C08-AC45-BDB2-4F6CC84C4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1844</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Dániel Veréb</dc:creator>
  <cp:keywords/>
  <dc:description/>
  <cp:lastModifiedBy>Dániel Veréb</cp:lastModifiedBy>
  <cp:revision>6</cp:revision>
  <dcterms:created xsi:type="dcterms:W3CDTF">2023-02-28T19:25:00Z</dcterms:created>
  <dcterms:modified xsi:type="dcterms:W3CDTF">2023-02-28T20:15:00Z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http://www.zotero.org/styles/cambridge-university-press-author-date</vt:lpwstr>
  </property>
  <property fmtid="{D5CDD505-2E9C-101B-9397-08002B2CF9AE}" pid="11" name="Mendeley Recent Style Name 4_1">
    <vt:lpwstr>Cambridge University Press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http://www.zotero.org/styles/neurology</vt:lpwstr>
  </property>
  <property fmtid="{D5CDD505-2E9C-101B-9397-08002B2CF9AE}" pid="19" name="Mendeley Recent Style Name 8_1">
    <vt:lpwstr>Neurology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77ad0ec3-4ccb-3821-80b5-92e9a0dd9173</vt:lpwstr>
  </property>
  <property fmtid="{D5CDD505-2E9C-101B-9397-08002B2CF9AE}" pid="24" name="Mendeley Citation Style_1">
    <vt:lpwstr>http://www.zotero.org/styles/harvard-cite-them-right</vt:lpwstr>
  </property>
</Properties>
</file>