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3B66B" w14:textId="3C2570B7" w:rsidR="005D4139" w:rsidRPr="004360D6" w:rsidRDefault="000611FF" w:rsidP="005D4139">
      <w:pPr>
        <w:pStyle w:val="Title"/>
        <w:jc w:val="center"/>
        <w:rPr>
          <w:rFonts w:ascii="Times New Roman" w:hAnsi="Times New Roman" w:cs="Times New Roman"/>
          <w:b/>
          <w:bCs/>
          <w:sz w:val="28"/>
          <w:szCs w:val="28"/>
          <w:lang w:val="en-GB"/>
        </w:rPr>
      </w:pPr>
      <w:r w:rsidRPr="004360D6">
        <w:rPr>
          <w:rFonts w:ascii="Times New Roman" w:hAnsi="Times New Roman" w:cs="Times New Roman"/>
          <w:b/>
          <w:bCs/>
          <w:sz w:val="28"/>
          <w:szCs w:val="28"/>
          <w:lang w:val="en-GB"/>
        </w:rPr>
        <w:t xml:space="preserve">Supplement for: </w:t>
      </w:r>
      <w:r w:rsidR="005D4139" w:rsidRPr="004360D6">
        <w:rPr>
          <w:rFonts w:ascii="Times New Roman" w:hAnsi="Times New Roman" w:cs="Times New Roman"/>
          <w:b/>
          <w:bCs/>
          <w:sz w:val="28"/>
          <w:szCs w:val="28"/>
          <w:lang w:val="en-GB"/>
        </w:rPr>
        <w:t>Entorhinal cortex epigenome-wide association study highlights four novel loci showing differential methylation in Alzheimer’s disease</w:t>
      </w:r>
    </w:p>
    <w:p w14:paraId="60D42BC7" w14:textId="77777777" w:rsidR="00E761D2" w:rsidRPr="004360D6" w:rsidRDefault="00E761D2" w:rsidP="00E761D2">
      <w:pPr>
        <w:spacing w:after="0" w:line="360" w:lineRule="auto"/>
        <w:jc w:val="center"/>
        <w:rPr>
          <w:rFonts w:ascii="Times New Roman" w:hAnsi="Times New Roman" w:cs="Times New Roman"/>
          <w:b/>
          <w:bCs/>
          <w:color w:val="000000" w:themeColor="text1"/>
          <w:sz w:val="24"/>
          <w:szCs w:val="24"/>
          <w:lang w:val="en-GB"/>
        </w:rPr>
      </w:pPr>
    </w:p>
    <w:p w14:paraId="46A06DC0" w14:textId="77777777" w:rsidR="00E761D2" w:rsidRPr="004360D6" w:rsidRDefault="00E761D2" w:rsidP="00E761D2">
      <w:pPr>
        <w:spacing w:after="0" w:line="360" w:lineRule="auto"/>
        <w:jc w:val="center"/>
        <w:rPr>
          <w:rFonts w:ascii="Times New Roman" w:hAnsi="Times New Roman" w:cs="Times New Roman"/>
          <w:bCs/>
          <w:color w:val="000000" w:themeColor="text1"/>
          <w:sz w:val="24"/>
          <w:szCs w:val="24"/>
          <w:lang w:val="en-GB"/>
        </w:rPr>
      </w:pPr>
      <w:r w:rsidRPr="004360D6">
        <w:rPr>
          <w:rFonts w:ascii="Times New Roman" w:hAnsi="Times New Roman" w:cs="Times New Roman"/>
          <w:bCs/>
          <w:color w:val="000000" w:themeColor="text1"/>
          <w:sz w:val="24"/>
          <w:szCs w:val="24"/>
          <w:lang w:val="en-GB"/>
        </w:rPr>
        <w:t>Yasmine Sommerer</w:t>
      </w:r>
      <w:r w:rsidRPr="004360D6">
        <w:rPr>
          <w:rFonts w:ascii="Times New Roman" w:hAnsi="Times New Roman" w:cs="Times New Roman"/>
          <w:bCs/>
          <w:color w:val="000000" w:themeColor="text1"/>
          <w:sz w:val="24"/>
          <w:szCs w:val="24"/>
          <w:vertAlign w:val="superscript"/>
          <w:lang w:val="en-GB"/>
        </w:rPr>
        <w:t>1</w:t>
      </w:r>
      <w:r w:rsidRPr="004360D6">
        <w:rPr>
          <w:rFonts w:ascii="Times New Roman" w:hAnsi="Times New Roman" w:cs="Times New Roman"/>
          <w:bCs/>
          <w:color w:val="000000" w:themeColor="text1"/>
          <w:sz w:val="24"/>
          <w:szCs w:val="24"/>
          <w:lang w:val="en-GB"/>
        </w:rPr>
        <w:t xml:space="preserve">, </w:t>
      </w:r>
      <w:r w:rsidRPr="004360D6">
        <w:rPr>
          <w:rFonts w:ascii="Times New Roman" w:hAnsi="Times New Roman" w:cs="Times New Roman"/>
          <w:bCs/>
          <w:sz w:val="24"/>
          <w:szCs w:val="24"/>
          <w:lang w:val="en-GB"/>
        </w:rPr>
        <w:t>Valerija Dobricic</w:t>
      </w:r>
      <w:r w:rsidRPr="004360D6">
        <w:rPr>
          <w:rFonts w:ascii="Times New Roman" w:hAnsi="Times New Roman" w:cs="Times New Roman"/>
          <w:bCs/>
          <w:color w:val="000000" w:themeColor="text1"/>
          <w:sz w:val="24"/>
          <w:szCs w:val="24"/>
          <w:vertAlign w:val="superscript"/>
          <w:lang w:val="en-GB"/>
        </w:rPr>
        <w:t>1</w:t>
      </w:r>
      <w:r w:rsidRPr="004360D6">
        <w:rPr>
          <w:rFonts w:ascii="Times New Roman" w:hAnsi="Times New Roman" w:cs="Times New Roman"/>
          <w:bCs/>
          <w:color w:val="000000" w:themeColor="text1"/>
          <w:sz w:val="24"/>
          <w:szCs w:val="24"/>
          <w:lang w:val="en-GB"/>
        </w:rPr>
        <w:t>, Marcel Schilling</w:t>
      </w:r>
      <w:r w:rsidRPr="004360D6">
        <w:rPr>
          <w:rFonts w:ascii="Times New Roman" w:hAnsi="Times New Roman" w:cs="Times New Roman"/>
          <w:bCs/>
          <w:color w:val="000000" w:themeColor="text1"/>
          <w:sz w:val="24"/>
          <w:szCs w:val="24"/>
          <w:vertAlign w:val="superscript"/>
          <w:lang w:val="en-GB"/>
        </w:rPr>
        <w:t>1</w:t>
      </w:r>
      <w:r w:rsidRPr="004360D6">
        <w:rPr>
          <w:rFonts w:ascii="Times New Roman" w:hAnsi="Times New Roman" w:cs="Times New Roman"/>
          <w:bCs/>
          <w:color w:val="000000" w:themeColor="text1"/>
          <w:sz w:val="24"/>
          <w:szCs w:val="24"/>
          <w:lang w:val="en-GB"/>
        </w:rPr>
        <w:t>, Olena Ohlei</w:t>
      </w:r>
      <w:r w:rsidRPr="004360D6">
        <w:rPr>
          <w:rFonts w:ascii="Times New Roman" w:hAnsi="Times New Roman" w:cs="Times New Roman"/>
          <w:bCs/>
          <w:color w:val="000000" w:themeColor="text1"/>
          <w:sz w:val="24"/>
          <w:szCs w:val="24"/>
          <w:vertAlign w:val="superscript"/>
          <w:lang w:val="en-GB"/>
        </w:rPr>
        <w:t>1</w:t>
      </w:r>
      <w:r w:rsidRPr="004360D6">
        <w:rPr>
          <w:rFonts w:ascii="Times New Roman" w:hAnsi="Times New Roman" w:cs="Times New Roman"/>
          <w:bCs/>
          <w:color w:val="000000" w:themeColor="text1"/>
          <w:sz w:val="24"/>
          <w:szCs w:val="24"/>
          <w:lang w:val="en-GB"/>
        </w:rPr>
        <w:t xml:space="preserve">, </w:t>
      </w:r>
      <w:r w:rsidRPr="004360D6">
        <w:rPr>
          <w:rFonts w:ascii="Times New Roman" w:hAnsi="Times New Roman" w:cs="Times New Roman"/>
          <w:sz w:val="24"/>
          <w:szCs w:val="24"/>
          <w:lang w:val="en-GB"/>
        </w:rPr>
        <w:t>Sanaz Sedghpour Sabet</w:t>
      </w:r>
      <w:r w:rsidRPr="004360D6">
        <w:rPr>
          <w:rFonts w:ascii="Times New Roman" w:hAnsi="Times New Roman" w:cs="Times New Roman"/>
          <w:sz w:val="24"/>
          <w:szCs w:val="24"/>
          <w:vertAlign w:val="superscript"/>
          <w:lang w:val="en-GB"/>
        </w:rPr>
        <w:t>2</w:t>
      </w:r>
      <w:r w:rsidRPr="004360D6">
        <w:rPr>
          <w:rFonts w:ascii="Times New Roman" w:hAnsi="Times New Roman" w:cs="Times New Roman"/>
          <w:sz w:val="24"/>
          <w:szCs w:val="24"/>
          <w:lang w:val="en-GB"/>
        </w:rPr>
        <w:t>, Tanja Wesse</w:t>
      </w:r>
      <w:r w:rsidRPr="004360D6">
        <w:rPr>
          <w:rFonts w:ascii="Times New Roman" w:hAnsi="Times New Roman" w:cs="Times New Roman"/>
          <w:sz w:val="24"/>
          <w:szCs w:val="24"/>
          <w:vertAlign w:val="superscript"/>
          <w:lang w:val="en-GB"/>
        </w:rPr>
        <w:t>2</w:t>
      </w:r>
      <w:r w:rsidRPr="004360D6">
        <w:rPr>
          <w:rFonts w:ascii="Times New Roman" w:hAnsi="Times New Roman" w:cs="Times New Roman"/>
          <w:sz w:val="24"/>
          <w:szCs w:val="24"/>
          <w:lang w:val="en-GB"/>
        </w:rPr>
        <w:t>, Janina Fuß</w:t>
      </w:r>
      <w:r w:rsidRPr="004360D6">
        <w:rPr>
          <w:rFonts w:ascii="Times New Roman" w:hAnsi="Times New Roman" w:cs="Times New Roman"/>
          <w:sz w:val="24"/>
          <w:szCs w:val="24"/>
          <w:vertAlign w:val="superscript"/>
          <w:lang w:val="en-GB"/>
        </w:rPr>
        <w:t>2</w:t>
      </w:r>
      <w:r w:rsidRPr="004360D6">
        <w:rPr>
          <w:rFonts w:ascii="Times New Roman" w:hAnsi="Times New Roman" w:cs="Times New Roman"/>
          <w:sz w:val="24"/>
          <w:szCs w:val="24"/>
          <w:lang w:val="en-GB"/>
        </w:rPr>
        <w:t>, Sören Franzenburg</w:t>
      </w:r>
      <w:r w:rsidRPr="004360D6">
        <w:rPr>
          <w:rFonts w:ascii="Times New Roman" w:hAnsi="Times New Roman" w:cs="Times New Roman"/>
          <w:sz w:val="24"/>
          <w:szCs w:val="24"/>
          <w:vertAlign w:val="superscript"/>
          <w:lang w:val="en-GB"/>
        </w:rPr>
        <w:t>2</w:t>
      </w:r>
      <w:r w:rsidRPr="004360D6">
        <w:rPr>
          <w:rFonts w:ascii="Times New Roman" w:hAnsi="Times New Roman" w:cs="Times New Roman"/>
          <w:sz w:val="24"/>
          <w:szCs w:val="24"/>
          <w:lang w:val="en-GB"/>
        </w:rPr>
        <w:t>, Andre Franke</w:t>
      </w:r>
      <w:r w:rsidRPr="004360D6">
        <w:rPr>
          <w:rFonts w:ascii="Times New Roman" w:hAnsi="Times New Roman" w:cs="Times New Roman"/>
          <w:sz w:val="24"/>
          <w:szCs w:val="24"/>
          <w:vertAlign w:val="superscript"/>
          <w:lang w:val="en-GB"/>
        </w:rPr>
        <w:t>2</w:t>
      </w:r>
      <w:r w:rsidRPr="004360D6">
        <w:rPr>
          <w:rFonts w:ascii="Times New Roman" w:hAnsi="Times New Roman" w:cs="Times New Roman"/>
          <w:bCs/>
          <w:color w:val="000000" w:themeColor="text1"/>
          <w:sz w:val="24"/>
          <w:szCs w:val="24"/>
          <w:lang w:val="en-GB"/>
        </w:rPr>
        <w:t>, Laura Parkkinen</w:t>
      </w:r>
      <w:r w:rsidRPr="004360D6">
        <w:rPr>
          <w:rFonts w:ascii="Times New Roman" w:hAnsi="Times New Roman" w:cs="Times New Roman"/>
          <w:bCs/>
          <w:color w:val="000000" w:themeColor="text1"/>
          <w:sz w:val="24"/>
          <w:szCs w:val="24"/>
          <w:vertAlign w:val="superscript"/>
          <w:lang w:val="en-GB"/>
        </w:rPr>
        <w:t>3</w:t>
      </w:r>
      <w:r w:rsidRPr="004360D6">
        <w:rPr>
          <w:rFonts w:ascii="Times New Roman" w:hAnsi="Times New Roman" w:cs="Times New Roman"/>
          <w:bCs/>
          <w:color w:val="000000" w:themeColor="text1"/>
          <w:sz w:val="24"/>
          <w:szCs w:val="24"/>
          <w:lang w:val="en-GB"/>
        </w:rPr>
        <w:t>, Christina M. Lill</w:t>
      </w:r>
      <w:r w:rsidRPr="004360D6">
        <w:rPr>
          <w:rFonts w:ascii="Times New Roman" w:hAnsi="Times New Roman" w:cs="Times New Roman"/>
          <w:bCs/>
          <w:color w:val="000000" w:themeColor="text1"/>
          <w:sz w:val="24"/>
          <w:szCs w:val="24"/>
          <w:vertAlign w:val="superscript"/>
          <w:lang w:val="en-GB"/>
        </w:rPr>
        <w:t>1,4</w:t>
      </w:r>
      <w:r w:rsidRPr="004360D6">
        <w:rPr>
          <w:rFonts w:ascii="Times New Roman" w:hAnsi="Times New Roman" w:cs="Times New Roman"/>
          <w:bCs/>
          <w:color w:val="000000" w:themeColor="text1"/>
          <w:sz w:val="24"/>
          <w:szCs w:val="24"/>
          <w:lang w:val="en-GB"/>
        </w:rPr>
        <w:t>,</w:t>
      </w:r>
      <w:r w:rsidRPr="004360D6">
        <w:rPr>
          <w:rFonts w:ascii="Times New Roman" w:hAnsi="Times New Roman" w:cs="Times New Roman"/>
          <w:bCs/>
          <w:color w:val="000000" w:themeColor="text1"/>
          <w:sz w:val="24"/>
          <w:szCs w:val="24"/>
          <w:vertAlign w:val="superscript"/>
          <w:lang w:val="en-GB"/>
        </w:rPr>
        <w:t xml:space="preserve"> </w:t>
      </w:r>
      <w:r w:rsidRPr="004360D6">
        <w:rPr>
          <w:rFonts w:ascii="Times New Roman" w:hAnsi="Times New Roman" w:cs="Times New Roman"/>
          <w:bCs/>
          <w:color w:val="000000" w:themeColor="text1"/>
          <w:sz w:val="24"/>
          <w:szCs w:val="24"/>
          <w:lang w:val="en-GB"/>
        </w:rPr>
        <w:t>Lars Bertram</w:t>
      </w:r>
      <w:r w:rsidRPr="004360D6">
        <w:rPr>
          <w:rFonts w:ascii="Times New Roman" w:hAnsi="Times New Roman" w:cs="Times New Roman"/>
          <w:bCs/>
          <w:color w:val="000000" w:themeColor="text1"/>
          <w:sz w:val="24"/>
          <w:szCs w:val="24"/>
          <w:vertAlign w:val="superscript"/>
          <w:lang w:val="en-GB"/>
        </w:rPr>
        <w:t>1,5</w:t>
      </w:r>
    </w:p>
    <w:p w14:paraId="63CDDC91" w14:textId="77777777" w:rsidR="000611FF" w:rsidRPr="004360D6" w:rsidRDefault="000611FF" w:rsidP="004C2003">
      <w:pPr>
        <w:pStyle w:val="Heading1"/>
        <w:rPr>
          <w:lang w:val="en-GB"/>
        </w:rPr>
      </w:pPr>
    </w:p>
    <w:p w14:paraId="6B12BCA1" w14:textId="6B939498" w:rsidR="00FD7575" w:rsidRPr="004360D6" w:rsidRDefault="008B7FE3" w:rsidP="004C2003">
      <w:pPr>
        <w:pStyle w:val="Heading1"/>
        <w:rPr>
          <w:lang w:val="en-GB"/>
        </w:rPr>
      </w:pPr>
      <w:r w:rsidRPr="004360D6">
        <w:rPr>
          <w:lang w:val="en-GB"/>
        </w:rPr>
        <w:t>Supplementary Methods</w:t>
      </w:r>
    </w:p>
    <w:p w14:paraId="16E4606F" w14:textId="63B9D44F" w:rsidR="00AB49CD" w:rsidRPr="004360D6" w:rsidRDefault="00AB49CD" w:rsidP="00AB49CD">
      <w:pPr>
        <w:pStyle w:val="Heading2"/>
        <w:rPr>
          <w:rFonts w:cs="Times New Roman"/>
          <w:i w:val="0"/>
          <w:iCs/>
          <w:szCs w:val="24"/>
          <w:lang w:val="en-GB"/>
        </w:rPr>
      </w:pPr>
      <w:r w:rsidRPr="004360D6">
        <w:rPr>
          <w:rFonts w:cs="Times New Roman"/>
          <w:iCs/>
          <w:szCs w:val="24"/>
          <w:lang w:val="en-GB"/>
        </w:rPr>
        <w:t>DNA and RNA extraction and processing</w:t>
      </w:r>
    </w:p>
    <w:p w14:paraId="52544FE0" w14:textId="4607E35B" w:rsidR="00AB49CD" w:rsidRPr="004360D6" w:rsidRDefault="00AB49CD" w:rsidP="00AB49CD">
      <w:pPr>
        <w:spacing w:line="480" w:lineRule="auto"/>
        <w:jc w:val="both"/>
        <w:rPr>
          <w:rFonts w:ascii="Times New Roman" w:hAnsi="Times New Roman" w:cs="Times New Roman"/>
          <w:iCs/>
          <w:color w:val="000000" w:themeColor="text1"/>
          <w:sz w:val="24"/>
          <w:szCs w:val="24"/>
          <w:lang w:val="en-GB"/>
        </w:rPr>
      </w:pPr>
      <w:r w:rsidRPr="004360D6">
        <w:rPr>
          <w:rFonts w:ascii="Times New Roman" w:hAnsi="Times New Roman" w:cs="Times New Roman"/>
          <w:iCs/>
          <w:color w:val="000000" w:themeColor="text1"/>
          <w:sz w:val="24"/>
          <w:szCs w:val="24"/>
          <w:lang w:val="en-GB"/>
        </w:rPr>
        <w:t xml:space="preserve">For 183 </w:t>
      </w:r>
      <w:r w:rsidR="0063733A" w:rsidRPr="004360D6">
        <w:rPr>
          <w:rFonts w:ascii="Times New Roman" w:hAnsi="Times New Roman" w:cs="Times New Roman"/>
          <w:iCs/>
          <w:color w:val="000000" w:themeColor="text1"/>
          <w:sz w:val="24"/>
          <w:szCs w:val="24"/>
          <w:lang w:val="en-GB"/>
        </w:rPr>
        <w:t>entorhinal cortex (</w:t>
      </w:r>
      <w:r w:rsidRPr="004360D6">
        <w:rPr>
          <w:rFonts w:ascii="Times New Roman" w:hAnsi="Times New Roman" w:cs="Times New Roman"/>
          <w:iCs/>
          <w:color w:val="000000" w:themeColor="text1"/>
          <w:sz w:val="24"/>
          <w:szCs w:val="24"/>
          <w:lang w:val="en-GB"/>
        </w:rPr>
        <w:t>EC</w:t>
      </w:r>
      <w:r w:rsidR="0063733A" w:rsidRPr="004360D6">
        <w:rPr>
          <w:rFonts w:ascii="Times New Roman" w:hAnsi="Times New Roman" w:cs="Times New Roman"/>
          <w:iCs/>
          <w:color w:val="000000" w:themeColor="text1"/>
          <w:sz w:val="24"/>
          <w:szCs w:val="24"/>
          <w:lang w:val="en-GB"/>
        </w:rPr>
        <w:t>)</w:t>
      </w:r>
      <w:r w:rsidRPr="004360D6">
        <w:rPr>
          <w:rFonts w:ascii="Times New Roman" w:hAnsi="Times New Roman" w:cs="Times New Roman"/>
          <w:iCs/>
          <w:color w:val="000000" w:themeColor="text1"/>
          <w:sz w:val="24"/>
          <w:szCs w:val="24"/>
          <w:lang w:val="en-GB"/>
        </w:rPr>
        <w:t xml:space="preserve"> samples, genomic DNA and total RNA were extracted from approximately 50mg and 25mg of frozen tissue, respectively. DNA extraction was performed using the </w:t>
      </w:r>
      <w:proofErr w:type="spellStart"/>
      <w:r w:rsidRPr="004360D6">
        <w:rPr>
          <w:rFonts w:ascii="Times New Roman" w:hAnsi="Times New Roman" w:cs="Times New Roman"/>
          <w:iCs/>
          <w:color w:val="000000" w:themeColor="text1"/>
          <w:sz w:val="24"/>
          <w:szCs w:val="24"/>
          <w:lang w:val="en-GB"/>
        </w:rPr>
        <w:t>DNeasy</w:t>
      </w:r>
      <w:proofErr w:type="spellEnd"/>
      <w:r w:rsidRPr="004360D6">
        <w:rPr>
          <w:rFonts w:ascii="Times New Roman" w:hAnsi="Times New Roman" w:cs="Times New Roman"/>
          <w:iCs/>
          <w:color w:val="000000" w:themeColor="text1"/>
          <w:sz w:val="24"/>
          <w:szCs w:val="24"/>
          <w:lang w:val="en-GB"/>
        </w:rPr>
        <w:t xml:space="preserve"> Blood &amp; Tissue Kit (Qiagen, Hilden, Germany), while for total RNA, we used the </w:t>
      </w:r>
      <w:proofErr w:type="spellStart"/>
      <w:r w:rsidRPr="004360D6">
        <w:rPr>
          <w:rFonts w:ascii="Times New Roman" w:hAnsi="Times New Roman" w:cs="Times New Roman"/>
          <w:iCs/>
          <w:color w:val="000000" w:themeColor="text1"/>
          <w:sz w:val="24"/>
          <w:szCs w:val="24"/>
          <w:lang w:val="en-GB"/>
        </w:rPr>
        <w:t>mirVana</w:t>
      </w:r>
      <w:proofErr w:type="spellEnd"/>
      <w:r w:rsidRPr="004360D6">
        <w:rPr>
          <w:rFonts w:ascii="Times New Roman" w:hAnsi="Times New Roman" w:cs="Times New Roman"/>
          <w:iCs/>
          <w:color w:val="000000" w:themeColor="text1"/>
          <w:sz w:val="24"/>
          <w:szCs w:val="24"/>
          <w:lang w:val="en-GB"/>
        </w:rPr>
        <w:t xml:space="preserve"> miRNA kit (</w:t>
      </w:r>
      <w:proofErr w:type="spellStart"/>
      <w:r w:rsidRPr="004360D6">
        <w:rPr>
          <w:rFonts w:ascii="Times New Roman" w:hAnsi="Times New Roman" w:cs="Times New Roman"/>
          <w:iCs/>
          <w:color w:val="000000" w:themeColor="text1"/>
          <w:sz w:val="24"/>
          <w:szCs w:val="24"/>
          <w:lang w:val="en-GB"/>
        </w:rPr>
        <w:t>Thermo</w:t>
      </w:r>
      <w:proofErr w:type="spellEnd"/>
      <w:r w:rsidRPr="004360D6">
        <w:rPr>
          <w:rFonts w:ascii="Times New Roman" w:hAnsi="Times New Roman" w:cs="Times New Roman"/>
          <w:iCs/>
          <w:color w:val="000000" w:themeColor="text1"/>
          <w:sz w:val="24"/>
          <w:szCs w:val="24"/>
          <w:lang w:val="en-GB"/>
        </w:rPr>
        <w:t xml:space="preserve"> Fisher Scientific, USA). All extraction steps were carried out</w:t>
      </w:r>
      <w:r w:rsidRPr="004360D6">
        <w:rPr>
          <w:lang w:val="en-US"/>
        </w:rPr>
        <w:t xml:space="preserve"> </w:t>
      </w:r>
      <w:r w:rsidRPr="004360D6">
        <w:rPr>
          <w:rFonts w:ascii="Times New Roman" w:hAnsi="Times New Roman" w:cs="Times New Roman"/>
          <w:iCs/>
          <w:color w:val="000000" w:themeColor="text1"/>
          <w:sz w:val="24"/>
          <w:szCs w:val="24"/>
          <w:lang w:val="en-GB"/>
        </w:rPr>
        <w:t xml:space="preserve">according to manufacturer’s instructions. DNA and RNA were quantified using a </w:t>
      </w:r>
      <w:proofErr w:type="spellStart"/>
      <w:r w:rsidRPr="004360D6">
        <w:rPr>
          <w:rFonts w:ascii="Times New Roman" w:hAnsi="Times New Roman" w:cs="Times New Roman"/>
          <w:iCs/>
          <w:color w:val="000000" w:themeColor="text1"/>
          <w:sz w:val="24"/>
          <w:szCs w:val="24"/>
          <w:lang w:val="en-GB"/>
        </w:rPr>
        <w:t>NanoDrop</w:t>
      </w:r>
      <w:proofErr w:type="spellEnd"/>
      <w:r w:rsidRPr="004360D6">
        <w:rPr>
          <w:rFonts w:ascii="Times New Roman" w:hAnsi="Times New Roman" w:cs="Times New Roman"/>
          <w:iCs/>
          <w:color w:val="000000" w:themeColor="text1"/>
          <w:sz w:val="24"/>
          <w:szCs w:val="24"/>
          <w:lang w:val="en-GB"/>
        </w:rPr>
        <w:t xml:space="preserve"> ONE spectrophotometer (</w:t>
      </w:r>
      <w:proofErr w:type="spellStart"/>
      <w:r w:rsidRPr="004360D6">
        <w:rPr>
          <w:rFonts w:ascii="Times New Roman" w:hAnsi="Times New Roman" w:cs="Times New Roman"/>
          <w:iCs/>
          <w:color w:val="000000" w:themeColor="text1"/>
          <w:sz w:val="24"/>
          <w:szCs w:val="24"/>
          <w:lang w:val="en-GB"/>
        </w:rPr>
        <w:t>Thermo</w:t>
      </w:r>
      <w:proofErr w:type="spellEnd"/>
      <w:r w:rsidRPr="004360D6">
        <w:rPr>
          <w:rFonts w:ascii="Times New Roman" w:hAnsi="Times New Roman" w:cs="Times New Roman"/>
          <w:iCs/>
          <w:color w:val="000000" w:themeColor="text1"/>
          <w:sz w:val="24"/>
          <w:szCs w:val="24"/>
          <w:lang w:val="en-GB"/>
        </w:rPr>
        <w:t xml:space="preserve"> Fisher Scientific). In addition, RNA integrity was assessed using a Bioanalyzer 2100 instrument and the RNA 6000 Nano </w:t>
      </w:r>
      <w:proofErr w:type="spellStart"/>
      <w:r w:rsidRPr="004360D6">
        <w:rPr>
          <w:rFonts w:ascii="Times New Roman" w:hAnsi="Times New Roman" w:cs="Times New Roman"/>
          <w:iCs/>
          <w:color w:val="000000" w:themeColor="text1"/>
          <w:sz w:val="24"/>
          <w:szCs w:val="24"/>
          <w:lang w:val="en-GB"/>
        </w:rPr>
        <w:t>LabChip</w:t>
      </w:r>
      <w:proofErr w:type="spellEnd"/>
      <w:r w:rsidRPr="004360D6">
        <w:rPr>
          <w:rFonts w:ascii="Times New Roman" w:hAnsi="Times New Roman" w:cs="Times New Roman"/>
          <w:iCs/>
          <w:color w:val="000000" w:themeColor="text1"/>
          <w:sz w:val="24"/>
          <w:szCs w:val="24"/>
          <w:lang w:val="en-GB"/>
        </w:rPr>
        <w:t xml:space="preserve"> kit (Agilent Technologies, USA).</w:t>
      </w:r>
    </w:p>
    <w:p w14:paraId="07891E25" w14:textId="77777777" w:rsidR="00AB49CD" w:rsidRPr="004360D6" w:rsidRDefault="00AB49CD" w:rsidP="00AB49CD">
      <w:pPr>
        <w:pStyle w:val="Heading2"/>
        <w:rPr>
          <w:rFonts w:cs="Times New Roman"/>
          <w:i w:val="0"/>
          <w:iCs/>
          <w:szCs w:val="24"/>
          <w:lang w:val="en-GB"/>
        </w:rPr>
      </w:pPr>
      <w:r w:rsidRPr="004360D6">
        <w:rPr>
          <w:rFonts w:cs="Times New Roman"/>
          <w:iCs/>
          <w:szCs w:val="24"/>
          <w:lang w:val="en-GB"/>
        </w:rPr>
        <w:t>EPIC array profiling</w:t>
      </w:r>
    </w:p>
    <w:p w14:paraId="325615C8" w14:textId="7DA371E5" w:rsidR="00AB49CD" w:rsidRPr="004360D6" w:rsidRDefault="005F6E46" w:rsidP="00AB49CD">
      <w:pPr>
        <w:spacing w:line="480" w:lineRule="auto"/>
        <w:jc w:val="both"/>
        <w:rPr>
          <w:rFonts w:ascii="Times New Roman" w:hAnsi="Times New Roman" w:cs="Times New Roman"/>
          <w:sz w:val="24"/>
          <w:szCs w:val="24"/>
          <w:lang w:val="en-GB"/>
        </w:rPr>
      </w:pPr>
      <w:r w:rsidRPr="004360D6">
        <w:rPr>
          <w:rFonts w:ascii="Times New Roman" w:hAnsi="Times New Roman" w:cs="Times New Roman"/>
          <w:sz w:val="24"/>
          <w:szCs w:val="24"/>
          <w:lang w:val="en-GB"/>
        </w:rPr>
        <w:t>DNA methylation (</w:t>
      </w:r>
      <w:proofErr w:type="spellStart"/>
      <w:r w:rsidR="00AB49CD" w:rsidRPr="004360D6">
        <w:rPr>
          <w:rFonts w:ascii="Times New Roman" w:hAnsi="Times New Roman" w:cs="Times New Roman"/>
          <w:sz w:val="24"/>
          <w:szCs w:val="24"/>
          <w:lang w:val="en-GB"/>
        </w:rPr>
        <w:t>DNAm</w:t>
      </w:r>
      <w:proofErr w:type="spellEnd"/>
      <w:r w:rsidRPr="004360D6">
        <w:rPr>
          <w:rFonts w:ascii="Times New Roman" w:hAnsi="Times New Roman" w:cs="Times New Roman"/>
          <w:sz w:val="24"/>
          <w:szCs w:val="24"/>
          <w:lang w:val="en-GB"/>
        </w:rPr>
        <w:t>)</w:t>
      </w:r>
      <w:r w:rsidR="00AB49CD" w:rsidRPr="004360D6">
        <w:rPr>
          <w:rFonts w:ascii="Times New Roman" w:hAnsi="Times New Roman" w:cs="Times New Roman"/>
          <w:sz w:val="24"/>
          <w:szCs w:val="24"/>
          <w:lang w:val="en-GB"/>
        </w:rPr>
        <w:t xml:space="preserve"> profiling was performed using the “Infinium </w:t>
      </w:r>
      <w:proofErr w:type="spellStart"/>
      <w:r w:rsidR="00AB49CD" w:rsidRPr="004360D6">
        <w:rPr>
          <w:rFonts w:ascii="Times New Roman" w:hAnsi="Times New Roman" w:cs="Times New Roman"/>
          <w:sz w:val="24"/>
          <w:szCs w:val="24"/>
          <w:lang w:val="en-GB"/>
        </w:rPr>
        <w:t>MethylationEPIC</w:t>
      </w:r>
      <w:proofErr w:type="spellEnd"/>
      <w:r w:rsidR="00AB49CD" w:rsidRPr="004360D6">
        <w:rPr>
          <w:rFonts w:ascii="Times New Roman" w:hAnsi="Times New Roman" w:cs="Times New Roman"/>
          <w:sz w:val="24"/>
          <w:szCs w:val="24"/>
          <w:lang w:val="en-GB"/>
        </w:rPr>
        <w:t>” array (Illumina, Inc.) on aliquots of DNA extracts diluted to ~50ng/µl concentration.</w:t>
      </w:r>
      <w:r w:rsidR="005436BC" w:rsidRPr="004360D6">
        <w:rPr>
          <w:rFonts w:ascii="Times New Roman" w:hAnsi="Times New Roman" w:cs="Times New Roman"/>
          <w:sz w:val="24"/>
          <w:szCs w:val="24"/>
          <w:lang w:val="en-GB"/>
        </w:rPr>
        <w:t xml:space="preserve"> The EPIC array has been extensively validated and obtained </w:t>
      </w:r>
      <w:proofErr w:type="spellStart"/>
      <w:r w:rsidR="005436BC" w:rsidRPr="004360D6">
        <w:rPr>
          <w:rFonts w:ascii="Times New Roman" w:hAnsi="Times New Roman" w:cs="Times New Roman"/>
          <w:sz w:val="24"/>
          <w:szCs w:val="24"/>
          <w:lang w:val="en-GB"/>
        </w:rPr>
        <w:t>DNAm</w:t>
      </w:r>
      <w:proofErr w:type="spellEnd"/>
      <w:r w:rsidR="005436BC" w:rsidRPr="004360D6">
        <w:rPr>
          <w:rFonts w:ascii="Times New Roman" w:hAnsi="Times New Roman" w:cs="Times New Roman"/>
          <w:sz w:val="24"/>
          <w:szCs w:val="24"/>
          <w:lang w:val="en-GB"/>
        </w:rPr>
        <w:t xml:space="preserve"> values were highly correlated with values obtained by other methods, such as the 450K array, methylation capture sequencing, and whole-genome bi</w:t>
      </w:r>
      <w:r w:rsidR="00D9232E" w:rsidRPr="004360D6">
        <w:rPr>
          <w:rFonts w:ascii="Times New Roman" w:hAnsi="Times New Roman" w:cs="Times New Roman"/>
          <w:sz w:val="24"/>
          <w:szCs w:val="24"/>
          <w:lang w:val="en-GB"/>
        </w:rPr>
        <w:t>sulphite</w:t>
      </w:r>
      <w:r w:rsidR="00D11717" w:rsidRPr="004360D6">
        <w:rPr>
          <w:rFonts w:ascii="Times New Roman" w:hAnsi="Times New Roman" w:cs="Times New Roman"/>
          <w:sz w:val="24"/>
          <w:szCs w:val="24"/>
          <w:lang w:val="en-GB"/>
        </w:rPr>
        <w:t xml:space="preserve"> </w:t>
      </w:r>
      <w:r w:rsidR="005436BC" w:rsidRPr="004360D6">
        <w:rPr>
          <w:rFonts w:ascii="Times New Roman" w:hAnsi="Times New Roman" w:cs="Times New Roman"/>
          <w:sz w:val="24"/>
          <w:szCs w:val="24"/>
          <w:lang w:val="en-GB"/>
        </w:rPr>
        <w:t>sequencing</w:t>
      </w:r>
      <w:r w:rsidR="00EA7921" w:rsidRPr="004360D6">
        <w:rPr>
          <w:rFonts w:ascii="Times New Roman" w:hAnsi="Times New Roman" w:cs="Times New Roman"/>
          <w:sz w:val="24"/>
          <w:szCs w:val="24"/>
          <w:lang w:val="en-GB"/>
        </w:rPr>
        <w:t xml:space="preserve"> </w:t>
      </w:r>
      <w:r w:rsidR="00D2700A" w:rsidRPr="004360D6">
        <w:rPr>
          <w:rFonts w:ascii="Times New Roman" w:hAnsi="Times New Roman" w:cs="Times New Roman"/>
          <w:sz w:val="24"/>
          <w:szCs w:val="24"/>
          <w:lang w:val="en-GB"/>
        </w:rPr>
        <w:fldChar w:fldCharType="begin" w:fldLock="1"/>
      </w:r>
      <w:r w:rsidR="00394D13" w:rsidRPr="004360D6">
        <w:rPr>
          <w:rFonts w:ascii="Times New Roman" w:hAnsi="Times New Roman" w:cs="Times New Roman"/>
          <w:sz w:val="24"/>
          <w:szCs w:val="24"/>
          <w:lang w:val="en-GB"/>
        </w:rPr>
        <w:instrText>ADDIN CSL_CITATION {"citationItems":[{"id":"ITEM-1","itemData":{"DOI":"10.1186/S13059-016-1066-1/FIGURES/6","ISSN":"1474760X","PMID":"27717381","abstract":"Background: In recent years the Illumina HumanMethylation450 (HM450) BeadChip has provided a user-friendly platform to profile DNA methylation in human samples. However, HM450 lacked coverage of distal regulatory elements. Illumina have now released the MethylationEPIC (EPIC) BeadChip, with new content specifically designed to target these regions. We have used HM450 and whole-genome bisulphite sequencing (WGBS) to perform a critical evaluation of the new EPIC array platform. Results: EPIC covers over 850,000 CpG sites, including &gt;90 % of the CpGs from the HM450 and an additional 413,743 CpGs. Even though the additional probes improve the coverage of regulatory elements, including 58 % of FANTOM5 enhancers, only 7 % distal and 27 % proximal ENCODE regulatory elements are represented. Detailed comparisons of regulatory elements from EPIC and WGBS show that a single EPIC probe is not always informative for those distal regulatory elements showing variable methylation across the region. However, overall data from the EPIC array at single loci are highly reproducible across technical and biological replicates and demonstrate high correlation with HM450 and WGBS data. We show that the HM450 and EPIC arrays distinguish differentially methylated probes, but the absolute agreement depends on the threshold set for each platform. Finally, we provide an annotated list of probes whose signal could be affected by cross-hybridisation or underlying genetic variation. Conclusion: The EPIC array is a significant improvement over the HM450 array, with increased genome coverage of regulatory regions and high reproducibility and reliability, providing a valuable tool for high-throughput human methylome analyses from diverse clinical samples.","author":[{"dropping-particle":"","family":"Pidsley","given":"Ruth","non-dropping-particle":"","parse-names":false,"suffix":""},{"dropping-particle":"","family":"Zotenko","given":"Elena","non-dropping-particle":"","parse-names":false,"suffix":""},{"dropping-particle":"","family":"Peters","given":"Timothy J.","non-dropping-particle":"","parse-names":false,"suffix":""},{"dropping-particle":"","family":"Lawrence","given":"Mitchell G.","non-dropping-particle":"","parse-names":false,"suffix":""},{"dropping-particle":"","family":"Risbridger","given":"Gail P.","non-dropping-particle":"","parse-names":false,"suffix":""},{"dropping-particle":"","family":"Molloy","given":"Peter","non-dropping-particle":"","parse-names":false,"suffix":""},{"dropping-particle":"","family":"Djik","given":"Susan","non-dropping-particle":"Van","parse-names":false,"suffix":""},{"dropping-particle":"","family":"Muhlhausler","given":"Beverly","non-dropping-particle":"","parse-names":false,"suffix":""},{"dropping-particle":"","family":"Stirzaker","given":"Clare","non-dropping-particle":"","parse-names":false,"suffix":""},{"dropping-particle":"","family":"Clark","given":"Susan J.","non-dropping-particle":"","parse-names":false,"suffix":""}],"container-title":"Genome Biology","id":"ITEM-1","issue":"1","issued":{"date-parts":[["2016","10","7"]]},"page":"1-17","publisher":"BioMed Central Ltd.","title":"Critical evaluation of the Illumina MethylationEPIC BeadChip microarray for whole-genome DNA methylation profiling","type":"article-journal","volume":"17"},"uris":["http://www.mendeley.com/documents/?uuid=5c75d72e-0571-3e22-8495-682dc1712964"]},{"id":"ITEM-2","itemData":{"DOI":"10.1186/S13072-020-00372-6/TABLES/4","ISSN":"17568935","PMID":"33228774","abstract":"Background: Epigenome-wide association studies (EWAS) have been widely applied to identify methylation CpG sites associated with human disease. To date, the Infinium MethylationEPIC array (EPIC) is commonly used for high-throughput DNA methylation profiling. However, the EPIC array covers only 30% of the human methylome. Methylation Capture bisulfite sequencing (MC-seq) captures target regions of methylome and has advantages of extensive coverage in the methylome at an affordable price. Methods: Epigenome-wide DNA methylation in four peripheral blood mononuclear cell samples was profiled by using SureSelectXT Methyl-Seq for MC-seq and EPIC platforms separately. CpG site-based reproducibility of MC-seq was assessed with DNA sample inputs ranging in quantity of high (&gt; 1000 ng), medium (300–1000 ng), and low (150 ng–300 ng). To compare the performance of MC-seq and the EPIC arrays, we conducted a Pearson correlation and methylation value difference at each CpG site that was detected by both MC-seq and EPIC. We compared the percentage and counts in each CpG island and gene annotation between MC-seq and the EPIC array. Results: After quality control, an average of 3,708,550 CpG sites per sample were detected by MC-seq with DNA quantity &gt; 1000 ng. Reproducibility of DNA methylation in MC-seq-detected CpG sites was high among samples with high, medium, and low DNA inputs (r &gt; 0.96). The EPIC array captured an average of 846,464 CpG sites per sample. Compared with the EPIC array, MC-seq detected more CpGs in coding regions and CpG islands. Among the 472,540 CpG sites captured by both platforms, methylation of a majority of CpG sites was highly correlated in the same sample (r: 0.98–0.99). However, methylation for a small proportion of CpGs (N = 235) differed significantly between the two platforms, with differences in beta values of greater than 0.5. Conclusions: Our results show that MC-seq is an efficient and reliable platform for methylome profiling with a broader coverage of the methylome than the array-based platform. Although methylation measurements in majority of CpGs are highly correlated, a number of CpG sites show large discrepancy between the two platforms, which warrants further investigation and needs cautious interpretation.","author":[{"dropping-particle":"","family":"Shu","given":"Chang","non-dropping-particle":"","parse-names":false,"suffix":""},{"dropping-particle":"","family":"Zhang","given":"Xinyu","non-dropping-particle":"","parse-names":false,"suffix":""},{"dropping-particle":"","family":"Aouizerat","given":"Bradley E.","non-dropping-particle":"","parse-names":false,"suffix":""},{"dropping-particle":"","family":"Xu","given":"Ke","non-dropping-particle":"","parse-names":false,"suffix":""}],"container-title":"Epigenetics and Chromatin","id":"ITEM-2","issue":"1","issued":{"date-parts":[["2020","12","1"]]},"page":"1-15","publisher":"BioMed Central Ltd","title":"Comparison of methylation capture sequencing and Infinium MethylationEPIC array in peripheral blood mononuclear cells","type":"article-journal","volume":"13"},"uris":["http://www.mendeley.com/documents/?uuid=8343876a-fdc6-388b-b271-cdd09cdecfec"]},{"id":"ITEM-3","itemData":{"DOI":"10.1186/S13148-017-0333-7/TABLES/2","ISSN":"18687083","PMID":"28392843","abstract":"DNA methylation is the most studied epigenetic modification due to its role in regulating gene expression, and its involvement in the pathogenesis of cancer and several diseases upon aberrations in methylation. The method of choice to evaluate genome-wide methylation has been the Illumina HumanMethylation450 BeadChip (450K), but it was recently replaced with the MethylationEPIC BeadChip (EPIC). We therefore sought to validate the EPIC array in comparison to the 450K array for both fresh-frozen (FF) and formalin-fixed paraffin-embedded (FFPE) tumours. We also performed analysis on the EPIC array with paired FF and FFPE samples to adapt to a clinical setting where FFPE is routinely used. Further, we compared two restoration methods, REPLI-g and Infinium, for FFPE-derived DNA on the EPIC array. The Pearson correlation of β values for common probes on the 450K and EPIC array was high for both FF (mean: 0.992) and FFPE (mean: 0.984) samples. The β values generated from the EPIC array for FFPE samples correlated well with the paired FF tumours, but varied between 0.901 and 0.987. We did note that sample pairs with lower correlation had less bimodal density distributions of β values and displayed higher noise in the copy number alteration plots (generated from the methylation array data) in the FFPE sample. Both REPLI-g and the Infinium restoration for FFPE samples performed well on the EPIC array and generated equivalent correlation scores to the paired FF sample.","author":[{"dropping-particle":"","family":"Kling","given":"Teresia","non-dropping-particle":"","parse-names":false,"suffix":""},{"dropping-particle":"","family":"Wenger","given":"Anna","non-dropping-particle":"","parse-names":false,"suffix":""},{"dropping-particle":"","family":"Beck","given":"Stephan","non-dropping-particle":"","parse-names":false,"suffix":""},{"dropping-particle":"","family":"Carén","given":"Helena","non-dropping-particle":"","parse-names":false,"suffix":""}],"container-title":"Clinical Epigenetics","id":"ITEM-3","issue":"1","issued":{"date-parts":[["2017","4","4"]]},"page":"1-6","publisher":"Springer Verlag","title":"Validation of the MethylationEPIC BeadChip for fresh-frozen and formalin-fixed paraffin-embedded tumours","type":"article-journal","volume":"9"},"uris":["http://www.mendeley.com/documents/?uuid=b8c27e08-4d71-3b20-9d66-a55c3ca3e719"]}],"mendeley":{"formattedCitation":"(1–3)","plainTextFormattedCitation":"(1–3)","previouslyFormattedCitation":"(1–3)"},"properties":{"noteIndex":0},"schema":"https://github.com/citation-style-language/schema/raw/master/csl-citation.json"}</w:instrText>
      </w:r>
      <w:r w:rsidR="00D2700A" w:rsidRPr="004360D6">
        <w:rPr>
          <w:rFonts w:ascii="Times New Roman" w:hAnsi="Times New Roman" w:cs="Times New Roman"/>
          <w:sz w:val="24"/>
          <w:szCs w:val="24"/>
          <w:lang w:val="en-GB"/>
        </w:rPr>
        <w:fldChar w:fldCharType="separate"/>
      </w:r>
      <w:r w:rsidR="00D11717" w:rsidRPr="004360D6">
        <w:rPr>
          <w:rFonts w:ascii="Times New Roman" w:hAnsi="Times New Roman" w:cs="Times New Roman"/>
          <w:noProof/>
          <w:sz w:val="24"/>
          <w:szCs w:val="24"/>
          <w:lang w:val="en-GB"/>
        </w:rPr>
        <w:t>(1–3)</w:t>
      </w:r>
      <w:r w:rsidR="00D2700A" w:rsidRPr="004360D6">
        <w:rPr>
          <w:rFonts w:ascii="Times New Roman" w:hAnsi="Times New Roman" w:cs="Times New Roman"/>
          <w:sz w:val="24"/>
          <w:szCs w:val="24"/>
          <w:lang w:val="en-GB"/>
        </w:rPr>
        <w:fldChar w:fldCharType="end"/>
      </w:r>
      <w:r w:rsidR="00EA7921" w:rsidRPr="004360D6">
        <w:rPr>
          <w:rFonts w:ascii="Times New Roman" w:hAnsi="Times New Roman" w:cs="Times New Roman"/>
          <w:sz w:val="24"/>
          <w:szCs w:val="24"/>
          <w:lang w:val="en-GB"/>
        </w:rPr>
        <w:t>.</w:t>
      </w:r>
      <w:r w:rsidR="00AB49CD" w:rsidRPr="004360D6">
        <w:rPr>
          <w:rFonts w:ascii="Times New Roman" w:hAnsi="Times New Roman" w:cs="Times New Roman"/>
          <w:sz w:val="24"/>
          <w:szCs w:val="24"/>
          <w:lang w:val="en-GB"/>
        </w:rPr>
        <w:t xml:space="preserve"> DNA samples were subjected to </w:t>
      </w:r>
      <w:r w:rsidR="00713674" w:rsidRPr="004360D6">
        <w:rPr>
          <w:rFonts w:ascii="Times New Roman" w:hAnsi="Times New Roman" w:cs="Times New Roman"/>
          <w:sz w:val="24"/>
          <w:szCs w:val="24"/>
          <w:lang w:val="en-GB"/>
        </w:rPr>
        <w:t>bisulphite</w:t>
      </w:r>
      <w:r w:rsidR="00AB49CD" w:rsidRPr="004360D6">
        <w:rPr>
          <w:rFonts w:ascii="Times New Roman" w:hAnsi="Times New Roman" w:cs="Times New Roman"/>
          <w:sz w:val="24"/>
          <w:szCs w:val="24"/>
          <w:lang w:val="en-GB"/>
        </w:rPr>
        <w:t xml:space="preserve"> conversions using the EZ DNA Methylation kit (</w:t>
      </w:r>
      <w:proofErr w:type="spellStart"/>
      <w:r w:rsidR="00AB49CD" w:rsidRPr="004360D6">
        <w:rPr>
          <w:rFonts w:ascii="Times New Roman" w:hAnsi="Times New Roman" w:cs="Times New Roman"/>
          <w:sz w:val="24"/>
          <w:szCs w:val="24"/>
          <w:lang w:val="en-GB"/>
        </w:rPr>
        <w:t>Zymo</w:t>
      </w:r>
      <w:proofErr w:type="spellEnd"/>
      <w:r w:rsidR="00AB49CD" w:rsidRPr="004360D6">
        <w:rPr>
          <w:rFonts w:ascii="Times New Roman" w:hAnsi="Times New Roman" w:cs="Times New Roman"/>
          <w:sz w:val="24"/>
          <w:szCs w:val="24"/>
          <w:lang w:val="en-GB"/>
        </w:rPr>
        <w:t xml:space="preserve"> </w:t>
      </w:r>
      <w:proofErr w:type="spellStart"/>
      <w:r w:rsidR="00AB49CD" w:rsidRPr="004360D6">
        <w:rPr>
          <w:rFonts w:ascii="Times New Roman" w:hAnsi="Times New Roman" w:cs="Times New Roman"/>
          <w:sz w:val="24"/>
          <w:szCs w:val="24"/>
          <w:lang w:val="en-GB"/>
        </w:rPr>
        <w:t>Reasearch</w:t>
      </w:r>
      <w:proofErr w:type="spellEnd"/>
      <w:r w:rsidR="00AB49CD" w:rsidRPr="004360D6">
        <w:rPr>
          <w:rFonts w:ascii="Times New Roman" w:hAnsi="Times New Roman" w:cs="Times New Roman"/>
          <w:sz w:val="24"/>
          <w:szCs w:val="24"/>
          <w:lang w:val="en-GB"/>
        </w:rPr>
        <w:t xml:space="preserve">) following the alternative incubation conditions for the Illumina Infinium </w:t>
      </w:r>
      <w:proofErr w:type="spellStart"/>
      <w:r w:rsidR="00AB49CD" w:rsidRPr="004360D6">
        <w:rPr>
          <w:rFonts w:ascii="Times New Roman" w:hAnsi="Times New Roman" w:cs="Times New Roman"/>
          <w:sz w:val="24"/>
          <w:szCs w:val="24"/>
          <w:lang w:val="en-GB"/>
        </w:rPr>
        <w:t>MethylationEPIC</w:t>
      </w:r>
      <w:proofErr w:type="spellEnd"/>
      <w:r w:rsidR="00AB49CD" w:rsidRPr="004360D6">
        <w:rPr>
          <w:rFonts w:ascii="Times New Roman" w:hAnsi="Times New Roman" w:cs="Times New Roman"/>
          <w:sz w:val="24"/>
          <w:szCs w:val="24"/>
          <w:lang w:val="en-GB"/>
        </w:rPr>
        <w:t xml:space="preserve"> Array from the supplier, and then hybridized to the EPIC array and scanned on an </w:t>
      </w:r>
      <w:proofErr w:type="spellStart"/>
      <w:r w:rsidR="00AB49CD" w:rsidRPr="004360D6">
        <w:rPr>
          <w:rFonts w:ascii="Times New Roman" w:hAnsi="Times New Roman" w:cs="Times New Roman"/>
          <w:sz w:val="24"/>
          <w:szCs w:val="24"/>
          <w:lang w:val="en-GB"/>
        </w:rPr>
        <w:t>iScan</w:t>
      </w:r>
      <w:proofErr w:type="spellEnd"/>
      <w:r w:rsidR="00AB49CD" w:rsidRPr="004360D6">
        <w:rPr>
          <w:rFonts w:ascii="Times New Roman" w:hAnsi="Times New Roman" w:cs="Times New Roman"/>
          <w:sz w:val="24"/>
          <w:szCs w:val="24"/>
          <w:lang w:val="en-GB"/>
        </w:rPr>
        <w:t xml:space="preserve"> instrument (Illumina, </w:t>
      </w:r>
      <w:r w:rsidR="00AB49CD" w:rsidRPr="004360D6">
        <w:rPr>
          <w:rFonts w:ascii="Times New Roman" w:hAnsi="Times New Roman" w:cs="Times New Roman"/>
          <w:sz w:val="24"/>
          <w:szCs w:val="24"/>
          <w:lang w:val="en-GB"/>
        </w:rPr>
        <w:lastRenderedPageBreak/>
        <w:t xml:space="preserve">Inc.) according to the manufacturer’s instructions (Document#1000000077299v0). All DNA samples were treated in consecutive laboratory experiments to minimize the potential for batch effects. Raw </w:t>
      </w:r>
      <w:proofErr w:type="spellStart"/>
      <w:r w:rsidR="00AB49CD" w:rsidRPr="004360D6">
        <w:rPr>
          <w:rFonts w:ascii="Times New Roman" w:hAnsi="Times New Roman" w:cs="Times New Roman"/>
          <w:sz w:val="24"/>
          <w:szCs w:val="24"/>
          <w:lang w:val="en-GB"/>
        </w:rPr>
        <w:t>DNAm</w:t>
      </w:r>
      <w:proofErr w:type="spellEnd"/>
      <w:r w:rsidR="00AB49CD" w:rsidRPr="004360D6">
        <w:rPr>
          <w:rFonts w:ascii="Times New Roman" w:hAnsi="Times New Roman" w:cs="Times New Roman"/>
          <w:sz w:val="24"/>
          <w:szCs w:val="24"/>
          <w:lang w:val="en-GB"/>
        </w:rPr>
        <w:t xml:space="preserve"> intensities were called using the </w:t>
      </w:r>
      <w:proofErr w:type="spellStart"/>
      <w:r w:rsidR="00AB49CD" w:rsidRPr="004360D6">
        <w:rPr>
          <w:rFonts w:ascii="Times New Roman" w:hAnsi="Times New Roman" w:cs="Times New Roman"/>
          <w:sz w:val="24"/>
          <w:szCs w:val="24"/>
          <w:lang w:val="en-GB"/>
        </w:rPr>
        <w:t>iScan</w:t>
      </w:r>
      <w:proofErr w:type="spellEnd"/>
      <w:r w:rsidR="00AB49CD" w:rsidRPr="004360D6">
        <w:rPr>
          <w:rFonts w:ascii="Times New Roman" w:hAnsi="Times New Roman" w:cs="Times New Roman"/>
          <w:sz w:val="24"/>
          <w:szCs w:val="24"/>
          <w:lang w:val="en-GB"/>
        </w:rPr>
        <w:t xml:space="preserve"> control software (v2.3.0.0; Illumina, Inc.) and exported in .</w:t>
      </w:r>
      <w:proofErr w:type="spellStart"/>
      <w:r w:rsidR="00AB49CD" w:rsidRPr="004360D6">
        <w:rPr>
          <w:rFonts w:ascii="Times New Roman" w:hAnsi="Times New Roman" w:cs="Times New Roman"/>
          <w:sz w:val="24"/>
          <w:szCs w:val="24"/>
          <w:lang w:val="en-GB"/>
        </w:rPr>
        <w:t>idat</w:t>
      </w:r>
      <w:proofErr w:type="spellEnd"/>
      <w:r w:rsidR="00AB49CD" w:rsidRPr="004360D6">
        <w:rPr>
          <w:rFonts w:ascii="Times New Roman" w:hAnsi="Times New Roman" w:cs="Times New Roman"/>
          <w:sz w:val="24"/>
          <w:szCs w:val="24"/>
          <w:lang w:val="en-GB"/>
        </w:rPr>
        <w:t xml:space="preserve"> format for downstream processing and analysis.</w:t>
      </w:r>
    </w:p>
    <w:p w14:paraId="2B8E772B" w14:textId="77777777" w:rsidR="00AB49CD" w:rsidRPr="004360D6" w:rsidRDefault="00AB49CD" w:rsidP="00AB49CD">
      <w:pPr>
        <w:pStyle w:val="Heading2"/>
        <w:jc w:val="both"/>
        <w:rPr>
          <w:rFonts w:cs="Times New Roman"/>
          <w:i w:val="0"/>
          <w:iCs/>
          <w:szCs w:val="24"/>
          <w:lang w:val="en-GB"/>
        </w:rPr>
      </w:pPr>
      <w:r w:rsidRPr="004360D6">
        <w:rPr>
          <w:rFonts w:cs="Times New Roman"/>
          <w:iCs/>
          <w:szCs w:val="24"/>
          <w:lang w:val="en-GB"/>
        </w:rPr>
        <w:t>DNA methylation data processing and quality control</w:t>
      </w:r>
    </w:p>
    <w:p w14:paraId="137E7A7A" w14:textId="0E56C93F" w:rsidR="00AB49CD" w:rsidRPr="004360D6" w:rsidRDefault="00AB49CD" w:rsidP="00AB49CD">
      <w:pPr>
        <w:spacing w:line="480" w:lineRule="auto"/>
        <w:jc w:val="both"/>
        <w:rPr>
          <w:rFonts w:ascii="Times New Roman" w:hAnsi="Times New Roman" w:cs="Times New Roman"/>
          <w:color w:val="000000" w:themeColor="text1"/>
          <w:sz w:val="24"/>
          <w:szCs w:val="24"/>
          <w:lang w:val="en-GB"/>
        </w:rPr>
      </w:pPr>
      <w:proofErr w:type="spellStart"/>
      <w:r w:rsidRPr="004360D6">
        <w:rPr>
          <w:rFonts w:ascii="Times New Roman" w:hAnsi="Times New Roman" w:cs="Times New Roman"/>
          <w:color w:val="000000" w:themeColor="text1"/>
          <w:sz w:val="24"/>
          <w:szCs w:val="24"/>
          <w:lang w:val="en-GB"/>
        </w:rPr>
        <w:t>DNAm</w:t>
      </w:r>
      <w:proofErr w:type="spellEnd"/>
      <w:r w:rsidRPr="004360D6">
        <w:rPr>
          <w:rFonts w:ascii="Times New Roman" w:hAnsi="Times New Roman" w:cs="Times New Roman"/>
          <w:color w:val="000000" w:themeColor="text1"/>
          <w:sz w:val="24"/>
          <w:szCs w:val="24"/>
          <w:lang w:val="en-GB"/>
        </w:rPr>
        <w:t xml:space="preserve"> data pre-processing and quality control (QC) was performed in R (v. 3.6.1) using the package </w:t>
      </w:r>
      <w:proofErr w:type="spellStart"/>
      <w:r w:rsidRPr="004360D6">
        <w:rPr>
          <w:rFonts w:ascii="Times New Roman" w:hAnsi="Times New Roman" w:cs="Times New Roman"/>
          <w:color w:val="000000" w:themeColor="text1"/>
          <w:sz w:val="24"/>
          <w:szCs w:val="24"/>
          <w:lang w:val="en-GB"/>
        </w:rPr>
        <w:t>bigmelon</w:t>
      </w:r>
      <w:proofErr w:type="spellEnd"/>
      <w:r w:rsidRPr="004360D6">
        <w:rPr>
          <w:rFonts w:ascii="Times New Roman" w:hAnsi="Times New Roman" w:cs="Times New Roman"/>
          <w:color w:val="000000" w:themeColor="text1"/>
          <w:sz w:val="24"/>
          <w:szCs w:val="24"/>
          <w:lang w:val="en-GB"/>
        </w:rPr>
        <w:t xml:space="preserve"> with default settings </w:t>
      </w:r>
      <w:r w:rsidRPr="004360D6">
        <w:rPr>
          <w:rFonts w:ascii="Times New Roman" w:hAnsi="Times New Roman" w:cs="Times New Roman"/>
          <w:color w:val="000000" w:themeColor="text1"/>
          <w:sz w:val="24"/>
          <w:szCs w:val="24"/>
          <w:lang w:val="en-GB"/>
        </w:rPr>
        <w:fldChar w:fldCharType="begin" w:fldLock="1"/>
      </w:r>
      <w:r w:rsidR="002D4B8A" w:rsidRPr="004360D6">
        <w:rPr>
          <w:rFonts w:ascii="Times New Roman" w:hAnsi="Times New Roman" w:cs="Times New Roman"/>
          <w:color w:val="000000" w:themeColor="text1"/>
          <w:sz w:val="24"/>
          <w:szCs w:val="24"/>
          <w:lang w:val="en-GB"/>
        </w:rPr>
        <w:instrText>ADDIN CSL_CITATION {"citationItems":[{"id":"ITEM-1","itemData":{"DOI":"10.1093/BIOINFORMATICS/BTY713","ISSN":"1367-4803","abstract":"Motivation The datasets generated by DNA methylation analyses are getting bigger. With the release of the HumanMethylationEPIC micro-array and datasets containing thousands of samples, analyses of these large datasets using R are becoming impractical due to large memory requirements. As a result there is an increasing need for computationally efficient methodologies to perform meaningful analysis on high dimensional data. Results Here we introduce the bigmelon R package, which provides a memory efficient workflow that enables users to perform the complex, large scale analyses required in epigenome wide association studies (EWAS) without the need for large RAM. Building on top of the CoreArray Genomic Data Structure file format and libraries packaged in the gdsfmt package, we provide a practical workflow that facilitates the reading-in, preprocessing, quality control and statistical analysis of DNA methylation data. We demonstrate the capabilities of the bigmelon package using a large dataset consisting of 1193 human blood samples from the Understanding Society: UK Household Longitudinal Study, assayed on the EPIC micro-array platform. copy; 2018 The Author(s). Published by Oxford University Press.","author":[{"dropping-particle":"","family":"Gorrie-Stone","given":"Tyler J","non-dropping-particle":"","parse-names":false,"suffix":""},{"dropping-particle":"","family":"Smart","given":"Melissa C","non-dropping-particle":"","parse-names":false,"suffix":""},{"dropping-particle":"","family":"Saffari","given":"Ayden","non-dropping-particle":"","parse-names":false,"suffix":""},{"dropping-particle":"","family":"Malki","given":"Karim","non-dropping-particle":"","parse-names":false,"suffix":""},{"dropping-particle":"","family":"Hannon","given":"Eilis","non-dropping-particle":"","parse-names":false,"suffix":""},{"dropping-particle":"","family":"Burrage","given":"Joe","non-dropping-particle":"","parse-names":false,"suffix":""},{"dropping-particle":"","family":"Mill","given":"Jonathan","non-dropping-particle":"","parse-names":false,"suffix":""},{"dropping-particle":"","family":"Kumari","given":"Meena","non-dropping-particle":"","parse-names":false,"suffix":""},{"dropping-particle":"","family":"Schalkwyk","given":"Leonard C","non-dropping-particle":"","parse-names":false,"suffix":""}],"container-title":"Bioinformatics","id":"ITEM-1","issue":"6","issued":{"date-parts":[["2019","3","15"]]},"page":"981-986","publisher":"Oxford Academic","title":"Bigmelon: tools for analysing large DNA methylation datasets","type":"article-journal","volume":"35"},"uris":["http://www.mendeley.com/documents/?uuid=bc7b5640-7916-3a30-b04a-1fd41a9eaf61"]}],"mendeley":{"formattedCitation":"(4)","plainTextFormattedCitation":"(4)","previouslyFormattedCitation":"(4)"},"properties":{"noteIndex":0},"schema":"https://github.com/citation-style-language/schema/raw/master/csl-citation.json"}</w:instrText>
      </w:r>
      <w:r w:rsidRPr="004360D6">
        <w:rPr>
          <w:rFonts w:ascii="Times New Roman" w:hAnsi="Times New Roman" w:cs="Times New Roman"/>
          <w:color w:val="000000" w:themeColor="text1"/>
          <w:sz w:val="24"/>
          <w:szCs w:val="24"/>
          <w:lang w:val="en-GB"/>
        </w:rPr>
        <w:fldChar w:fldCharType="separate"/>
      </w:r>
      <w:r w:rsidR="00D11717" w:rsidRPr="004360D6">
        <w:rPr>
          <w:rFonts w:ascii="Times New Roman" w:hAnsi="Times New Roman" w:cs="Times New Roman"/>
          <w:noProof/>
          <w:color w:val="000000" w:themeColor="text1"/>
          <w:sz w:val="24"/>
          <w:szCs w:val="24"/>
          <w:lang w:val="en-GB"/>
        </w:rPr>
        <w:t>(4)</w:t>
      </w:r>
      <w:r w:rsidRPr="004360D6">
        <w:rPr>
          <w:rFonts w:ascii="Times New Roman" w:hAnsi="Times New Roman" w:cs="Times New Roman"/>
          <w:color w:val="000000" w:themeColor="text1"/>
          <w:sz w:val="24"/>
          <w:szCs w:val="24"/>
          <w:lang w:val="en-GB"/>
        </w:rPr>
        <w:fldChar w:fldCharType="end"/>
      </w:r>
      <w:r w:rsidRPr="004360D6">
        <w:rPr>
          <w:rFonts w:ascii="Times New Roman" w:hAnsi="Times New Roman" w:cs="Times New Roman"/>
          <w:color w:val="000000" w:themeColor="text1"/>
          <w:sz w:val="24"/>
          <w:szCs w:val="24"/>
          <w:lang w:val="en-GB"/>
        </w:rPr>
        <w:t xml:space="preserve">, unless otherwise noted. </w:t>
      </w:r>
      <w:proofErr w:type="spellStart"/>
      <w:r w:rsidRPr="004360D6">
        <w:rPr>
          <w:rFonts w:ascii="Times New Roman" w:hAnsi="Times New Roman" w:cs="Times New Roman"/>
          <w:color w:val="000000" w:themeColor="text1"/>
          <w:sz w:val="24"/>
          <w:szCs w:val="24"/>
          <w:lang w:val="en-GB"/>
        </w:rPr>
        <w:t>Idat</w:t>
      </w:r>
      <w:proofErr w:type="spellEnd"/>
      <w:r w:rsidRPr="004360D6">
        <w:rPr>
          <w:rFonts w:ascii="Times New Roman" w:hAnsi="Times New Roman" w:cs="Times New Roman"/>
          <w:color w:val="000000" w:themeColor="text1"/>
          <w:sz w:val="24"/>
          <w:szCs w:val="24"/>
          <w:lang w:val="en-GB"/>
        </w:rPr>
        <w:t xml:space="preserve"> files were loaded into R and β-values were calculated according to the following formula, with </w:t>
      </w:r>
      <w:proofErr w:type="spellStart"/>
      <w:r w:rsidRPr="004360D6">
        <w:rPr>
          <w:rFonts w:ascii="Times New Roman" w:hAnsi="Times New Roman" w:cs="Times New Roman"/>
          <w:i/>
          <w:iCs/>
          <w:color w:val="000000" w:themeColor="text1"/>
          <w:sz w:val="24"/>
          <w:szCs w:val="24"/>
          <w:lang w:val="en-GB"/>
        </w:rPr>
        <w:t>I</w:t>
      </w:r>
      <w:r w:rsidRPr="004360D6">
        <w:rPr>
          <w:rFonts w:ascii="Times New Roman" w:hAnsi="Times New Roman" w:cs="Times New Roman"/>
          <w:color w:val="000000" w:themeColor="text1"/>
          <w:sz w:val="24"/>
          <w:szCs w:val="24"/>
          <w:vertAlign w:val="subscript"/>
          <w:lang w:val="en-GB"/>
        </w:rPr>
        <w:t>met</w:t>
      </w:r>
      <w:proofErr w:type="spellEnd"/>
      <w:r w:rsidRPr="004360D6">
        <w:rPr>
          <w:rFonts w:ascii="Times New Roman" w:hAnsi="Times New Roman" w:cs="Times New Roman"/>
          <w:color w:val="000000" w:themeColor="text1"/>
          <w:sz w:val="24"/>
          <w:szCs w:val="24"/>
          <w:vertAlign w:val="subscript"/>
          <w:lang w:val="en-GB"/>
        </w:rPr>
        <w:t xml:space="preserve"> </w:t>
      </w:r>
      <w:r w:rsidRPr="004360D6">
        <w:rPr>
          <w:rFonts w:ascii="Times New Roman" w:hAnsi="Times New Roman" w:cs="Times New Roman"/>
          <w:color w:val="000000" w:themeColor="text1"/>
          <w:sz w:val="24"/>
          <w:szCs w:val="24"/>
          <w:lang w:val="en-GB"/>
        </w:rPr>
        <w:t xml:space="preserve">being the intensity of the methylated signal, and </w:t>
      </w:r>
      <w:proofErr w:type="spellStart"/>
      <w:r w:rsidRPr="004360D6">
        <w:rPr>
          <w:rFonts w:ascii="Times New Roman" w:hAnsi="Times New Roman" w:cs="Times New Roman"/>
          <w:i/>
          <w:iCs/>
          <w:color w:val="000000" w:themeColor="text1"/>
          <w:sz w:val="24"/>
          <w:szCs w:val="24"/>
          <w:lang w:val="en-GB"/>
        </w:rPr>
        <w:t>I</w:t>
      </w:r>
      <w:r w:rsidRPr="004360D6">
        <w:rPr>
          <w:rFonts w:ascii="Times New Roman" w:hAnsi="Times New Roman" w:cs="Times New Roman"/>
          <w:color w:val="000000" w:themeColor="text1"/>
          <w:sz w:val="24"/>
          <w:szCs w:val="24"/>
          <w:vertAlign w:val="subscript"/>
          <w:lang w:val="en-GB"/>
        </w:rPr>
        <w:t>ume</w:t>
      </w:r>
      <w:proofErr w:type="spellEnd"/>
      <w:r w:rsidRPr="004360D6">
        <w:rPr>
          <w:rFonts w:ascii="Times New Roman" w:hAnsi="Times New Roman" w:cs="Times New Roman"/>
          <w:color w:val="000000" w:themeColor="text1"/>
          <w:sz w:val="24"/>
          <w:szCs w:val="24"/>
          <w:vertAlign w:val="subscript"/>
          <w:lang w:val="en-GB"/>
        </w:rPr>
        <w:t xml:space="preserve"> </w:t>
      </w:r>
      <w:r w:rsidRPr="004360D6">
        <w:rPr>
          <w:rFonts w:ascii="Times New Roman" w:hAnsi="Times New Roman" w:cs="Times New Roman"/>
          <w:color w:val="000000" w:themeColor="text1"/>
          <w:sz w:val="24"/>
          <w:szCs w:val="24"/>
          <w:lang w:val="en-GB"/>
        </w:rPr>
        <w:t>being the intensity of the unmethylated signal.</w:t>
      </w:r>
    </w:p>
    <w:p w14:paraId="762D433A" w14:textId="77777777" w:rsidR="00AB49CD" w:rsidRPr="004360D6" w:rsidRDefault="00AB49CD" w:rsidP="00AB49CD">
      <w:pPr>
        <w:pStyle w:val="ListParagraph"/>
        <w:numPr>
          <w:ilvl w:val="0"/>
          <w:numId w:val="1"/>
        </w:num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β = </w:t>
      </w:r>
      <w:proofErr w:type="spellStart"/>
      <w:r w:rsidRPr="004360D6">
        <w:rPr>
          <w:rFonts w:ascii="Times New Roman" w:hAnsi="Times New Roman" w:cs="Times New Roman"/>
          <w:i/>
          <w:iCs/>
          <w:color w:val="000000" w:themeColor="text1"/>
          <w:sz w:val="24"/>
          <w:szCs w:val="24"/>
          <w:lang w:val="en-GB"/>
        </w:rPr>
        <w:t>I</w:t>
      </w:r>
      <w:r w:rsidRPr="004360D6">
        <w:rPr>
          <w:rFonts w:ascii="Times New Roman" w:hAnsi="Times New Roman" w:cs="Times New Roman"/>
          <w:color w:val="000000" w:themeColor="text1"/>
          <w:sz w:val="24"/>
          <w:szCs w:val="24"/>
          <w:vertAlign w:val="subscript"/>
          <w:lang w:val="en-GB"/>
        </w:rPr>
        <w:t>met</w:t>
      </w:r>
      <w:proofErr w:type="spellEnd"/>
      <w:r w:rsidRPr="004360D6">
        <w:rPr>
          <w:rFonts w:ascii="Times New Roman" w:hAnsi="Times New Roman" w:cs="Times New Roman"/>
          <w:color w:val="000000" w:themeColor="text1"/>
          <w:sz w:val="24"/>
          <w:szCs w:val="24"/>
          <w:lang w:val="en-GB"/>
        </w:rPr>
        <w:t xml:space="preserve"> / (</w:t>
      </w:r>
      <w:proofErr w:type="spellStart"/>
      <w:r w:rsidRPr="004360D6">
        <w:rPr>
          <w:rFonts w:ascii="Times New Roman" w:hAnsi="Times New Roman" w:cs="Times New Roman"/>
          <w:i/>
          <w:iCs/>
          <w:color w:val="000000" w:themeColor="text1"/>
          <w:sz w:val="24"/>
          <w:szCs w:val="24"/>
          <w:lang w:val="en-GB"/>
        </w:rPr>
        <w:t>I</w:t>
      </w:r>
      <w:r w:rsidRPr="004360D6">
        <w:rPr>
          <w:rFonts w:ascii="Times New Roman" w:hAnsi="Times New Roman" w:cs="Times New Roman"/>
          <w:color w:val="000000" w:themeColor="text1"/>
          <w:sz w:val="24"/>
          <w:szCs w:val="24"/>
          <w:vertAlign w:val="subscript"/>
          <w:lang w:val="en-GB"/>
        </w:rPr>
        <w:t>met</w:t>
      </w:r>
      <w:proofErr w:type="spellEnd"/>
      <w:r w:rsidRPr="004360D6">
        <w:rPr>
          <w:rFonts w:ascii="Times New Roman" w:hAnsi="Times New Roman" w:cs="Times New Roman"/>
          <w:color w:val="000000" w:themeColor="text1"/>
          <w:sz w:val="24"/>
          <w:szCs w:val="24"/>
          <w:lang w:val="en-GB"/>
        </w:rPr>
        <w:t xml:space="preserve"> + </w:t>
      </w:r>
      <w:proofErr w:type="spellStart"/>
      <w:r w:rsidRPr="004360D6">
        <w:rPr>
          <w:rFonts w:ascii="Times New Roman" w:hAnsi="Times New Roman" w:cs="Times New Roman"/>
          <w:i/>
          <w:iCs/>
          <w:color w:val="000000" w:themeColor="text1"/>
          <w:sz w:val="24"/>
          <w:szCs w:val="24"/>
          <w:lang w:val="en-GB"/>
        </w:rPr>
        <w:t>I</w:t>
      </w:r>
      <w:r w:rsidRPr="004360D6">
        <w:rPr>
          <w:rFonts w:ascii="Times New Roman" w:hAnsi="Times New Roman" w:cs="Times New Roman"/>
          <w:color w:val="000000" w:themeColor="text1"/>
          <w:sz w:val="24"/>
          <w:szCs w:val="24"/>
          <w:vertAlign w:val="subscript"/>
          <w:lang w:val="en-GB"/>
        </w:rPr>
        <w:t>ume</w:t>
      </w:r>
      <w:proofErr w:type="spellEnd"/>
      <w:r w:rsidRPr="004360D6">
        <w:rPr>
          <w:rFonts w:ascii="Times New Roman" w:hAnsi="Times New Roman" w:cs="Times New Roman"/>
          <w:color w:val="000000" w:themeColor="text1"/>
          <w:sz w:val="24"/>
          <w:szCs w:val="24"/>
          <w:lang w:val="en-GB"/>
        </w:rPr>
        <w:t xml:space="preserve"> + 100)</w:t>
      </w:r>
    </w:p>
    <w:p w14:paraId="41790F04" w14:textId="50770C88" w:rsidR="00AB49CD" w:rsidRPr="004360D6" w:rsidRDefault="00AB49CD" w:rsidP="00AB49CD">
      <w:p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Samples were excluded from the analysis if (a) the </w:t>
      </w:r>
      <w:r w:rsidR="009C750A" w:rsidRPr="004360D6">
        <w:rPr>
          <w:rFonts w:ascii="Times New Roman" w:hAnsi="Times New Roman" w:cs="Times New Roman"/>
          <w:color w:val="000000" w:themeColor="text1"/>
          <w:sz w:val="24"/>
          <w:szCs w:val="24"/>
          <w:lang w:val="en-GB"/>
        </w:rPr>
        <w:t xml:space="preserve">bisulphite </w:t>
      </w:r>
      <w:r w:rsidRPr="004360D6">
        <w:rPr>
          <w:rFonts w:ascii="Times New Roman" w:hAnsi="Times New Roman" w:cs="Times New Roman"/>
          <w:color w:val="000000" w:themeColor="text1"/>
          <w:sz w:val="24"/>
          <w:szCs w:val="24"/>
          <w:lang w:val="en-GB"/>
        </w:rPr>
        <w:t xml:space="preserve">conversion efficiency of the sample according to the </w:t>
      </w:r>
      <w:proofErr w:type="spellStart"/>
      <w:r w:rsidRPr="004360D6">
        <w:rPr>
          <w:rFonts w:ascii="Times New Roman" w:hAnsi="Times New Roman" w:cs="Times New Roman"/>
          <w:i/>
          <w:iCs/>
          <w:color w:val="000000" w:themeColor="text1"/>
          <w:sz w:val="24"/>
          <w:szCs w:val="24"/>
          <w:lang w:val="en-GB"/>
        </w:rPr>
        <w:t>bscon</w:t>
      </w:r>
      <w:proofErr w:type="spellEnd"/>
      <w:r w:rsidRPr="004360D6">
        <w:rPr>
          <w:rFonts w:ascii="Times New Roman" w:hAnsi="Times New Roman" w:cs="Times New Roman"/>
          <w:color w:val="000000" w:themeColor="text1"/>
          <w:sz w:val="24"/>
          <w:szCs w:val="24"/>
          <w:lang w:val="en-GB"/>
        </w:rPr>
        <w:t xml:space="preserve"> function in the </w:t>
      </w:r>
      <w:proofErr w:type="spellStart"/>
      <w:r w:rsidRPr="004360D6">
        <w:rPr>
          <w:rFonts w:ascii="Times New Roman" w:hAnsi="Times New Roman" w:cs="Times New Roman"/>
          <w:color w:val="000000" w:themeColor="text1"/>
          <w:sz w:val="24"/>
          <w:szCs w:val="24"/>
          <w:lang w:val="en-GB"/>
        </w:rPr>
        <w:t>bigmelon</w:t>
      </w:r>
      <w:proofErr w:type="spellEnd"/>
      <w:r w:rsidRPr="004360D6">
        <w:rPr>
          <w:rFonts w:ascii="Times New Roman" w:hAnsi="Times New Roman" w:cs="Times New Roman"/>
          <w:color w:val="000000" w:themeColor="text1"/>
          <w:sz w:val="24"/>
          <w:szCs w:val="24"/>
          <w:lang w:val="en-GB"/>
        </w:rPr>
        <w:t xml:space="preserve"> package was below 65%, (b) the sample had a </w:t>
      </w:r>
      <w:proofErr w:type="spellStart"/>
      <w:r w:rsidRPr="004360D6">
        <w:rPr>
          <w:rFonts w:ascii="Times New Roman" w:hAnsi="Times New Roman" w:cs="Times New Roman"/>
          <w:color w:val="000000" w:themeColor="text1"/>
          <w:sz w:val="24"/>
          <w:szCs w:val="24"/>
          <w:lang w:val="en-GB"/>
        </w:rPr>
        <w:t>beadcount</w:t>
      </w:r>
      <w:proofErr w:type="spellEnd"/>
      <w:r w:rsidRPr="004360D6">
        <w:rPr>
          <w:rFonts w:ascii="Times New Roman" w:hAnsi="Times New Roman" w:cs="Times New Roman"/>
          <w:color w:val="000000" w:themeColor="text1"/>
          <w:sz w:val="24"/>
          <w:szCs w:val="24"/>
          <w:lang w:val="en-GB"/>
        </w:rPr>
        <w:t xml:space="preserve"> &lt; 3 in more than 5% of all probes, (c) the sample had a detection p-value below 0.05 in more than 1% of all probes, (d) the sample was identified as an outlier according to the </w:t>
      </w:r>
      <w:proofErr w:type="spellStart"/>
      <w:r w:rsidRPr="004360D6">
        <w:rPr>
          <w:rFonts w:ascii="Times New Roman" w:hAnsi="Times New Roman" w:cs="Times New Roman"/>
          <w:i/>
          <w:iCs/>
          <w:color w:val="000000" w:themeColor="text1"/>
          <w:sz w:val="24"/>
          <w:szCs w:val="24"/>
          <w:lang w:val="en-GB"/>
        </w:rPr>
        <w:t>outlyx</w:t>
      </w:r>
      <w:proofErr w:type="spellEnd"/>
      <w:r w:rsidRPr="004360D6">
        <w:rPr>
          <w:rFonts w:ascii="Times New Roman" w:hAnsi="Times New Roman" w:cs="Times New Roman"/>
          <w:color w:val="000000" w:themeColor="text1"/>
          <w:sz w:val="24"/>
          <w:szCs w:val="24"/>
          <w:lang w:val="en-GB"/>
        </w:rPr>
        <w:t xml:space="preserve"> function in the </w:t>
      </w:r>
      <w:proofErr w:type="spellStart"/>
      <w:r w:rsidRPr="004360D6">
        <w:rPr>
          <w:rFonts w:ascii="Times New Roman" w:hAnsi="Times New Roman" w:cs="Times New Roman"/>
          <w:color w:val="000000" w:themeColor="text1"/>
          <w:sz w:val="24"/>
          <w:szCs w:val="24"/>
          <w:lang w:val="en-GB"/>
        </w:rPr>
        <w:t>bigmelon</w:t>
      </w:r>
      <w:proofErr w:type="spellEnd"/>
      <w:r w:rsidRPr="004360D6">
        <w:rPr>
          <w:rFonts w:ascii="Times New Roman" w:hAnsi="Times New Roman" w:cs="Times New Roman"/>
          <w:color w:val="000000" w:themeColor="text1"/>
          <w:sz w:val="24"/>
          <w:szCs w:val="24"/>
          <w:lang w:val="en-GB"/>
        </w:rPr>
        <w:t xml:space="preserve"> package using a threshold of 0.01, (e) the sample showed a large change in β-values after normalization according to the </w:t>
      </w:r>
      <w:r w:rsidRPr="004360D6">
        <w:rPr>
          <w:rFonts w:ascii="Times New Roman" w:hAnsi="Times New Roman" w:cs="Times New Roman"/>
          <w:i/>
          <w:iCs/>
          <w:color w:val="000000" w:themeColor="text1"/>
          <w:sz w:val="24"/>
          <w:szCs w:val="24"/>
          <w:lang w:val="en-GB"/>
        </w:rPr>
        <w:t>qual</w:t>
      </w:r>
      <w:r w:rsidRPr="004360D6">
        <w:rPr>
          <w:rFonts w:ascii="Times New Roman" w:hAnsi="Times New Roman" w:cs="Times New Roman"/>
          <w:color w:val="000000" w:themeColor="text1"/>
          <w:sz w:val="24"/>
          <w:szCs w:val="24"/>
          <w:lang w:val="en-GB"/>
        </w:rPr>
        <w:t xml:space="preserve"> function in the </w:t>
      </w:r>
      <w:proofErr w:type="spellStart"/>
      <w:r w:rsidRPr="004360D6">
        <w:rPr>
          <w:rFonts w:ascii="Times New Roman" w:hAnsi="Times New Roman" w:cs="Times New Roman"/>
          <w:color w:val="000000" w:themeColor="text1"/>
          <w:sz w:val="24"/>
          <w:szCs w:val="24"/>
          <w:lang w:val="en-GB"/>
        </w:rPr>
        <w:t>bigmelon</w:t>
      </w:r>
      <w:proofErr w:type="spellEnd"/>
      <w:r w:rsidRPr="004360D6">
        <w:rPr>
          <w:rFonts w:ascii="Times New Roman" w:hAnsi="Times New Roman" w:cs="Times New Roman"/>
          <w:color w:val="000000" w:themeColor="text1"/>
          <w:sz w:val="24"/>
          <w:szCs w:val="24"/>
          <w:lang w:val="en-GB"/>
        </w:rPr>
        <w:t xml:space="preserve"> package with a threshold of  0.1, (f) the sample showed a discrepancy between predicted sex according to the Horvath multi-tissue epigenetic age predictor </w:t>
      </w:r>
      <w:r w:rsidRPr="004360D6">
        <w:rPr>
          <w:rFonts w:ascii="Times New Roman" w:hAnsi="Times New Roman" w:cs="Times New Roman"/>
          <w:color w:val="000000" w:themeColor="text1"/>
          <w:sz w:val="24"/>
          <w:szCs w:val="24"/>
          <w:lang w:val="en-GB"/>
        </w:rPr>
        <w:fldChar w:fldCharType="begin" w:fldLock="1"/>
      </w:r>
      <w:r w:rsidR="002D4B8A" w:rsidRPr="004360D6">
        <w:rPr>
          <w:rFonts w:ascii="Times New Roman" w:hAnsi="Times New Roman" w:cs="Times New Roman"/>
          <w:color w:val="000000" w:themeColor="text1"/>
          <w:sz w:val="24"/>
          <w:szCs w:val="24"/>
          <w:lang w:val="en-GB"/>
        </w:rPr>
        <w:instrText>ADDIN CSL_CITATION {"citationItems":[{"id":"ITEM-1","itemData":{"DOI":"10.1186/s13059-015-0649-6","ISSN":"1465-6906","abstract":"Background: It is not yet known whether DNA methylation levels can be used to accurately predict age across a broad spectrum of human tissues and cell types, nor whether the resulting age prediction is a biologically meaningful measure.","author":[{"dropping-particle":"","family":"Horvath","given":"Steve","non-dropping-particle":"","parse-names":false,"suffix":""}],"container-title":"Genome Biology","id":"ITEM-1","issue":"1","issued":{"date-parts":[["2015"]]},"page":"96","title":"DNA methylation age of human tissues and cell types","type":"article-journal","volume":"16"},"uris":["http://www.mendeley.com/documents/?uuid=7684d742-3cc9-40d4-b39c-8d3e15b5e786"]}],"mendeley":{"formattedCitation":"(5)","plainTextFormattedCitation":"(5)","previouslyFormattedCitation":"(5)"},"properties":{"noteIndex":0},"schema":"https://github.com/citation-style-language/schema/raw/master/csl-citation.json"}</w:instrText>
      </w:r>
      <w:r w:rsidRPr="004360D6">
        <w:rPr>
          <w:rFonts w:ascii="Times New Roman" w:hAnsi="Times New Roman" w:cs="Times New Roman"/>
          <w:color w:val="000000" w:themeColor="text1"/>
          <w:sz w:val="24"/>
          <w:szCs w:val="24"/>
          <w:lang w:val="en-GB"/>
        </w:rPr>
        <w:fldChar w:fldCharType="separate"/>
      </w:r>
      <w:r w:rsidR="00D11717" w:rsidRPr="004360D6">
        <w:rPr>
          <w:rFonts w:ascii="Times New Roman" w:hAnsi="Times New Roman" w:cs="Times New Roman"/>
          <w:noProof/>
          <w:color w:val="000000" w:themeColor="text1"/>
          <w:sz w:val="24"/>
          <w:szCs w:val="24"/>
          <w:lang w:val="en-GB"/>
        </w:rPr>
        <w:t>(5)</w:t>
      </w:r>
      <w:r w:rsidRPr="004360D6">
        <w:rPr>
          <w:rFonts w:ascii="Times New Roman" w:hAnsi="Times New Roman" w:cs="Times New Roman"/>
          <w:color w:val="000000" w:themeColor="text1"/>
          <w:sz w:val="24"/>
          <w:szCs w:val="24"/>
          <w:lang w:val="en-GB"/>
        </w:rPr>
        <w:fldChar w:fldCharType="end"/>
      </w:r>
      <w:r w:rsidRPr="004360D6">
        <w:rPr>
          <w:rFonts w:ascii="Times New Roman" w:hAnsi="Times New Roman" w:cs="Times New Roman"/>
          <w:color w:val="000000" w:themeColor="text1"/>
          <w:sz w:val="24"/>
          <w:szCs w:val="24"/>
          <w:lang w:val="en-GB"/>
        </w:rPr>
        <w:t xml:space="preserve"> and reported sex, or (g) there was a greater than 70% discrepancy between genotypes of 42 SNPs determined concurrently from the EPIC and GSA SNP genotyping array (see below). All samples were normalized with the </w:t>
      </w:r>
      <w:proofErr w:type="spellStart"/>
      <w:r w:rsidRPr="004360D6">
        <w:rPr>
          <w:rFonts w:ascii="Times New Roman" w:hAnsi="Times New Roman" w:cs="Times New Roman"/>
          <w:i/>
          <w:iCs/>
          <w:color w:val="000000" w:themeColor="text1"/>
          <w:sz w:val="24"/>
          <w:szCs w:val="24"/>
          <w:lang w:val="en-GB"/>
        </w:rPr>
        <w:t>dasen</w:t>
      </w:r>
      <w:proofErr w:type="spellEnd"/>
      <w:r w:rsidRPr="004360D6">
        <w:rPr>
          <w:rFonts w:ascii="Times New Roman" w:hAnsi="Times New Roman" w:cs="Times New Roman"/>
          <w:color w:val="000000" w:themeColor="text1"/>
          <w:sz w:val="24"/>
          <w:szCs w:val="24"/>
          <w:lang w:val="en-GB"/>
        </w:rPr>
        <w:t xml:space="preserve"> function of </w:t>
      </w:r>
      <w:proofErr w:type="spellStart"/>
      <w:r w:rsidRPr="004360D6">
        <w:rPr>
          <w:rFonts w:ascii="Times New Roman" w:hAnsi="Times New Roman" w:cs="Times New Roman"/>
          <w:color w:val="000000" w:themeColor="text1"/>
          <w:sz w:val="24"/>
          <w:szCs w:val="24"/>
          <w:lang w:val="en-GB"/>
        </w:rPr>
        <w:t>bigmelon</w:t>
      </w:r>
      <w:proofErr w:type="spellEnd"/>
      <w:r w:rsidRPr="004360D6">
        <w:rPr>
          <w:rFonts w:ascii="Times New Roman" w:hAnsi="Times New Roman" w:cs="Times New Roman"/>
          <w:color w:val="000000" w:themeColor="text1"/>
          <w:sz w:val="24"/>
          <w:szCs w:val="24"/>
          <w:lang w:val="en-GB"/>
        </w:rPr>
        <w:t>.</w:t>
      </w:r>
    </w:p>
    <w:p w14:paraId="5C41EB89" w14:textId="43E938C7" w:rsidR="00AB49CD" w:rsidRPr="004360D6" w:rsidRDefault="00A82051" w:rsidP="00AB49CD">
      <w:p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Cytosine-phosphate-guanine (</w:t>
      </w:r>
      <w:r w:rsidR="00AB49CD" w:rsidRPr="004360D6">
        <w:rPr>
          <w:rFonts w:ascii="Times New Roman" w:hAnsi="Times New Roman" w:cs="Times New Roman"/>
          <w:color w:val="000000" w:themeColor="text1"/>
          <w:sz w:val="24"/>
          <w:szCs w:val="24"/>
          <w:lang w:val="en-GB"/>
        </w:rPr>
        <w:t>CpG</w:t>
      </w:r>
      <w:r w:rsidRPr="004360D6">
        <w:rPr>
          <w:rFonts w:ascii="Times New Roman" w:hAnsi="Times New Roman" w:cs="Times New Roman"/>
          <w:color w:val="000000" w:themeColor="text1"/>
          <w:sz w:val="24"/>
          <w:szCs w:val="24"/>
          <w:lang w:val="en-GB"/>
        </w:rPr>
        <w:t xml:space="preserve">) </w:t>
      </w:r>
      <w:r w:rsidR="00AB49CD" w:rsidRPr="004360D6">
        <w:rPr>
          <w:rFonts w:ascii="Times New Roman" w:hAnsi="Times New Roman" w:cs="Times New Roman"/>
          <w:color w:val="000000" w:themeColor="text1"/>
          <w:sz w:val="24"/>
          <w:szCs w:val="24"/>
          <w:lang w:val="en-GB"/>
        </w:rPr>
        <w:t xml:space="preserve">probes were removed from the analysis if (a) they had a detection </w:t>
      </w:r>
      <w:r w:rsidR="00AB49CD" w:rsidRPr="004360D6">
        <w:rPr>
          <w:rFonts w:ascii="Times New Roman" w:hAnsi="Times New Roman" w:cs="Times New Roman"/>
          <w:i/>
          <w:iCs/>
          <w:color w:val="000000" w:themeColor="text1"/>
          <w:sz w:val="24"/>
          <w:szCs w:val="24"/>
          <w:lang w:val="en-GB"/>
        </w:rPr>
        <w:t>p</w:t>
      </w:r>
      <w:r w:rsidR="00AB49CD" w:rsidRPr="004360D6">
        <w:rPr>
          <w:rFonts w:ascii="Times New Roman" w:hAnsi="Times New Roman" w:cs="Times New Roman"/>
          <w:color w:val="000000" w:themeColor="text1"/>
          <w:sz w:val="24"/>
          <w:szCs w:val="24"/>
          <w:lang w:val="en-GB"/>
        </w:rPr>
        <w:t xml:space="preserve">-value below 0.05, (b) they had a </w:t>
      </w:r>
      <w:proofErr w:type="spellStart"/>
      <w:r w:rsidR="00AB49CD" w:rsidRPr="004360D6">
        <w:rPr>
          <w:rFonts w:ascii="Times New Roman" w:hAnsi="Times New Roman" w:cs="Times New Roman"/>
          <w:color w:val="000000" w:themeColor="text1"/>
          <w:sz w:val="24"/>
          <w:szCs w:val="24"/>
          <w:lang w:val="en-GB"/>
        </w:rPr>
        <w:t>beadcount</w:t>
      </w:r>
      <w:proofErr w:type="spellEnd"/>
      <w:r w:rsidR="00AB49CD" w:rsidRPr="004360D6">
        <w:rPr>
          <w:rFonts w:ascii="Times New Roman" w:hAnsi="Times New Roman" w:cs="Times New Roman"/>
          <w:color w:val="000000" w:themeColor="text1"/>
          <w:sz w:val="24"/>
          <w:szCs w:val="24"/>
          <w:lang w:val="en-GB"/>
        </w:rPr>
        <w:t xml:space="preserve"> &lt; 3, (c) they aligned to multiple locations according to </w:t>
      </w:r>
      <w:proofErr w:type="spellStart"/>
      <w:r w:rsidR="00AB49CD" w:rsidRPr="004360D6">
        <w:rPr>
          <w:rFonts w:ascii="Times New Roman" w:hAnsi="Times New Roman" w:cs="Times New Roman"/>
          <w:color w:val="000000" w:themeColor="text1"/>
          <w:sz w:val="24"/>
          <w:szCs w:val="24"/>
          <w:lang w:val="en-GB"/>
        </w:rPr>
        <w:t>Nordlund</w:t>
      </w:r>
      <w:proofErr w:type="spellEnd"/>
      <w:r w:rsidR="00AB49CD" w:rsidRPr="004360D6">
        <w:rPr>
          <w:rFonts w:ascii="Times New Roman" w:hAnsi="Times New Roman" w:cs="Times New Roman"/>
          <w:color w:val="000000" w:themeColor="text1"/>
          <w:sz w:val="24"/>
          <w:szCs w:val="24"/>
          <w:lang w:val="en-GB"/>
        </w:rPr>
        <w:t xml:space="preserve"> et al. </w:t>
      </w:r>
      <w:r w:rsidR="00AB49CD" w:rsidRPr="004360D6">
        <w:rPr>
          <w:rFonts w:ascii="Times New Roman" w:hAnsi="Times New Roman" w:cs="Times New Roman"/>
          <w:color w:val="000000" w:themeColor="text1"/>
          <w:sz w:val="24"/>
          <w:szCs w:val="24"/>
          <w:lang w:val="en-GB"/>
        </w:rPr>
        <w:fldChar w:fldCharType="begin" w:fldLock="1"/>
      </w:r>
      <w:r w:rsidR="002D4B8A" w:rsidRPr="004360D6">
        <w:rPr>
          <w:rFonts w:ascii="Times New Roman" w:hAnsi="Times New Roman" w:cs="Times New Roman"/>
          <w:color w:val="000000" w:themeColor="text1"/>
          <w:sz w:val="24"/>
          <w:szCs w:val="24"/>
          <w:lang w:val="en-GB"/>
        </w:rPr>
        <w:instrText>ADDIN CSL_CITATION {"citationItems":[{"id":"ITEM-1","itemData":{"DOI":"10.1186/gb-2013-14-9-r105","ISSN":"1474760X","abstract":"BACKGROUND: Although aberrant DNA methylation has been observed previously in acute lymphoblastic leukemia (ALL), the patterns of differential methylation have not been comprehensively determined in all subtypes of ALL on a genome-wide scale. The relationship between DNA methylation, cytogenetic background, drug resistance and relapse in ALL is poorly understood. RESULTS: We surveyed the DNA methylation levels of 435,941 CpG sites in samples from 764 children at diagnosis of ALL and from 27 children at relapse. This survey uncovered four characteristic methylation signatures. First, compared with control blood cells, the methylomes of ALL cells shared 9,406 predominantly hypermethylated CpG sites, independent of cytogenetic background. Second, each cytogenetic subtype of ALL displayed a unique set of hyper- and hypomethylated CpG sites. The CpG sites that constituted these two signatures differed in their functional genomic enrichment to regions with marks of active or repressed chromatin. Third, we identified subtype-specific differential methylation in promoter and enhancer regions that were strongly correlated with gene expression. Fourth, a set of 6,612 CpG sites was predominantly hypermethylated in ALL cells at relapse, compared with matched samples at diagnosis. Analysis of relapse-free survival identified CpG sites with subtype-specific differential methylation that divided the patients into different risk groups, depending on their methylation status. CONCLUSIONS: Our results suggest an important biological role for DNA methylation in the differences between ALL subtypes and in their clinical outcome after treatment.","author":[{"dropping-particle":"","family":"Nordlund","given":"Jessica","non-dropping-particle":"","parse-names":false,"suffix":""},{"dropping-particle":"","family":"Bäcklin","given":"Christofer L.","non-dropping-particle":"","parse-names":false,"suffix":""},{"dropping-particle":"","family":"Wahlberg","given":"Per","non-dropping-particle":"","parse-names":false,"suffix":""},{"dropping-particle":"","family":"Busche","given":"Stephan","non-dropping-particle":"","parse-names":false,"suffix":""},{"dropping-particle":"","family":"Berglund","given":"Eva C.","non-dropping-particle":"","parse-names":false,"suffix":""},{"dropping-particle":"","family":"Eloranta","given":"Maija Leena","non-dropping-particle":"","parse-names":false,"suffix":""},{"dropping-particle":"","family":"Flaegstad","given":"Trond","non-dropping-particle":"","parse-names":false,"suffix":""},{"dropping-particle":"","family":"Forestier","given":"Erik","non-dropping-particle":"","parse-names":false,"suffix":""},{"dropping-particle":"","family":"Frost","given":"Britt Marie","non-dropping-particle":"","parse-names":false,"suffix":""},{"dropping-particle":"","family":"Harila-Saari","given":"Arja","non-dropping-particle":"","parse-names":false,"suffix":""},{"dropping-particle":"","family":"Heyman","given":"Mats","non-dropping-particle":"","parse-names":false,"suffix":""},{"dropping-particle":"","family":"Jónsson","given":"Ólafur G.","non-dropping-particle":"","parse-names":false,"suffix":""},{"dropping-particle":"","family":"Larsson","given":"Rolf","non-dropping-particle":"","parse-names":false,"suffix":""},{"dropping-particle":"","family":"Palle","given":"Josefine","non-dropping-particle":"","parse-names":false,"suffix":""},{"dropping-particle":"","family":"Rönnblom","given":"Lars","non-dropping-particle":"","parse-names":false,"suffix":""},{"dropping-particle":"","family":"Schmiegelow","given":"Kjeld","non-dropping-particle":"","parse-names":false,"suffix":""},{"dropping-particle":"","family":"Sinnett","given":"Daniel","non-dropping-particle":"","parse-names":false,"suffix":""},{"dropping-particle":"","family":"Söderhäll","given":"Stefan","non-dropping-particle":"","parse-names":false,"suffix":""},{"dropping-particle":"","family":"Pastinen","given":"Tomi","non-dropping-particle":"","parse-names":false,"suffix":""},{"dropping-particle":"","family":"Gustafsson","given":"Mats G.","non-dropping-particle":"","parse-names":false,"suffix":""},{"dropping-particle":"","family":"Lönnerholm","given":"Gudmar","non-dropping-particle":"","parse-names":false,"suffix":""},{"dropping-particle":"","family":"Syvänen","given":"Ann Christine","non-dropping-particle":"","parse-names":false,"suffix":""}],"container-title":"Genome Biology","id":"ITEM-1","issue":"9","issued":{"date-parts":[["2013"]]},"title":"Genome-wide signatures of differential DNA methylation in pediatric acute lymphoblastic leukemia","type":"article-journal","volume":"14"},"uris":["http://www.mendeley.com/documents/?uuid=81d849b1-dd79-4854-8443-11047055622a"]}],"mendeley":{"formattedCitation":"(6)","plainTextFormattedCitation":"(6)","previouslyFormattedCitation":"(6)"},"properties":{"noteIndex":0},"schema":"https://github.com/citation-style-language/schema/raw/master/csl-citation.json"}</w:instrText>
      </w:r>
      <w:r w:rsidR="00AB49CD" w:rsidRPr="004360D6">
        <w:rPr>
          <w:rFonts w:ascii="Times New Roman" w:hAnsi="Times New Roman" w:cs="Times New Roman"/>
          <w:color w:val="000000" w:themeColor="text1"/>
          <w:sz w:val="24"/>
          <w:szCs w:val="24"/>
          <w:lang w:val="en-GB"/>
        </w:rPr>
        <w:fldChar w:fldCharType="separate"/>
      </w:r>
      <w:r w:rsidR="00D11717" w:rsidRPr="004360D6">
        <w:rPr>
          <w:rFonts w:ascii="Times New Roman" w:hAnsi="Times New Roman" w:cs="Times New Roman"/>
          <w:noProof/>
          <w:color w:val="000000" w:themeColor="text1"/>
          <w:sz w:val="24"/>
          <w:szCs w:val="24"/>
          <w:lang w:val="en-GB"/>
        </w:rPr>
        <w:t>(6)</w:t>
      </w:r>
      <w:r w:rsidR="00AB49CD" w:rsidRPr="004360D6">
        <w:rPr>
          <w:rFonts w:ascii="Times New Roman" w:hAnsi="Times New Roman" w:cs="Times New Roman"/>
          <w:color w:val="000000" w:themeColor="text1"/>
          <w:sz w:val="24"/>
          <w:szCs w:val="24"/>
          <w:lang w:val="en-GB"/>
        </w:rPr>
        <w:fldChar w:fldCharType="end"/>
      </w:r>
      <w:r w:rsidR="00AB49CD" w:rsidRPr="004360D6">
        <w:rPr>
          <w:rFonts w:ascii="Times New Roman" w:hAnsi="Times New Roman" w:cs="Times New Roman"/>
          <w:color w:val="000000" w:themeColor="text1"/>
          <w:sz w:val="24"/>
          <w:szCs w:val="24"/>
          <w:lang w:val="en-GB"/>
        </w:rPr>
        <w:t xml:space="preserve">, (d) they aligned to locations influenced by SNPs according to Zhou et al. </w:t>
      </w:r>
      <w:r w:rsidR="00AB49CD" w:rsidRPr="004360D6">
        <w:rPr>
          <w:rFonts w:ascii="Times New Roman" w:hAnsi="Times New Roman" w:cs="Times New Roman"/>
          <w:color w:val="000000" w:themeColor="text1"/>
          <w:sz w:val="24"/>
          <w:szCs w:val="24"/>
          <w:lang w:val="en-GB"/>
        </w:rPr>
        <w:fldChar w:fldCharType="begin" w:fldLock="1"/>
      </w:r>
      <w:r w:rsidR="002D4B8A" w:rsidRPr="004360D6">
        <w:rPr>
          <w:rFonts w:ascii="Times New Roman" w:hAnsi="Times New Roman" w:cs="Times New Roman"/>
          <w:color w:val="000000" w:themeColor="text1"/>
          <w:sz w:val="24"/>
          <w:szCs w:val="24"/>
          <w:lang w:val="en-GB"/>
        </w:rPr>
        <w:instrText>ADDIN CSL_CITATION {"citationItems":[{"id":"ITEM-1","itemData":{"DOI":"10.1093/nar/gkw967","ISSN":"13624962","abstract":"Illumina Infinium DNA Methylation BeadChips represent the most widely used genome-scale DNA methylation assays. Existing strategies for masking Infinium probes overlapping repeats or single nucleotide polymorphisms (SNPs) are based largely on ad hoc assumptions and subjective criteria. In addition, the recently introduced MethylationEPIC (EPIC) array expands on the utility of this platform, but has not yet been well characterized. We present in this paper an extensive characterization of probes on the EPIC and HM450 microarrays, including mappability to the latest genome build, genomic copy number of the 3΄ nested subsequence and influence of polymorphisms including a previously unrecognized color channel switch for Type I probes. We show empirical evidence for exclusion criteria for underperforming probes, providing a sounder basis than current ad hoc criteria for exclusion. In addition, we describe novel probe uses, exemplified by the addition of a total of 1052 SNP probes to the existing 59 explicit SNP probes on the EPIC array and the use of these probes to predict ethnicity. Finally, we present an innovative out-of-band color channel application for the dual use of 62 371 probes as internal bisulfite conversion controls.","author":[{"dropping-particle":"","family":"Zhou","given":"Wanding","non-dropping-particle":"","parse-names":false,"suffix":""},{"dropping-particle":"","family":"Laird","given":"Peter W.","non-dropping-particle":"","parse-names":false,"suffix":""},{"dropping-particle":"","family":"Shen","given":"Hui","non-dropping-particle":"","parse-names":false,"suffix":""}],"container-title":"Nucleic acids research","id":"ITEM-1","issue":"4","issued":{"date-parts":[["2017"]]},"page":"e22","title":"Comprehensive characterization, annotation and innovative use of Infinium DNA methylation BeadChip probes","type":"article-journal","volume":"45"},"uris":["http://www.mendeley.com/documents/?uuid=8fdedc47-63eb-429f-9593-718c84d654f4"]}],"mendeley":{"formattedCitation":"(7)","plainTextFormattedCitation":"(7)","previouslyFormattedCitation":"(7)"},"properties":{"noteIndex":0},"schema":"https://github.com/citation-style-language/schema/raw/master/csl-citation.json"}</w:instrText>
      </w:r>
      <w:r w:rsidR="00AB49CD" w:rsidRPr="004360D6">
        <w:rPr>
          <w:rFonts w:ascii="Times New Roman" w:hAnsi="Times New Roman" w:cs="Times New Roman"/>
          <w:color w:val="000000" w:themeColor="text1"/>
          <w:sz w:val="24"/>
          <w:szCs w:val="24"/>
          <w:lang w:val="en-GB"/>
        </w:rPr>
        <w:fldChar w:fldCharType="separate"/>
      </w:r>
      <w:r w:rsidR="00D11717" w:rsidRPr="004360D6">
        <w:rPr>
          <w:rFonts w:ascii="Times New Roman" w:hAnsi="Times New Roman" w:cs="Times New Roman"/>
          <w:noProof/>
          <w:color w:val="000000" w:themeColor="text1"/>
          <w:sz w:val="24"/>
          <w:szCs w:val="24"/>
          <w:lang w:val="en-GB"/>
        </w:rPr>
        <w:t>(7)</w:t>
      </w:r>
      <w:r w:rsidR="00AB49CD" w:rsidRPr="004360D6">
        <w:rPr>
          <w:rFonts w:ascii="Times New Roman" w:hAnsi="Times New Roman" w:cs="Times New Roman"/>
          <w:color w:val="000000" w:themeColor="text1"/>
          <w:sz w:val="24"/>
          <w:szCs w:val="24"/>
          <w:lang w:val="en-GB"/>
        </w:rPr>
        <w:fldChar w:fldCharType="end"/>
      </w:r>
      <w:r w:rsidR="00AB49CD" w:rsidRPr="004360D6">
        <w:rPr>
          <w:rFonts w:ascii="Times New Roman" w:hAnsi="Times New Roman" w:cs="Times New Roman"/>
          <w:color w:val="000000" w:themeColor="text1"/>
          <w:sz w:val="24"/>
          <w:szCs w:val="24"/>
          <w:lang w:val="en-GB"/>
        </w:rPr>
        <w:t>, or (e) they aligned to locations on the X and Y chromosomes.</w:t>
      </w:r>
    </w:p>
    <w:p w14:paraId="4C2EB08C" w14:textId="34EDFF20" w:rsidR="00E95AFA" w:rsidRPr="004360D6" w:rsidRDefault="00AB49CD" w:rsidP="00E50097">
      <w:p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lastRenderedPageBreak/>
        <w:t>The final analyses included 665,796 CpG-probes in 149 samples for the</w:t>
      </w:r>
      <w:r w:rsidR="004A1E8E" w:rsidRPr="004360D6">
        <w:rPr>
          <w:rFonts w:ascii="Times New Roman" w:hAnsi="Times New Roman" w:cs="Times New Roman"/>
          <w:color w:val="000000" w:themeColor="text1"/>
          <w:sz w:val="24"/>
          <w:szCs w:val="24"/>
          <w:lang w:val="en-GB"/>
        </w:rPr>
        <w:t xml:space="preserve"> Alzheimer’s disease</w:t>
      </w:r>
      <w:r w:rsidRPr="004360D6">
        <w:rPr>
          <w:rFonts w:ascii="Times New Roman" w:hAnsi="Times New Roman" w:cs="Times New Roman"/>
          <w:color w:val="000000" w:themeColor="text1"/>
          <w:sz w:val="24"/>
          <w:szCs w:val="24"/>
          <w:lang w:val="en-GB"/>
        </w:rPr>
        <w:t xml:space="preserve"> </w:t>
      </w:r>
      <w:r w:rsidR="004A1E8E" w:rsidRPr="004360D6">
        <w:rPr>
          <w:rFonts w:ascii="Times New Roman" w:hAnsi="Times New Roman" w:cs="Times New Roman"/>
          <w:color w:val="000000" w:themeColor="text1"/>
          <w:sz w:val="24"/>
          <w:szCs w:val="24"/>
          <w:lang w:val="en-GB"/>
        </w:rPr>
        <w:t>(</w:t>
      </w:r>
      <w:r w:rsidRPr="004360D6">
        <w:rPr>
          <w:rFonts w:ascii="Times New Roman" w:hAnsi="Times New Roman" w:cs="Times New Roman"/>
          <w:color w:val="000000" w:themeColor="text1"/>
          <w:sz w:val="24"/>
          <w:szCs w:val="24"/>
          <w:lang w:val="en-GB"/>
        </w:rPr>
        <w:t>AD</w:t>
      </w:r>
      <w:r w:rsidR="004A1E8E" w:rsidRPr="004360D6">
        <w:rPr>
          <w:rFonts w:ascii="Times New Roman" w:hAnsi="Times New Roman" w:cs="Times New Roman"/>
          <w:color w:val="000000" w:themeColor="text1"/>
          <w:sz w:val="24"/>
          <w:szCs w:val="24"/>
          <w:lang w:val="en-GB"/>
        </w:rPr>
        <w:t>)</w:t>
      </w:r>
      <w:r w:rsidRPr="004360D6">
        <w:rPr>
          <w:rFonts w:ascii="Times New Roman" w:hAnsi="Times New Roman" w:cs="Times New Roman"/>
          <w:color w:val="000000" w:themeColor="text1"/>
          <w:sz w:val="24"/>
          <w:szCs w:val="24"/>
          <w:lang w:val="en-GB"/>
        </w:rPr>
        <w:t xml:space="preserve"> case-control</w:t>
      </w:r>
      <w:r w:rsidR="000A224E" w:rsidRPr="004360D6">
        <w:rPr>
          <w:rFonts w:ascii="Times New Roman" w:hAnsi="Times New Roman" w:cs="Times New Roman"/>
          <w:color w:val="000000" w:themeColor="text1"/>
          <w:sz w:val="24"/>
          <w:szCs w:val="24"/>
          <w:lang w:val="en-GB"/>
        </w:rPr>
        <w:t xml:space="preserve"> epigenome-wide association study</w:t>
      </w:r>
      <w:r w:rsidRPr="004360D6">
        <w:rPr>
          <w:rFonts w:ascii="Times New Roman" w:hAnsi="Times New Roman" w:cs="Times New Roman"/>
          <w:color w:val="000000" w:themeColor="text1"/>
          <w:sz w:val="24"/>
          <w:szCs w:val="24"/>
          <w:lang w:val="en-GB"/>
        </w:rPr>
        <w:t xml:space="preserve"> </w:t>
      </w:r>
      <w:r w:rsidR="00BD4092" w:rsidRPr="004360D6">
        <w:rPr>
          <w:rFonts w:ascii="Times New Roman" w:hAnsi="Times New Roman" w:cs="Times New Roman"/>
          <w:color w:val="000000" w:themeColor="text1"/>
          <w:sz w:val="24"/>
          <w:szCs w:val="24"/>
          <w:lang w:val="en-GB"/>
        </w:rPr>
        <w:t>(</w:t>
      </w:r>
      <w:r w:rsidRPr="004360D6">
        <w:rPr>
          <w:rFonts w:ascii="Times New Roman" w:hAnsi="Times New Roman" w:cs="Times New Roman"/>
          <w:color w:val="000000" w:themeColor="text1"/>
          <w:sz w:val="24"/>
          <w:szCs w:val="24"/>
          <w:lang w:val="en-GB"/>
        </w:rPr>
        <w:t>EWAS</w:t>
      </w:r>
      <w:r w:rsidR="00BD4092" w:rsidRPr="004360D6">
        <w:rPr>
          <w:rFonts w:ascii="Times New Roman" w:hAnsi="Times New Roman" w:cs="Times New Roman"/>
          <w:color w:val="000000" w:themeColor="text1"/>
          <w:sz w:val="24"/>
          <w:szCs w:val="24"/>
          <w:lang w:val="en-GB"/>
        </w:rPr>
        <w:t>)</w:t>
      </w:r>
      <w:r w:rsidRPr="004360D6">
        <w:rPr>
          <w:rFonts w:ascii="Times New Roman" w:hAnsi="Times New Roman" w:cs="Times New Roman"/>
          <w:color w:val="000000" w:themeColor="text1"/>
          <w:sz w:val="24"/>
          <w:szCs w:val="24"/>
          <w:lang w:val="en-GB"/>
        </w:rPr>
        <w:t xml:space="preserve"> and 142 samples for the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EWAS. </w:t>
      </w:r>
      <w:r w:rsidR="00E34AC0" w:rsidRPr="004360D6">
        <w:rPr>
          <w:rFonts w:ascii="Times New Roman" w:hAnsi="Times New Roman" w:cs="Times New Roman"/>
          <w:color w:val="000000" w:themeColor="text1"/>
          <w:sz w:val="24"/>
          <w:szCs w:val="24"/>
          <w:lang w:val="en-GB"/>
        </w:rPr>
        <w:t>Accordingly, our study-wide alpha level was set to</w:t>
      </w:r>
      <w:r w:rsidR="00E50097" w:rsidRPr="004360D6">
        <w:rPr>
          <w:rFonts w:ascii="Times New Roman" w:hAnsi="Times New Roman" w:cs="Times New Roman"/>
          <w:color w:val="000000" w:themeColor="text1"/>
          <w:sz w:val="24"/>
          <w:szCs w:val="24"/>
          <w:lang w:val="en-GB"/>
        </w:rPr>
        <w:t xml:space="preserve"> 7.51E-08 to adjust for 665,796 </w:t>
      </w:r>
      <w:proofErr w:type="spellStart"/>
      <w:r w:rsidR="00E50097" w:rsidRPr="004360D6">
        <w:rPr>
          <w:rFonts w:ascii="Times New Roman" w:hAnsi="Times New Roman" w:cs="Times New Roman"/>
          <w:color w:val="000000" w:themeColor="text1"/>
          <w:sz w:val="24"/>
          <w:szCs w:val="24"/>
          <w:lang w:val="en-GB"/>
        </w:rPr>
        <w:t>analyzed</w:t>
      </w:r>
      <w:proofErr w:type="spellEnd"/>
      <w:r w:rsidR="00E50097" w:rsidRPr="004360D6">
        <w:rPr>
          <w:rFonts w:ascii="Times New Roman" w:hAnsi="Times New Roman" w:cs="Times New Roman"/>
          <w:color w:val="000000" w:themeColor="text1"/>
          <w:sz w:val="24"/>
          <w:szCs w:val="24"/>
          <w:lang w:val="en-GB"/>
        </w:rPr>
        <w:t xml:space="preserve"> </w:t>
      </w:r>
      <w:proofErr w:type="spellStart"/>
      <w:r w:rsidR="00E50097" w:rsidRPr="004360D6">
        <w:rPr>
          <w:rFonts w:ascii="Times New Roman" w:hAnsi="Times New Roman" w:cs="Times New Roman"/>
          <w:color w:val="000000" w:themeColor="text1"/>
          <w:sz w:val="24"/>
          <w:szCs w:val="24"/>
          <w:lang w:val="en-GB"/>
        </w:rPr>
        <w:t>CpGs</w:t>
      </w:r>
      <w:proofErr w:type="spellEnd"/>
      <w:r w:rsidR="00E50097" w:rsidRPr="004360D6">
        <w:rPr>
          <w:rFonts w:ascii="Times New Roman" w:hAnsi="Times New Roman" w:cs="Times New Roman"/>
          <w:color w:val="000000" w:themeColor="text1"/>
          <w:sz w:val="24"/>
          <w:szCs w:val="24"/>
          <w:lang w:val="en-GB"/>
        </w:rPr>
        <w:t xml:space="preserve"> in this arm of our study. Note that for the meta-analyses of our </w:t>
      </w:r>
      <w:proofErr w:type="spellStart"/>
      <w:r w:rsidR="00CA64F7" w:rsidRPr="004360D6">
        <w:rPr>
          <w:rFonts w:ascii="Times New Roman" w:hAnsi="Times New Roman" w:cs="Times New Roman"/>
          <w:color w:val="000000" w:themeColor="text1"/>
          <w:sz w:val="24"/>
          <w:szCs w:val="24"/>
          <w:lang w:val="en-GB"/>
        </w:rPr>
        <w:t>DNAm</w:t>
      </w:r>
      <w:proofErr w:type="spellEnd"/>
      <w:r w:rsidR="00CA64F7" w:rsidRPr="004360D6">
        <w:rPr>
          <w:rFonts w:ascii="Times New Roman" w:hAnsi="Times New Roman" w:cs="Times New Roman"/>
          <w:color w:val="000000" w:themeColor="text1"/>
          <w:sz w:val="24"/>
          <w:szCs w:val="24"/>
          <w:lang w:val="en-GB"/>
        </w:rPr>
        <w:t xml:space="preserve"> </w:t>
      </w:r>
      <w:r w:rsidR="00E50097" w:rsidRPr="004360D6">
        <w:rPr>
          <w:rFonts w:ascii="Times New Roman" w:hAnsi="Times New Roman" w:cs="Times New Roman"/>
          <w:color w:val="000000" w:themeColor="text1"/>
          <w:sz w:val="24"/>
          <w:szCs w:val="24"/>
          <w:lang w:val="en-GB"/>
        </w:rPr>
        <w:t xml:space="preserve">data with that from GSE59685 and GSE105109 only 304,996 </w:t>
      </w:r>
      <w:proofErr w:type="spellStart"/>
      <w:r w:rsidR="00E50097" w:rsidRPr="004360D6">
        <w:rPr>
          <w:rFonts w:ascii="Times New Roman" w:hAnsi="Times New Roman" w:cs="Times New Roman"/>
          <w:color w:val="000000" w:themeColor="text1"/>
          <w:sz w:val="24"/>
          <w:szCs w:val="24"/>
          <w:lang w:val="en-GB"/>
        </w:rPr>
        <w:t>CpGs</w:t>
      </w:r>
      <w:proofErr w:type="spellEnd"/>
      <w:r w:rsidR="00E50097" w:rsidRPr="004360D6">
        <w:rPr>
          <w:rFonts w:ascii="Times New Roman" w:hAnsi="Times New Roman" w:cs="Times New Roman"/>
          <w:color w:val="000000" w:themeColor="text1"/>
          <w:sz w:val="24"/>
          <w:szCs w:val="24"/>
          <w:lang w:val="en-GB"/>
        </w:rPr>
        <w:t xml:space="preserve"> were tested</w:t>
      </w:r>
      <w:r w:rsidR="00CA64F7" w:rsidRPr="004360D6">
        <w:rPr>
          <w:rFonts w:ascii="Times New Roman" w:hAnsi="Times New Roman" w:cs="Times New Roman"/>
          <w:color w:val="000000" w:themeColor="text1"/>
          <w:sz w:val="24"/>
          <w:szCs w:val="24"/>
          <w:lang w:val="en-GB"/>
        </w:rPr>
        <w:t xml:space="preserve"> due to the usage of lower resolution arrays in the prior studies</w:t>
      </w:r>
      <w:r w:rsidR="00E50097" w:rsidRPr="004360D6">
        <w:rPr>
          <w:rFonts w:ascii="Times New Roman" w:hAnsi="Times New Roman" w:cs="Times New Roman"/>
          <w:color w:val="000000" w:themeColor="text1"/>
          <w:sz w:val="24"/>
          <w:szCs w:val="24"/>
          <w:lang w:val="en-GB"/>
        </w:rPr>
        <w:t xml:space="preserve">; accordingly, we set the study-wide alpha for the meta-analysis arm to 1.64E-07. </w:t>
      </w:r>
      <w:r w:rsidRPr="004360D6">
        <w:rPr>
          <w:rFonts w:ascii="Times New Roman" w:hAnsi="Times New Roman" w:cs="Times New Roman"/>
          <w:color w:val="000000" w:themeColor="text1"/>
          <w:sz w:val="24"/>
          <w:szCs w:val="24"/>
          <w:lang w:val="en-GB"/>
        </w:rPr>
        <w:t>A detailed sample description can be found in Table 1.</w:t>
      </w:r>
    </w:p>
    <w:p w14:paraId="09E91333" w14:textId="77777777" w:rsidR="00207C20" w:rsidRPr="004360D6" w:rsidRDefault="00207C20" w:rsidP="00207C20">
      <w:pPr>
        <w:pStyle w:val="Heading2"/>
        <w:jc w:val="both"/>
        <w:rPr>
          <w:rFonts w:cs="Times New Roman"/>
          <w:i w:val="0"/>
          <w:iCs/>
          <w:szCs w:val="24"/>
          <w:lang w:val="en-GB"/>
        </w:rPr>
      </w:pPr>
      <w:r w:rsidRPr="004360D6">
        <w:rPr>
          <w:rFonts w:cs="Times New Roman"/>
          <w:iCs/>
          <w:szCs w:val="24"/>
          <w:lang w:val="en-GB"/>
        </w:rPr>
        <w:t xml:space="preserve">RNA sequencing and quality control </w:t>
      </w:r>
    </w:p>
    <w:p w14:paraId="1D5CBDC6" w14:textId="62291F22" w:rsidR="00207C20" w:rsidRPr="004360D6" w:rsidRDefault="00207C20" w:rsidP="00AB49CD">
      <w:pPr>
        <w:spacing w:line="480" w:lineRule="auto"/>
        <w:jc w:val="both"/>
        <w:rPr>
          <w:rFonts w:ascii="Times New Roman" w:eastAsia="Calibri" w:hAnsi="Times New Roman" w:cs="Times New Roman"/>
          <w:color w:val="000000" w:themeColor="text1"/>
          <w:sz w:val="24"/>
          <w:szCs w:val="24"/>
          <w:lang w:val="en-GB"/>
        </w:rPr>
      </w:pPr>
      <w:r w:rsidRPr="004360D6">
        <w:rPr>
          <w:rFonts w:ascii="Times New Roman" w:eastAsia="Calibri" w:hAnsi="Times New Roman" w:cs="Times New Roman"/>
          <w:color w:val="000000" w:themeColor="text1"/>
          <w:sz w:val="24"/>
          <w:szCs w:val="24"/>
          <w:lang w:val="en-GB"/>
        </w:rPr>
        <w:t xml:space="preserve">Total RNA was extracted from EC samples as described above. Libraries were generated using the </w:t>
      </w:r>
      <w:proofErr w:type="spellStart"/>
      <w:r w:rsidRPr="004360D6">
        <w:rPr>
          <w:rFonts w:ascii="Times New Roman" w:eastAsia="Calibri" w:hAnsi="Times New Roman" w:cs="Times New Roman"/>
          <w:color w:val="000000" w:themeColor="text1"/>
          <w:sz w:val="24"/>
          <w:szCs w:val="24"/>
          <w:lang w:val="en-GB"/>
        </w:rPr>
        <w:t>TruSeq</w:t>
      </w:r>
      <w:proofErr w:type="spellEnd"/>
      <w:r w:rsidRPr="004360D6">
        <w:rPr>
          <w:rFonts w:ascii="Times New Roman" w:eastAsia="Calibri" w:hAnsi="Times New Roman" w:cs="Times New Roman"/>
          <w:color w:val="000000" w:themeColor="text1"/>
          <w:sz w:val="24"/>
          <w:szCs w:val="24"/>
          <w:lang w:val="en-GB"/>
        </w:rPr>
        <w:t xml:space="preserve"> Stranded Total RNA kit (Illumina) and sequenced at a target depth of 30 M reads per samples in 2x100 bp paired-end mode on a </w:t>
      </w:r>
      <w:proofErr w:type="spellStart"/>
      <w:r w:rsidRPr="004360D6">
        <w:rPr>
          <w:rFonts w:ascii="Times New Roman" w:eastAsia="Calibri" w:hAnsi="Times New Roman" w:cs="Times New Roman"/>
          <w:color w:val="000000" w:themeColor="text1"/>
          <w:sz w:val="24"/>
          <w:szCs w:val="24"/>
          <w:lang w:val="en-GB"/>
        </w:rPr>
        <w:t>NovaSeq</w:t>
      </w:r>
      <w:proofErr w:type="spellEnd"/>
      <w:r w:rsidRPr="004360D6">
        <w:rPr>
          <w:rFonts w:ascii="Times New Roman" w:eastAsia="Calibri" w:hAnsi="Times New Roman" w:cs="Times New Roman"/>
          <w:color w:val="000000" w:themeColor="text1"/>
          <w:sz w:val="24"/>
          <w:szCs w:val="24"/>
          <w:lang w:val="en-GB"/>
        </w:rPr>
        <w:t xml:space="preserve"> 6000 device (Illumina)</w:t>
      </w:r>
      <w:r w:rsidR="00E775E6" w:rsidRPr="004360D6">
        <w:rPr>
          <w:rFonts w:ascii="Times New Roman" w:eastAsia="Calibri" w:hAnsi="Times New Roman" w:cs="Times New Roman"/>
          <w:color w:val="000000" w:themeColor="text1"/>
          <w:sz w:val="24"/>
          <w:szCs w:val="24"/>
          <w:lang w:val="en-GB"/>
        </w:rPr>
        <w:t xml:space="preserve"> with 2 x 100 bp reads</w:t>
      </w:r>
      <w:r w:rsidRPr="004360D6">
        <w:rPr>
          <w:rFonts w:ascii="Times New Roman" w:eastAsia="Calibri" w:hAnsi="Times New Roman" w:cs="Times New Roman"/>
          <w:color w:val="000000" w:themeColor="text1"/>
          <w:sz w:val="24"/>
          <w:szCs w:val="24"/>
          <w:lang w:val="en-GB"/>
        </w:rPr>
        <w:t xml:space="preserve">. All transcripts </w:t>
      </w:r>
      <w:r w:rsidR="00F002B5" w:rsidRPr="004360D6">
        <w:rPr>
          <w:rFonts w:ascii="Times New Roman" w:eastAsia="Calibri" w:hAnsi="Times New Roman" w:cs="Times New Roman"/>
          <w:color w:val="000000" w:themeColor="text1"/>
          <w:sz w:val="24"/>
          <w:szCs w:val="24"/>
          <w:lang w:val="en-GB"/>
        </w:rPr>
        <w:t xml:space="preserve">were </w:t>
      </w:r>
      <w:proofErr w:type="spellStart"/>
      <w:r w:rsidR="00F002B5" w:rsidRPr="004360D6">
        <w:rPr>
          <w:rFonts w:ascii="Times New Roman" w:eastAsia="Calibri" w:hAnsi="Times New Roman" w:cs="Times New Roman"/>
          <w:color w:val="000000" w:themeColor="text1"/>
          <w:sz w:val="24"/>
          <w:szCs w:val="24"/>
          <w:lang w:val="en-GB"/>
        </w:rPr>
        <w:t>pseudoaligned</w:t>
      </w:r>
      <w:proofErr w:type="spellEnd"/>
      <w:r w:rsidR="00F002B5" w:rsidRPr="004360D6">
        <w:rPr>
          <w:rFonts w:ascii="Times New Roman" w:eastAsia="Calibri" w:hAnsi="Times New Roman" w:cs="Times New Roman"/>
          <w:color w:val="000000" w:themeColor="text1"/>
          <w:sz w:val="24"/>
          <w:szCs w:val="24"/>
          <w:lang w:val="en-GB"/>
        </w:rPr>
        <w:t xml:space="preserve"> to the human transcriptome using </w:t>
      </w:r>
      <w:r w:rsidRPr="004360D6">
        <w:rPr>
          <w:rFonts w:ascii="Times New Roman" w:eastAsia="Calibri" w:hAnsi="Times New Roman" w:cs="Times New Roman"/>
          <w:color w:val="000000" w:themeColor="text1"/>
          <w:sz w:val="24"/>
          <w:szCs w:val="24"/>
          <w:lang w:val="en-GB"/>
        </w:rPr>
        <w:t xml:space="preserve">the </w:t>
      </w:r>
      <w:proofErr w:type="spellStart"/>
      <w:r w:rsidRPr="004360D6">
        <w:rPr>
          <w:rFonts w:ascii="Times New Roman" w:eastAsia="Calibri" w:hAnsi="Times New Roman" w:cs="Times New Roman"/>
          <w:color w:val="000000" w:themeColor="text1"/>
          <w:sz w:val="24"/>
          <w:szCs w:val="24"/>
          <w:lang w:val="en-GB"/>
        </w:rPr>
        <w:t>Ensembl</w:t>
      </w:r>
      <w:proofErr w:type="spellEnd"/>
      <w:r w:rsidRPr="004360D6">
        <w:rPr>
          <w:rFonts w:ascii="Times New Roman" w:eastAsia="Calibri" w:hAnsi="Times New Roman" w:cs="Times New Roman"/>
          <w:color w:val="000000" w:themeColor="text1"/>
          <w:sz w:val="24"/>
          <w:szCs w:val="24"/>
          <w:lang w:val="en-GB"/>
        </w:rPr>
        <w:t xml:space="preserve"> human genes annotation (version 100)</w:t>
      </w:r>
      <w:r w:rsidR="002D7169" w:rsidRPr="004360D6">
        <w:rPr>
          <w:rFonts w:ascii="Times New Roman" w:eastAsia="Calibri" w:hAnsi="Times New Roman" w:cs="Times New Roman"/>
          <w:color w:val="000000" w:themeColor="text1"/>
          <w:sz w:val="24"/>
          <w:szCs w:val="24"/>
          <w:lang w:val="en-GB"/>
        </w:rPr>
        <w:t xml:space="preserve"> </w:t>
      </w:r>
      <w:r w:rsidR="002D4B8A" w:rsidRPr="004360D6">
        <w:rPr>
          <w:rFonts w:ascii="Times New Roman" w:eastAsia="Calibri" w:hAnsi="Times New Roman" w:cs="Times New Roman"/>
          <w:color w:val="000000" w:themeColor="text1"/>
          <w:sz w:val="24"/>
          <w:szCs w:val="24"/>
          <w:lang w:val="en-GB"/>
        </w:rPr>
        <w:fldChar w:fldCharType="begin" w:fldLock="1"/>
      </w:r>
      <w:r w:rsidR="00394D13" w:rsidRPr="004360D6">
        <w:rPr>
          <w:rFonts w:ascii="Times New Roman" w:eastAsia="Calibri" w:hAnsi="Times New Roman" w:cs="Times New Roman"/>
          <w:color w:val="000000" w:themeColor="text1"/>
          <w:sz w:val="24"/>
          <w:szCs w:val="24"/>
          <w:lang w:val="en-GB"/>
        </w:rPr>
        <w:instrText>ADDIN CSL_CITATION {"citationItems":[{"id":"ITEM-1","itemData":{"DOI":"10.1093/NAR/GKAA942","ISSN":"0305-1048","PMID":"33137190","abstract":"The Ensembl project (https://www.ensembl.org) annotates genomes and disseminates genomic data for vertebrate species. We create detailed and comprehensive annotation of gene structures, regulatory elements and variants, and enable comparative genomics by inferring the evolutionary history of genes and genomes. Our integrated genomic data are made available in a variety of ways, including genome browsers, search interfaces, specialist tools such as the Ensembl Variant Effect Predictor, download files and programmatic interfaces. Here, we present recent Ensembl developments including two new website portals. Ensembl Rapid Release (http://rapid.ensembl.org) is designed to provide core tools and services for genomes as soon as possible and has been deployed to support large biodiversity sequencing projects. Our SARS-CoV-2 genome browser (https://covid-19.ensembl.org) integrates our own annotation with publicly available genomic data from numerous sources to facilitate the use of genomics in the international scientific response to the COVID-19 pandemic. We also report on other updates to our annotation resources, tools and services. All Ensembl data and software are freely available without restriction.","author":[{"dropping-particle":"","family":"Howe","given":"Kevin L.","non-dropping-particle":"","parse-names":false,"suffix":""},{"dropping-particle":"","family":"Achuthan","given":"Premanand","non-dropping-particle":"","parse-names":false,"suffix":""},{"dropping-particle":"","family":"Allen","given":"James","non-dropping-particle":"","parse-names":false,"suffix":""},{"dropping-particle":"","family":"Allen","given":"Jamie","non-dropping-particle":"","parse-names":false,"suffix":""},{"dropping-particle":"","family":"Alvarez-Jarreta","given":"Jorge","non-dropping-particle":"","parse-names":false,"suffix":""},{"dropping-particle":"","family":"Ridwan Amode","given":"M.","non-dropping-particle":"","parse-names":false,"suffix":""},{"dropping-particle":"","family":"Armean","given":"Irina M.","non-dropping-particle":"","parse-names":false,"suffix":""},{"dropping-particle":"","family":"Azov","given":"Andrey G.","non-dropping-particle":"","parse-names":false,"suffix":""},{"dropping-particle":"","family":"Bennett","given":"Ruth","non-dropping-particle":"","parse-names":false,"suffix":""},{"dropping-particle":"","family":"Bhai","given":"Jyothish","non-dropping-particle":"","parse-names":false,"suffix":""},{"dropping-particle":"","family":"Billis","given":"Konstantinos","non-dropping-particle":"","parse-names":false,"suffix":""},{"dropping-particle":"","family":"Boddu","given":"Sanjay","non-dropping-particle":"","parse-names":false,"suffix":""},{"dropping-particle":"","family":"Charkhchi","given":"Mehrnaz","non-dropping-particle":"","parse-names":false,"suffix":""},{"dropping-particle":"","family":"Cummins","given":"Carla","non-dropping-particle":"","parse-names":false,"suffix":""},{"dropping-particle":"","family":"Rin Fioretto","given":"Luca","non-dropping-particle":"da","parse-names":false,"suffix":""},{"dropping-particle":"","family":"Davidson","given":"Claire","non-dropping-particle":"","parse-names":false,"suffix":""},{"dropping-particle":"","family":"Dodiya","given":"Kamalkumar","non-dropping-particle":"","parse-names":false,"suffix":""},{"dropping-particle":"","family":"Houdaigui","given":"Bilal","non-dropping-particle":"El","parse-names":false,"suffix":""},{"dropping-particle":"","family":"Fatima","given":"Reham","non-dropping-particle":"","parse-names":false,"suffix":""},{"dropping-particle":"","family":"Gall","given":"Astrid","non-dropping-particle":"","parse-names":false,"suffix":""},{"dropping-particle":"","family":"Giron","given":"Carlos Garcia","non-dropping-particle":"","parse-names":false,"suffix":""},{"dropping-particle":"","family":"Grego","given":"Tiago","non-dropping-particle":"","parse-names":false,"suffix":""},{"dropping-particle":"","family":"Guijarro-Clarke","given":"Cristina","non-dropping-particle":"","parse-names":false,"suffix":""},{"dropping-particle":"","family":"Haggerty","given":"Leanne","non-dropping-particle":"","parse-names":false,"suffix":""},{"dropping-particle":"","family":"Hemrom","given":"Anmol","non-dropping-particle":"","parse-names":false,"suffix":""},{"dropping-particle":"","family":"Hourlier","given":"Thibaut","non-dropping-particle":"","parse-names":false,"suffix":""},{"dropping-particle":"","family":"Izuogu","given":"Osagie G.","non-dropping-particle":"","parse-names":false,"suffix":""},{"dropping-particle":"","family":"Juettemann","given":"Thomas","non-dropping-particle":"","parse-names":false,"suffix":""},{"dropping-particle":"","family":"Kaikala","given":"Vinay","non-dropping-particle":"","parse-names":false,"suffix":""},{"dropping-particle":"","family":"Kay","given":"Mike","non-dropping-particle":"","parse-names":false,"suffix":""},{"dropping-particle":"","family":"Lavidas","given":"Ilias","non-dropping-particle":"","parse-names":false,"suffix":""},{"dropping-particle":"","family":"Le","given":"Tuan","non-dropping-particle":"","parse-names":false,"suffix":""},{"dropping-particle":"","family":"Lemos","given":"Diana","non-dropping-particle":"","parse-names":false,"suffix":""},{"dropping-particle":"","family":"Martinez","given":"Jose Gonzalez","non-dropping-particle":"","parse-names":false,"suffix":""},{"dropping-particle":"","family":"Marugán","given":"José Carlos","non-dropping-particle":"","parse-names":false,"suffix":""},{"dropping-particle":"","family":"Maurel","given":"Thomas","non-dropping-particle":"","parse-names":false,"suffix":""},{"dropping-particle":"","family":"McMahon","given":"Aoife C.","non-dropping-particle":"","parse-names":false,"suffix":""},{"dropping-particle":"","family":"Mohanan","given":"Shamika","non-dropping-particle":"","parse-names":false,"suffix":""},{"dropping-particle":"","family":"Moore","given":"Benjamin","non-dropping-particle":"","parse-names":false,"suffix":""},{"dropping-particle":"","family":"Muffato","given":"Matthieu","non-dropping-particle":"","parse-names":false,"suffix":""},{"dropping-particle":"","family":"Oheh","given":"Denye N.","non-dropping-particle":"","parse-names":false,"suffix":""},{"dropping-particle":"","family":"Paraschas","given":"Dimitrios","non-dropping-particle":"","parse-names":false,"suffix":""},{"dropping-particle":"","family":"Parker","given":"Anne","non-dropping-particle":"","parse-names":false,"suffix":""},{"dropping-particle":"","family":"Parton","given":"Andrew","non-dropping-particle":"","parse-names":false,"suffix":""},{"dropping-particle":"","family":"Prosovetskaia","given":"Irina","non-dropping-particle":"","parse-names":false,"suffix":""},{"dropping-particle":"","family":"Sakthivel","given":"Manoj P.","non-dropping-particle":"","parse-names":false,"suffix":""},{"dropping-particle":"","family":"Abdul Salam","given":"Ahamed I.","non-dropping-particle":"","parse-names":false,"suffix":""},{"dropping-particle":"","family":"Schmitt","given":"Bianca M.","non-dropping-particle":"","parse-names":false,"suffix":""},{"dropping-particle":"","family":"Schuilenburg","given":"Helen","non-dropping-particle":"","parse-names":false,"suffix":""},{"dropping-particle":"","family":"Sheppard","given":"Dan","non-dropping-particle":"","parse-names":false,"suffix":""},{"dropping-particle":"","family":"Steed","given":"Emily","non-dropping-particle":"","parse-names":false,"suffix":""},{"dropping-particle":"","family":"Szpak","given":"Michal","non-dropping-particle":"","parse-names":false,"suffix":""},{"dropping-particle":"","family":"Szuba","given":"Marek","non-dropping-particle":"","parse-names":false,"suffix":""},{"dropping-particle":"","family":"Taylor","given":"Kieron","non-dropping-particle":"","parse-names":false,"suffix":""},{"dropping-particle":"","family":"Thormann","given":"Anja","non-dropping-particle":"","parse-names":false,"suffix":""},{"dropping-particle":"","family":"Threadgold","given":"Glen","non-dropping-particle":"","parse-names":false,"suffix":""},{"dropping-particle":"","family":"Walts","given":"Brandon","non-dropping-particle":"","parse-names":false,"suffix":""},{"dropping-particle":"","family":"Winterbottom","given":"Andrea","non-dropping-particle":"","parse-names":false,"suffix":""},{"dropping-particle":"","family":"Chakiachvili","given":"Marc","non-dropping-particle":"","parse-names":false,"suffix":""},{"dropping-particle":"","family":"Chaubal","given":"Ameya","non-dropping-particle":"","parse-names":false,"suffix":""},{"dropping-particle":"","family":"Silva","given":"Nishadi","non-dropping-particle":"de","parse-names":false,"suffix":""},{"dropping-particle":"","family":"Flint","given":"Bethany","non-dropping-particle":"","parse-names":false,"suffix":""},{"dropping-particle":"","family":"Frankish","given":"Adam","non-dropping-particle":"","parse-names":false,"suffix":""},{"dropping-particle":"","family":"Hunt","given":"Sarah E.","non-dropping-particle":"","parse-names":false,"suffix":""},{"dropping-particle":"","family":"IIsley","given":"Garth R.","non-dropping-particle":"","parse-names":false,"suffix":""},{"dropping-particle":"","family":"Langridge","given":"Nick","non-dropping-particle":"","parse-names":false,"suffix":""},{"dropping-particle":"","family":"Loveland","given":"Jane E.","non-dropping-particle":"","parse-names":false,"suffix":""},{"dropping-particle":"","family":"Martin","given":"Fergal J.","non-dropping-particle":"","parse-names":false,"suffix":""},{"dropping-particle":"","family":"Mudge","given":"Jonathan M.","non-dropping-particle":"","parse-names":false,"suffix":""},{"dropping-particle":"","family":"Morales","given":"Joanella","non-dropping-particle":"","parse-names":false,"suffix":""},{"dropping-particle":"","family":"Perry","given":"Emily","non-dropping-particle":"","parse-names":false,"suffix":""},{"dropping-particle":"","family":"Ruffier","given":"Magali","non-dropping-particle":"","parse-names":false,"suffix":""},{"dropping-particle":"","family":"Tate","given":"John","non-dropping-particle":"","parse-names":false,"suffix":""},{"dropping-particle":"","family":"Thybert","given":"David","non-dropping-particle":"","parse-names":false,"suffix":""},{"dropping-particle":"","family":"Trevanion","given":"Stephen J.","non-dropping-particle":"","parse-names":false,"suffix":""},{"dropping-particle":"","family":"Cunningham","given":"Fiona","non-dropping-particle":"","parse-names":false,"suffix":""},{"dropping-particle":"","family":"Yates","given":"Andrew D.","non-dropping-particle":"","parse-names":false,"suffix":""},{"dropping-particle":"","family":"Zerbino","given":"Daniel R.","non-dropping-particle":"","parse-names":false,"suffix":""},{"dropping-particle":"","family":"Flicek","given":"Paul","non-dropping-particle":"","parse-names":false,"suffix":""}],"container-title":"Nucleic Acids Research","id":"ITEM-1","issue":"D1","issued":{"date-parts":[["2021","1","8"]]},"page":"D884-D891","publisher":"Oxford Academic","title":"Ensembl 2021","type":"article-journal","volume":"49"},"uris":["http://www.mendeley.com/documents/?uuid=7087fb72-45d2-3fed-9803-a3ad6d932198"]}],"mendeley":{"formattedCitation":"(8)","plainTextFormattedCitation":"(8)","previouslyFormattedCitation":"(8)"},"properties":{"noteIndex":0},"schema":"https://github.com/citation-style-language/schema/raw/master/csl-citation.json"}</w:instrText>
      </w:r>
      <w:r w:rsidR="002D4B8A" w:rsidRPr="004360D6">
        <w:rPr>
          <w:rFonts w:ascii="Times New Roman" w:eastAsia="Calibri" w:hAnsi="Times New Roman" w:cs="Times New Roman"/>
          <w:color w:val="000000" w:themeColor="text1"/>
          <w:sz w:val="24"/>
          <w:szCs w:val="24"/>
          <w:lang w:val="en-GB"/>
        </w:rPr>
        <w:fldChar w:fldCharType="separate"/>
      </w:r>
      <w:r w:rsidR="002D4B8A" w:rsidRPr="004360D6">
        <w:rPr>
          <w:rFonts w:ascii="Times New Roman" w:eastAsia="Calibri" w:hAnsi="Times New Roman" w:cs="Times New Roman"/>
          <w:noProof/>
          <w:color w:val="000000" w:themeColor="text1"/>
          <w:sz w:val="24"/>
          <w:szCs w:val="24"/>
          <w:lang w:val="en-GB"/>
        </w:rPr>
        <w:t>(8)</w:t>
      </w:r>
      <w:r w:rsidR="002D4B8A" w:rsidRPr="004360D6">
        <w:rPr>
          <w:rFonts w:ascii="Times New Roman" w:eastAsia="Calibri" w:hAnsi="Times New Roman" w:cs="Times New Roman"/>
          <w:color w:val="000000" w:themeColor="text1"/>
          <w:sz w:val="24"/>
          <w:szCs w:val="24"/>
          <w:lang w:val="en-GB"/>
        </w:rPr>
        <w:fldChar w:fldCharType="end"/>
      </w:r>
      <w:r w:rsidRPr="004360D6">
        <w:rPr>
          <w:rFonts w:ascii="Times New Roman" w:eastAsia="Calibri" w:hAnsi="Times New Roman" w:cs="Times New Roman"/>
          <w:color w:val="000000" w:themeColor="text1"/>
          <w:sz w:val="24"/>
          <w:szCs w:val="24"/>
          <w:lang w:val="en-GB"/>
        </w:rPr>
        <w:t xml:space="preserve"> </w:t>
      </w:r>
      <w:r w:rsidR="00EE3417" w:rsidRPr="004360D6">
        <w:rPr>
          <w:rFonts w:ascii="Times New Roman" w:eastAsia="Calibri" w:hAnsi="Times New Roman" w:cs="Times New Roman"/>
          <w:color w:val="000000" w:themeColor="text1"/>
          <w:sz w:val="24"/>
          <w:szCs w:val="24"/>
          <w:lang w:val="en-GB"/>
        </w:rPr>
        <w:t xml:space="preserve"> and </w:t>
      </w:r>
      <w:r w:rsidRPr="004360D6">
        <w:rPr>
          <w:rFonts w:ascii="Times New Roman" w:eastAsia="Calibri" w:hAnsi="Times New Roman" w:cs="Times New Roman"/>
          <w:color w:val="000000" w:themeColor="text1"/>
          <w:sz w:val="24"/>
          <w:szCs w:val="24"/>
          <w:lang w:val="en-GB"/>
        </w:rPr>
        <w:t xml:space="preserve">were quantified using </w:t>
      </w:r>
      <w:proofErr w:type="spellStart"/>
      <w:r w:rsidRPr="004360D6">
        <w:rPr>
          <w:rFonts w:ascii="Times New Roman" w:eastAsia="Calibri" w:hAnsi="Times New Roman" w:cs="Times New Roman"/>
          <w:color w:val="000000" w:themeColor="text1"/>
          <w:sz w:val="24"/>
          <w:szCs w:val="24"/>
          <w:lang w:val="en-GB"/>
        </w:rPr>
        <w:t>kallisto</w:t>
      </w:r>
      <w:proofErr w:type="spellEnd"/>
      <w:r w:rsidRPr="004360D6">
        <w:rPr>
          <w:rFonts w:ascii="Times New Roman" w:eastAsia="Calibri" w:hAnsi="Times New Roman" w:cs="Times New Roman"/>
          <w:color w:val="000000" w:themeColor="text1"/>
          <w:sz w:val="24"/>
          <w:szCs w:val="24"/>
          <w:lang w:val="en-GB"/>
        </w:rPr>
        <w:t xml:space="preserve"> </w:t>
      </w:r>
      <w:r w:rsidRPr="004360D6">
        <w:rPr>
          <w:rFonts w:ascii="Times New Roman" w:eastAsia="Calibri" w:hAnsi="Times New Roman" w:cs="Times New Roman"/>
          <w:color w:val="000000" w:themeColor="text1"/>
          <w:sz w:val="24"/>
          <w:szCs w:val="24"/>
          <w:lang w:val="en-GB"/>
        </w:rPr>
        <w:fldChar w:fldCharType="begin" w:fldLock="1"/>
      </w:r>
      <w:r w:rsidR="00394D13" w:rsidRPr="004360D6">
        <w:rPr>
          <w:rFonts w:ascii="Times New Roman" w:eastAsia="Calibri" w:hAnsi="Times New Roman" w:cs="Times New Roman"/>
          <w:color w:val="000000" w:themeColor="text1"/>
          <w:sz w:val="24"/>
          <w:szCs w:val="24"/>
          <w:lang w:val="en-GB"/>
        </w:rPr>
        <w:instrText>ADDIN CSL_CITATION {"citationItems":[{"id":"ITEM-1","itemData":{"DOI":"10.1038/nbt.3519","ISSN":"15461696","PMID":"27043002","abstract":"We present kallisto, an RNA-seq quantification program that is two orders of magnitude faster than previous approaches and achieves similar accuracy. Kallisto pseudoaligns reads to a reference, producing a list of transcripts that are compatible with each read while avoiding alignment of individual bases. We use kallisto to analyze 30 million unaligned paired-end RNA-seq reads in &lt;10 min on a standard laptop computer. This removes a major computational bottleneck in RNA-seq analysis.","author":[{"dropping-particle":"","family":"Bray","given":"Nicolas L.","non-dropping-particle":"","parse-names":false,"suffix":""},{"dropping-particle":"","family":"Pimentel","given":"Harold","non-dropping-particle":"","parse-names":false,"suffix":""},{"dropping-particle":"","family":"Melsted","given":"Páll","non-dropping-particle":"","parse-names":false,"suffix":""},{"dropping-particle":"","family":"Pachter","given":"Lior","non-dropping-particle":"","parse-names":false,"suffix":""}],"container-title":"Nature Biotechnology","id":"ITEM-1","issue":"5","issued":{"date-parts":[["2016","5"]]},"page":"525-527","publisher":"Nature Publishing Group","title":"Near-optimal probabilistic RNA-seq quantification","type":"article-journal","volume":"34"},"uris":["http://www.mendeley.com/documents/?uuid=6f6ccdbe-6b93-3180-b3ae-b9e952e0f570","http://www.mendeley.com/documents/?uuid=cc75b9c0-e1fb-4024-ab43-587e65ade3e4"]}],"mendeley":{"formattedCitation":"(9)","plainTextFormattedCitation":"(9)","previouslyFormattedCitation":"(9)"},"properties":{"noteIndex":0},"schema":"https://github.com/citation-style-language/schema/raw/master/csl-citation.json"}</w:instrText>
      </w:r>
      <w:r w:rsidRPr="004360D6">
        <w:rPr>
          <w:rFonts w:ascii="Times New Roman" w:eastAsia="Calibri" w:hAnsi="Times New Roman" w:cs="Times New Roman"/>
          <w:color w:val="000000" w:themeColor="text1"/>
          <w:sz w:val="24"/>
          <w:szCs w:val="24"/>
          <w:lang w:val="en-GB"/>
        </w:rPr>
        <w:fldChar w:fldCharType="separate"/>
      </w:r>
      <w:r w:rsidR="002D4B8A" w:rsidRPr="004360D6">
        <w:rPr>
          <w:rFonts w:ascii="Times New Roman" w:eastAsia="Calibri" w:hAnsi="Times New Roman" w:cs="Times New Roman"/>
          <w:noProof/>
          <w:color w:val="000000" w:themeColor="text1"/>
          <w:sz w:val="24"/>
          <w:szCs w:val="24"/>
          <w:lang w:val="en-GB"/>
        </w:rPr>
        <w:t>(9)</w:t>
      </w:r>
      <w:r w:rsidRPr="004360D6">
        <w:rPr>
          <w:rFonts w:ascii="Times New Roman" w:eastAsia="Calibri" w:hAnsi="Times New Roman" w:cs="Times New Roman"/>
          <w:color w:val="000000" w:themeColor="text1"/>
          <w:sz w:val="24"/>
          <w:szCs w:val="24"/>
          <w:lang w:val="en-GB"/>
        </w:rPr>
        <w:fldChar w:fldCharType="end"/>
      </w:r>
      <w:r w:rsidRPr="004360D6">
        <w:rPr>
          <w:rFonts w:ascii="Times New Roman" w:eastAsia="Calibri" w:hAnsi="Times New Roman" w:cs="Times New Roman"/>
          <w:color w:val="000000" w:themeColor="text1"/>
          <w:sz w:val="24"/>
          <w:szCs w:val="24"/>
          <w:lang w:val="en-GB"/>
        </w:rPr>
        <w:t xml:space="preserve"> </w:t>
      </w:r>
      <w:r w:rsidR="00F27AF1" w:rsidRPr="004360D6">
        <w:rPr>
          <w:rFonts w:ascii="Times New Roman" w:eastAsia="Calibri" w:hAnsi="Times New Roman" w:cs="Times New Roman"/>
          <w:color w:val="000000" w:themeColor="text1"/>
          <w:sz w:val="24"/>
          <w:szCs w:val="24"/>
          <w:lang w:val="en-GB"/>
        </w:rPr>
        <w:t xml:space="preserve">and </w:t>
      </w:r>
      <w:r w:rsidRPr="004360D6">
        <w:rPr>
          <w:rFonts w:ascii="Times New Roman" w:eastAsia="Calibri" w:hAnsi="Times New Roman" w:cs="Times New Roman"/>
          <w:color w:val="000000" w:themeColor="text1"/>
          <w:sz w:val="24"/>
          <w:szCs w:val="24"/>
          <w:lang w:val="en-GB"/>
        </w:rPr>
        <w:t xml:space="preserve">the </w:t>
      </w:r>
      <w:r w:rsidRPr="004360D6">
        <w:rPr>
          <w:rFonts w:ascii="Times New Roman" w:eastAsia="Calibri" w:hAnsi="Times New Roman" w:cs="Times New Roman" w:hint="cs"/>
          <w:color w:val="000000" w:themeColor="text1"/>
          <w:sz w:val="24"/>
          <w:szCs w:val="24"/>
          <w:lang w:val="en-GB"/>
        </w:rPr>
        <w:t>–bias</w:t>
      </w:r>
      <w:r w:rsidRPr="004360D6">
        <w:rPr>
          <w:rFonts w:ascii="Times New Roman" w:eastAsia="Calibri" w:hAnsi="Times New Roman" w:cs="Times New Roman"/>
          <w:color w:val="000000" w:themeColor="text1"/>
          <w:sz w:val="24"/>
          <w:szCs w:val="24"/>
          <w:lang w:val="en-GB"/>
        </w:rPr>
        <w:t xml:space="preserve"> and </w:t>
      </w:r>
      <w:r w:rsidRPr="004360D6">
        <w:rPr>
          <w:rFonts w:ascii="Times New Roman" w:eastAsia="Calibri" w:hAnsi="Times New Roman" w:cs="Times New Roman" w:hint="cs"/>
          <w:color w:val="000000" w:themeColor="text1"/>
          <w:sz w:val="24"/>
          <w:szCs w:val="24"/>
          <w:lang w:val="en-GB"/>
        </w:rPr>
        <w:t>–rf-stranded</w:t>
      </w:r>
      <w:r w:rsidRPr="004360D6">
        <w:rPr>
          <w:rFonts w:ascii="Times New Roman" w:eastAsia="Calibri" w:hAnsi="Times New Roman" w:cs="Times New Roman"/>
          <w:color w:val="000000" w:themeColor="text1"/>
          <w:sz w:val="24"/>
          <w:szCs w:val="24"/>
          <w:lang w:val="en-GB"/>
        </w:rPr>
        <w:t xml:space="preserve"> options. The resulting </w:t>
      </w:r>
      <w:proofErr w:type="spellStart"/>
      <w:r w:rsidRPr="004360D6">
        <w:rPr>
          <w:rFonts w:ascii="Times New Roman" w:eastAsia="Calibri" w:hAnsi="Times New Roman" w:cs="Times New Roman"/>
          <w:color w:val="000000" w:themeColor="text1"/>
          <w:sz w:val="24"/>
          <w:szCs w:val="24"/>
          <w:lang w:val="en-GB"/>
        </w:rPr>
        <w:t>trancriptome</w:t>
      </w:r>
      <w:proofErr w:type="spellEnd"/>
      <w:r w:rsidRPr="004360D6">
        <w:rPr>
          <w:rFonts w:ascii="Times New Roman" w:eastAsia="Calibri" w:hAnsi="Times New Roman" w:cs="Times New Roman"/>
          <w:color w:val="000000" w:themeColor="text1"/>
          <w:sz w:val="24"/>
          <w:szCs w:val="24"/>
          <w:lang w:val="en-GB"/>
        </w:rPr>
        <w:t xml:space="preserve"> profiles were filtered for protein coding and lncRNA genes only and summarized to the gene level (summing up read counts of all isoforms of each gene) and normalized using DESeq2 </w:t>
      </w:r>
      <w:r w:rsidRPr="004360D6">
        <w:rPr>
          <w:rFonts w:ascii="Times New Roman" w:eastAsia="Calibri" w:hAnsi="Times New Roman" w:cs="Times New Roman"/>
          <w:color w:val="000000" w:themeColor="text1"/>
          <w:sz w:val="24"/>
          <w:szCs w:val="24"/>
          <w:lang w:val="en-GB"/>
        </w:rPr>
        <w:fldChar w:fldCharType="begin" w:fldLock="1"/>
      </w:r>
      <w:r w:rsidR="00394D13" w:rsidRPr="004360D6">
        <w:rPr>
          <w:rFonts w:ascii="Times New Roman" w:eastAsia="Calibri" w:hAnsi="Times New Roman" w:cs="Times New Roman"/>
          <w:color w:val="000000" w:themeColor="text1"/>
          <w:sz w:val="24"/>
          <w:szCs w:val="24"/>
          <w:lang w:val="en-GB"/>
        </w:rPr>
        <w:instrText>ADDIN CSL_CITATION {"citationItems":[{"id":"ITEM-1","itemData":{"DOI":"10.1186/s13059-014-0550-8","ISSN":"1474760X","PMID":"25516281","abstract":"In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http://www.bioconductor.org/packages/release/bioc/html/DESeq2.html.","author":[{"dropping-particle":"","family":"Love","given":"Michael I.","non-dropping-particle":"","parse-names":false,"suffix":""},{"dropping-particle":"","family":"Huber","given":"Wolfgang","non-dropping-particle":"","parse-names":false,"suffix":""},{"dropping-particle":"","family":"Anders","given":"Simon","non-dropping-particle":"","parse-names":false,"suffix":""}],"container-title":"Genome Biology","id":"ITEM-1","issue":"12","issued":{"date-parts":[["2014","12"]]},"page":"550","publisher":"BioMed Central Ltd.","title":"Moderated estimation of fold change and dispersion for RNA-seq data with DESeq2","type":"article-journal","volume":"15"},"uris":["http://www.mendeley.com/documents/?uuid=ea6c0084-6307-3c39-991e-e7b8a742416f","http://www.mendeley.com/documents/?uuid=38b38ef0-9101-4cbd-b0f4-bf7b4bc7bebb"]}],"mendeley":{"formattedCitation":"(10)","plainTextFormattedCitation":"(10)","previouslyFormattedCitation":"(10)"},"properties":{"noteIndex":0},"schema":"https://github.com/citation-style-language/schema/raw/master/csl-citation.json"}</w:instrText>
      </w:r>
      <w:r w:rsidRPr="004360D6">
        <w:rPr>
          <w:rFonts w:ascii="Times New Roman" w:eastAsia="Calibri" w:hAnsi="Times New Roman" w:cs="Times New Roman"/>
          <w:color w:val="000000" w:themeColor="text1"/>
          <w:sz w:val="24"/>
          <w:szCs w:val="24"/>
          <w:lang w:val="en-GB"/>
        </w:rPr>
        <w:fldChar w:fldCharType="separate"/>
      </w:r>
      <w:r w:rsidR="002D4B8A" w:rsidRPr="004360D6">
        <w:rPr>
          <w:rFonts w:ascii="Times New Roman" w:eastAsia="Calibri" w:hAnsi="Times New Roman" w:cs="Times New Roman"/>
          <w:noProof/>
          <w:color w:val="000000" w:themeColor="text1"/>
          <w:sz w:val="24"/>
          <w:szCs w:val="24"/>
          <w:lang w:val="en-GB"/>
        </w:rPr>
        <w:t>(10)</w:t>
      </w:r>
      <w:r w:rsidRPr="004360D6">
        <w:rPr>
          <w:rFonts w:ascii="Times New Roman" w:eastAsia="Calibri" w:hAnsi="Times New Roman" w:cs="Times New Roman"/>
          <w:color w:val="000000" w:themeColor="text1"/>
          <w:sz w:val="24"/>
          <w:szCs w:val="24"/>
          <w:lang w:val="en-GB"/>
        </w:rPr>
        <w:fldChar w:fldCharType="end"/>
      </w:r>
      <w:r w:rsidRPr="004360D6">
        <w:rPr>
          <w:rFonts w:ascii="Times New Roman" w:eastAsia="Calibri" w:hAnsi="Times New Roman" w:cs="Times New Roman"/>
          <w:color w:val="000000" w:themeColor="text1"/>
          <w:sz w:val="24"/>
          <w:szCs w:val="24"/>
          <w:lang w:val="en-GB"/>
        </w:rPr>
        <w:t xml:space="preserve">. </w:t>
      </w:r>
    </w:p>
    <w:p w14:paraId="5E9C51E3" w14:textId="478A8166" w:rsidR="003C2DB4" w:rsidRPr="004360D6" w:rsidRDefault="003C2DB4" w:rsidP="003C2DB4">
      <w:pPr>
        <w:pStyle w:val="Heading2"/>
        <w:rPr>
          <w:rFonts w:eastAsia="Calibri"/>
          <w:lang w:val="en-GB"/>
        </w:rPr>
      </w:pPr>
      <w:r w:rsidRPr="004360D6">
        <w:rPr>
          <w:rFonts w:eastAsia="Calibri"/>
          <w:lang w:val="en-GB"/>
        </w:rPr>
        <w:t xml:space="preserve">Batch effect correction for </w:t>
      </w:r>
      <w:proofErr w:type="spellStart"/>
      <w:r w:rsidRPr="004360D6">
        <w:rPr>
          <w:rFonts w:eastAsia="Calibri"/>
          <w:lang w:val="en-GB"/>
        </w:rPr>
        <w:t>DNAm</w:t>
      </w:r>
      <w:proofErr w:type="spellEnd"/>
      <w:r w:rsidRPr="004360D6">
        <w:rPr>
          <w:rFonts w:eastAsia="Calibri"/>
          <w:lang w:val="en-GB"/>
        </w:rPr>
        <w:t xml:space="preserve"> data</w:t>
      </w:r>
    </w:p>
    <w:p w14:paraId="18F27629" w14:textId="0E1AAB38" w:rsidR="007476A0" w:rsidRPr="004360D6" w:rsidRDefault="00CA64F7" w:rsidP="00537960">
      <w:pPr>
        <w:spacing w:line="480" w:lineRule="auto"/>
        <w:jc w:val="both"/>
        <w:rPr>
          <w:rFonts w:ascii="Times New Roman" w:eastAsia="Calibri" w:hAnsi="Times New Roman" w:cs="Times New Roman"/>
          <w:color w:val="000000" w:themeColor="text1"/>
          <w:sz w:val="24"/>
          <w:szCs w:val="24"/>
          <w:lang w:val="en-GB"/>
        </w:rPr>
      </w:pPr>
      <w:r w:rsidRPr="004360D6">
        <w:rPr>
          <w:rFonts w:ascii="Times New Roman" w:eastAsia="Calibri" w:hAnsi="Times New Roman" w:cs="Times New Roman"/>
          <w:color w:val="000000" w:themeColor="text1"/>
          <w:sz w:val="24"/>
          <w:szCs w:val="24"/>
          <w:lang w:val="en-GB"/>
        </w:rPr>
        <w:t xml:space="preserve">The high degree of technical and biological variability inherent to </w:t>
      </w:r>
      <w:proofErr w:type="spellStart"/>
      <w:r w:rsidRPr="004360D6">
        <w:rPr>
          <w:rFonts w:ascii="Times New Roman" w:eastAsia="Calibri" w:hAnsi="Times New Roman" w:cs="Times New Roman"/>
          <w:color w:val="000000" w:themeColor="text1"/>
          <w:sz w:val="24"/>
          <w:szCs w:val="24"/>
          <w:lang w:val="en-GB"/>
        </w:rPr>
        <w:t>DNAm</w:t>
      </w:r>
      <w:proofErr w:type="spellEnd"/>
      <w:r w:rsidRPr="004360D6">
        <w:rPr>
          <w:rFonts w:ascii="Times New Roman" w:eastAsia="Calibri" w:hAnsi="Times New Roman" w:cs="Times New Roman"/>
          <w:color w:val="000000" w:themeColor="text1"/>
          <w:sz w:val="24"/>
          <w:szCs w:val="24"/>
          <w:lang w:val="en-GB"/>
        </w:rPr>
        <w:t xml:space="preserve"> data makes accounting for known and unknown confounding variables challenging. One typical procedure in the field is based on the “surrogate variable decomposition” (SVD) approach </w:t>
      </w:r>
      <w:r w:rsidR="009B36F3" w:rsidRPr="004360D6">
        <w:rPr>
          <w:rFonts w:ascii="Times New Roman" w:eastAsia="Calibri" w:hAnsi="Times New Roman" w:cs="Times New Roman"/>
          <w:color w:val="000000" w:themeColor="text1"/>
          <w:sz w:val="24"/>
          <w:szCs w:val="24"/>
          <w:lang w:val="en-GB"/>
        </w:rPr>
        <w:fldChar w:fldCharType="begin" w:fldLock="1"/>
      </w:r>
      <w:r w:rsidR="00D819CE" w:rsidRPr="004360D6">
        <w:rPr>
          <w:rFonts w:ascii="Times New Roman" w:eastAsia="Calibri" w:hAnsi="Times New Roman" w:cs="Times New Roman"/>
          <w:color w:val="000000" w:themeColor="text1"/>
          <w:sz w:val="24"/>
          <w:szCs w:val="24"/>
          <w:lang w:val="en-GB"/>
        </w:rPr>
        <w:instrText>ADDIN CSL_CITATION {"citationItems":[{"id":"ITEM-1","itemData":{"DOI":"10.1371/JOURNAL.PONE.0008274","ISSN":"1932-6203","PMID":"20019873","abstract":"Background Recent studies have shown that DNA methylation (DNAm) markers in peripheral blood may hold promise as diagnostic or early detection/risk markers for epithelial cancers. However, to date no study has evaluated the diagnostic and predictive potential of such markers in a large case control cohort and on a genome-wide basis. Principal Findings By performing genome-wide DNAm profiling of a large ovarian cancer case control cohort, we here demonstrate that active ovarian cancer has a significant impact on the DNAm pattern in peripheral blood. Specifically, by measuring the methylation levels of over 27,000 CpGs in blood cells from 148 healthy individuals and 113 age-matched pre-treatment ovarian cancer cases, we derive a DNAm signature that can predict the presence of active ovarian cancer in blind test sets with an AUC of 0.8 (95% CI (0.74–0.87)). We further validate our findings in another independent set of 122 post-treatment cases (AUC = 0.76 (0.72–0.81)). In addition, we provide evidence for a significant number of candidate risk or early detection markers for ovarian cancer. Furthermore, by comparing the pattern of methylation with gene expression data from major blood cell types, we here demonstrate that age and cancer elicit common changes in the composition of peripheral blood, with a myeloid skewing that increases with age and which is further aggravated in the presence of ovarian cancer. Finally, we show that most cancer and age associated methylation variability is found at CpGs located outside of CpG islands. Significance Our results underscore the potential of DNAm profiling in peripheral blood as a tool for detection or risk-prediction of epithelial cancers, and warrants further in-depth and higher CpG coverage studies to further elucidate this role.","author":[{"dropping-particle":"","family":"Teschendorff","given":"Andrew E.","non-dropping-particle":"","parse-names":false,"suffix":""},{"dropping-particle":"","family":"Menon","given":"Usha","non-dropping-particle":"","parse-names":false,"suffix":""},{"dropping-particle":"","family":"Gentry-Maharaj","given":"Aleksandra","non-dropping-particle":"","parse-names":false,"suffix":""},{"dropping-particle":"","family":"Ramus","given":"Susan J.","non-dropping-particle":"","parse-names":false,"suffix":""},{"dropping-particle":"","family":"Gayther","given":"Simon A.","non-dropping-particle":"","parse-names":false,"suffix":""},{"dropping-particle":"","family":"Apostolidou","given":"Sophia","non-dropping-particle":"","parse-names":false,"suffix":""},{"dropping-particle":"","family":"Jones","given":"Allison","non-dropping-particle":"","parse-names":false,"suffix":""},{"dropping-particle":"","family":"Lechner","given":"Matthias","non-dropping-particle":"","parse-names":false,"suffix":""},{"dropping-particle":"","family":"Beck","given":"Stephan","non-dropping-particle":"","parse-names":false,"suffix":""},{"dropping-particle":"","family":"Jacobs","given":"Ian J.","non-dropping-particle":"","parse-names":false,"suffix":""},{"dropping-particle":"","family":"Widschwendter","given":"Martin","non-dropping-particle":"","parse-names":false,"suffix":""}],"container-title":"PLOS ONE","id":"ITEM-1","issue":"12","issued":{"date-parts":[["2009"]]},"page":"e8274","publisher":"Public Library of Science","title":"An Epigenetic Signature in Peripheral Blood Predicts Active Ovarian Cancer","type":"article-journal","volume":"4"},"uris":["http://www.mendeley.com/documents/?uuid=f5c37c6d-7b46-36d0-8578-e8eb3e93cd4d"]},{"id":"ITEM-2","itemData":{"DOI":"10.1155/2016/2615348","ISSN":"2314-6141","PMID":"27034928","abstract":"Screening cytosine-phosphate-guanine dinucleotide (CpG) DNA methylation sites in association with some covariate(s) is desired due to high dimensionality. We incorporate surrogate variable analyses (SVAs) into (ordinary or robust) linear regressions and utilize training and testing samples for nested validation to screen CpG sites. SVA is to account for variations in the methylation not explained by the specified covariate(s) and adjust for confounding effects. To make it easier to users, this screening method is built into a user-friendly R package, ttScreening, with efficient algorithms implemented. Various simulations were implemented to examine the robustness and sensitivity of the method compared to the classical approaches controlling for multiple testing: the false discovery rates-based (FDR-based) and the Bonferroni-based methods. The proposed approach in general performs better and has the potential to control both types I and II errors. We applied ttScreening to 383,998 CpG sites in association with maternal smoking, one of the leading factors for cancer risk.","author":[{"dropping-particle":"","family":"Ray","given":"Meredith A.","non-dropping-particle":"","parse-names":false,"suffix":""},{"dropping-particle":"","family":"Tong","given":"Xin","non-dropping-particle":"","parse-names":false,"suffix":""},{"dropping-particle":"","family":"Lockett","given":"Gabrielle A.","non-dropping-particle":"","parse-names":false,"suffix":""},{"dropping-particle":"","family":"Zhang","given":"Hongmei","non-dropping-particle":"","parse-names":false,"suffix":""},{"dropping-particle":"","family":"Karmaus","given":"Wilfried J.J.","non-dropping-particle":"","parse-names":false,"suffix":""}],"container-title":"BioMed research international","id":"ITEM-2","issued":{"date-parts":[["2016"]]},"publisher":"Biomed Res Int","title":"An Efficient Approach to Screening Epigenome-Wide Data","type":"article-journal","volume":"2016"},"uris":["http://www.mendeley.com/documents/?uuid=29ae7988-08d4-3d79-bcdf-ab3fb2097960"]}],"mendeley":{"formattedCitation":"(11,12)","plainTextFormattedCitation":"(11,12)","previouslyFormattedCitation":"(11,12)"},"properties":{"noteIndex":0},"schema":"https://github.com/citation-style-language/schema/raw/master/csl-citation.json"}</w:instrText>
      </w:r>
      <w:r w:rsidR="009B36F3" w:rsidRPr="004360D6">
        <w:rPr>
          <w:rFonts w:ascii="Times New Roman" w:eastAsia="Calibri" w:hAnsi="Times New Roman" w:cs="Times New Roman"/>
          <w:color w:val="000000" w:themeColor="text1"/>
          <w:sz w:val="24"/>
          <w:szCs w:val="24"/>
          <w:lang w:val="en-GB"/>
        </w:rPr>
        <w:fldChar w:fldCharType="separate"/>
      </w:r>
      <w:r w:rsidR="009B36F3" w:rsidRPr="004360D6">
        <w:rPr>
          <w:rFonts w:ascii="Times New Roman" w:eastAsia="Calibri" w:hAnsi="Times New Roman" w:cs="Times New Roman"/>
          <w:noProof/>
          <w:color w:val="000000" w:themeColor="text1"/>
          <w:sz w:val="24"/>
          <w:szCs w:val="24"/>
          <w:lang w:val="en-GB"/>
        </w:rPr>
        <w:t>(11,12)</w:t>
      </w:r>
      <w:r w:rsidR="009B36F3" w:rsidRPr="004360D6">
        <w:rPr>
          <w:rFonts w:ascii="Times New Roman" w:eastAsia="Calibri" w:hAnsi="Times New Roman" w:cs="Times New Roman"/>
          <w:color w:val="000000" w:themeColor="text1"/>
          <w:sz w:val="24"/>
          <w:szCs w:val="24"/>
          <w:lang w:val="en-GB"/>
        </w:rPr>
        <w:fldChar w:fldCharType="end"/>
      </w:r>
      <w:r w:rsidRPr="004360D6">
        <w:rPr>
          <w:rFonts w:ascii="Times New Roman" w:eastAsia="Calibri" w:hAnsi="Times New Roman" w:cs="Times New Roman"/>
          <w:color w:val="000000" w:themeColor="text1"/>
          <w:sz w:val="24"/>
          <w:szCs w:val="24"/>
          <w:lang w:val="en-GB"/>
        </w:rPr>
        <w:t xml:space="preserve"> where suspected confounders are tested for their association with </w:t>
      </w:r>
      <w:proofErr w:type="spellStart"/>
      <w:r w:rsidRPr="004360D6">
        <w:rPr>
          <w:rFonts w:ascii="Times New Roman" w:eastAsia="Calibri" w:hAnsi="Times New Roman" w:cs="Times New Roman"/>
          <w:color w:val="000000" w:themeColor="text1"/>
          <w:sz w:val="24"/>
          <w:szCs w:val="24"/>
          <w:lang w:val="en-GB"/>
        </w:rPr>
        <w:t>DNAm</w:t>
      </w:r>
      <w:proofErr w:type="spellEnd"/>
      <w:r w:rsidRPr="004360D6">
        <w:rPr>
          <w:rFonts w:ascii="Times New Roman" w:eastAsia="Calibri" w:hAnsi="Times New Roman" w:cs="Times New Roman"/>
          <w:color w:val="000000" w:themeColor="text1"/>
          <w:sz w:val="24"/>
          <w:szCs w:val="24"/>
          <w:lang w:val="en-GB"/>
        </w:rPr>
        <w:t xml:space="preserve"> PCA results. The downside of this approach is that it only works with “known &amp; recorded” confounders, i.e. typically those that were anticipated by the investigators prior to commencing the study. It explicitly does not take into account unknown confounders, since their association is – by </w:t>
      </w:r>
      <w:r w:rsidRPr="004360D6">
        <w:rPr>
          <w:rFonts w:ascii="Times New Roman" w:eastAsia="Calibri" w:hAnsi="Times New Roman" w:cs="Times New Roman"/>
          <w:color w:val="000000" w:themeColor="text1"/>
          <w:sz w:val="24"/>
          <w:szCs w:val="24"/>
          <w:lang w:val="en-GB"/>
        </w:rPr>
        <w:lastRenderedPageBreak/>
        <w:t xml:space="preserve">design – not tested using the SVD approach. Still, unknown confounders are measurable and quantifiable by PCA as they leave a “mark” in the </w:t>
      </w:r>
      <w:proofErr w:type="spellStart"/>
      <w:r w:rsidRPr="004360D6">
        <w:rPr>
          <w:rFonts w:ascii="Times New Roman" w:eastAsia="Calibri" w:hAnsi="Times New Roman" w:cs="Times New Roman"/>
          <w:color w:val="000000" w:themeColor="text1"/>
          <w:sz w:val="24"/>
          <w:szCs w:val="24"/>
          <w:lang w:val="en-GB"/>
        </w:rPr>
        <w:t>DNAm</w:t>
      </w:r>
      <w:proofErr w:type="spellEnd"/>
      <w:r w:rsidRPr="004360D6">
        <w:rPr>
          <w:rFonts w:ascii="Times New Roman" w:eastAsia="Calibri" w:hAnsi="Times New Roman" w:cs="Times New Roman"/>
          <w:color w:val="000000" w:themeColor="text1"/>
          <w:sz w:val="24"/>
          <w:szCs w:val="24"/>
          <w:lang w:val="en-GB"/>
        </w:rPr>
        <w:t xml:space="preserve"> data and can be included in the regression models underlying the actual EWAS analyses and this is the batch effect correction model adopted in our study. First, w</w:t>
      </w:r>
      <w:r w:rsidR="00537960" w:rsidRPr="004360D6">
        <w:rPr>
          <w:rFonts w:ascii="Times New Roman" w:eastAsia="Calibri" w:hAnsi="Times New Roman" w:cs="Times New Roman"/>
          <w:color w:val="000000" w:themeColor="text1"/>
          <w:sz w:val="24"/>
          <w:szCs w:val="24"/>
          <w:lang w:val="en-GB"/>
        </w:rPr>
        <w:t xml:space="preserve">e performed a principal component analysis (PCA; using the R base function </w:t>
      </w:r>
      <w:proofErr w:type="spellStart"/>
      <w:r w:rsidR="00537960" w:rsidRPr="004360D6">
        <w:rPr>
          <w:rFonts w:ascii="Times New Roman" w:eastAsia="Calibri" w:hAnsi="Times New Roman" w:cs="Times New Roman"/>
          <w:i/>
          <w:iCs/>
          <w:color w:val="000000" w:themeColor="text1"/>
          <w:sz w:val="24"/>
          <w:szCs w:val="24"/>
          <w:lang w:val="en-GB"/>
        </w:rPr>
        <w:t>prcomp</w:t>
      </w:r>
      <w:proofErr w:type="spellEnd"/>
      <w:r w:rsidR="00537960" w:rsidRPr="004360D6">
        <w:rPr>
          <w:rFonts w:ascii="Times New Roman" w:eastAsia="Calibri" w:hAnsi="Times New Roman" w:cs="Times New Roman"/>
          <w:color w:val="000000" w:themeColor="text1"/>
          <w:sz w:val="24"/>
          <w:szCs w:val="24"/>
          <w:lang w:val="en-GB"/>
        </w:rPr>
        <w:t xml:space="preserve">) on a subset of uncorrelated </w:t>
      </w:r>
      <w:proofErr w:type="spellStart"/>
      <w:r w:rsidR="00537960" w:rsidRPr="004360D6">
        <w:rPr>
          <w:rFonts w:ascii="Times New Roman" w:eastAsia="Calibri" w:hAnsi="Times New Roman" w:cs="Times New Roman"/>
          <w:color w:val="000000" w:themeColor="text1"/>
          <w:sz w:val="24"/>
          <w:szCs w:val="24"/>
          <w:lang w:val="en-GB"/>
        </w:rPr>
        <w:t>CpGs</w:t>
      </w:r>
      <w:proofErr w:type="spellEnd"/>
      <w:r w:rsidR="00537960" w:rsidRPr="004360D6">
        <w:rPr>
          <w:rFonts w:ascii="Times New Roman" w:eastAsia="Calibri" w:hAnsi="Times New Roman" w:cs="Times New Roman"/>
          <w:color w:val="000000" w:themeColor="text1"/>
          <w:sz w:val="24"/>
          <w:szCs w:val="24"/>
          <w:lang w:val="en-GB"/>
        </w:rPr>
        <w:t xml:space="preserve"> to capture variation in </w:t>
      </w:r>
      <w:proofErr w:type="spellStart"/>
      <w:r w:rsidR="00537960" w:rsidRPr="004360D6">
        <w:rPr>
          <w:rFonts w:ascii="Times New Roman" w:eastAsia="Calibri" w:hAnsi="Times New Roman" w:cs="Times New Roman"/>
          <w:color w:val="000000" w:themeColor="text1"/>
          <w:sz w:val="24"/>
          <w:szCs w:val="24"/>
          <w:lang w:val="en-GB"/>
        </w:rPr>
        <w:t>DNAm</w:t>
      </w:r>
      <w:proofErr w:type="spellEnd"/>
      <w:r w:rsidR="00537960" w:rsidRPr="004360D6">
        <w:rPr>
          <w:rFonts w:ascii="Times New Roman" w:eastAsia="Calibri" w:hAnsi="Times New Roman" w:cs="Times New Roman"/>
          <w:color w:val="000000" w:themeColor="text1"/>
          <w:sz w:val="24"/>
          <w:szCs w:val="24"/>
          <w:lang w:val="en-GB"/>
        </w:rPr>
        <w:t xml:space="preserve"> irrespective of phenotype. To this end, we created a set of uncorrelated </w:t>
      </w:r>
      <w:proofErr w:type="spellStart"/>
      <w:r w:rsidR="00537960" w:rsidRPr="004360D6">
        <w:rPr>
          <w:rFonts w:ascii="Times New Roman" w:eastAsia="Calibri" w:hAnsi="Times New Roman" w:cs="Times New Roman"/>
          <w:color w:val="000000" w:themeColor="text1"/>
          <w:sz w:val="24"/>
          <w:szCs w:val="24"/>
          <w:lang w:val="en-GB"/>
        </w:rPr>
        <w:t>CpGs</w:t>
      </w:r>
      <w:proofErr w:type="spellEnd"/>
      <w:r w:rsidR="00537960" w:rsidRPr="004360D6">
        <w:rPr>
          <w:rFonts w:ascii="Times New Roman" w:eastAsia="Calibri" w:hAnsi="Times New Roman" w:cs="Times New Roman"/>
          <w:color w:val="000000" w:themeColor="text1"/>
          <w:sz w:val="24"/>
          <w:szCs w:val="24"/>
          <w:lang w:val="en-GB"/>
        </w:rPr>
        <w:t xml:space="preserve"> by dividing the genome into 100kb bins and followed by random selection of one CpG-probe per bin. </w:t>
      </w:r>
      <w:r w:rsidRPr="004360D6">
        <w:rPr>
          <w:rFonts w:ascii="Times New Roman" w:eastAsia="Calibri" w:hAnsi="Times New Roman" w:cs="Times New Roman"/>
          <w:color w:val="000000" w:themeColor="text1"/>
          <w:sz w:val="24"/>
          <w:szCs w:val="24"/>
          <w:lang w:val="en-GB"/>
        </w:rPr>
        <w:t xml:space="preserve">Scree plots for all three </w:t>
      </w:r>
      <w:proofErr w:type="spellStart"/>
      <w:r w:rsidRPr="004360D6">
        <w:rPr>
          <w:rFonts w:ascii="Times New Roman" w:eastAsia="Calibri" w:hAnsi="Times New Roman" w:cs="Times New Roman"/>
          <w:color w:val="000000" w:themeColor="text1"/>
          <w:sz w:val="24"/>
          <w:szCs w:val="24"/>
          <w:lang w:val="en-GB"/>
        </w:rPr>
        <w:t>analyzed</w:t>
      </w:r>
      <w:proofErr w:type="spellEnd"/>
      <w:r w:rsidRPr="004360D6">
        <w:rPr>
          <w:rFonts w:ascii="Times New Roman" w:eastAsia="Calibri" w:hAnsi="Times New Roman" w:cs="Times New Roman"/>
          <w:color w:val="000000" w:themeColor="text1"/>
          <w:sz w:val="24"/>
          <w:szCs w:val="24"/>
          <w:lang w:val="en-GB"/>
        </w:rPr>
        <w:t xml:space="preserve"> datasets are shown in Supplementary Fig</w:t>
      </w:r>
      <w:r w:rsidR="00042366" w:rsidRPr="004360D6">
        <w:rPr>
          <w:rFonts w:ascii="Times New Roman" w:eastAsia="Calibri" w:hAnsi="Times New Roman" w:cs="Times New Roman"/>
          <w:color w:val="000000" w:themeColor="text1"/>
          <w:sz w:val="24"/>
          <w:szCs w:val="24"/>
          <w:lang w:val="en-GB"/>
        </w:rPr>
        <w:t>ure</w:t>
      </w:r>
      <w:r w:rsidRPr="004360D6">
        <w:rPr>
          <w:rFonts w:ascii="Times New Roman" w:eastAsia="Calibri" w:hAnsi="Times New Roman" w:cs="Times New Roman"/>
          <w:color w:val="000000" w:themeColor="text1"/>
          <w:sz w:val="24"/>
          <w:szCs w:val="24"/>
          <w:lang w:val="en-GB"/>
        </w:rPr>
        <w:t xml:space="preserve"> </w:t>
      </w:r>
      <w:r w:rsidR="00042366" w:rsidRPr="004360D6">
        <w:rPr>
          <w:rFonts w:ascii="Times New Roman" w:eastAsia="Calibri" w:hAnsi="Times New Roman" w:cs="Times New Roman"/>
          <w:color w:val="000000" w:themeColor="text1"/>
          <w:sz w:val="24"/>
          <w:szCs w:val="24"/>
          <w:lang w:val="en-GB"/>
        </w:rPr>
        <w:t>S6</w:t>
      </w:r>
      <w:r w:rsidRPr="004360D6">
        <w:rPr>
          <w:rFonts w:ascii="Times New Roman" w:eastAsia="Calibri" w:hAnsi="Times New Roman" w:cs="Times New Roman"/>
          <w:color w:val="000000" w:themeColor="text1"/>
          <w:sz w:val="24"/>
          <w:szCs w:val="24"/>
          <w:lang w:val="en-GB"/>
        </w:rPr>
        <w:t>. Based on these plots, we selected</w:t>
      </w:r>
      <w:r w:rsidR="006501E7" w:rsidRPr="004360D6">
        <w:rPr>
          <w:rFonts w:ascii="Times New Roman" w:eastAsia="Calibri" w:hAnsi="Times New Roman" w:cs="Times New Roman"/>
          <w:color w:val="000000" w:themeColor="text1"/>
          <w:sz w:val="24"/>
          <w:szCs w:val="24"/>
          <w:lang w:val="en-GB"/>
        </w:rPr>
        <w:t xml:space="preserve"> n=13, n=13, n=15 PCs for the Oxford, London-1, and London-2, datasets, in the EWAS analyses.</w:t>
      </w:r>
    </w:p>
    <w:p w14:paraId="279312C7" w14:textId="5B221AF0" w:rsidR="00537960" w:rsidRPr="004360D6" w:rsidRDefault="007476A0" w:rsidP="00537960">
      <w:pPr>
        <w:spacing w:line="480" w:lineRule="auto"/>
        <w:jc w:val="both"/>
        <w:rPr>
          <w:rFonts w:ascii="Times New Roman" w:eastAsia="Calibri" w:hAnsi="Times New Roman" w:cs="Times New Roman"/>
          <w:color w:val="000000" w:themeColor="text1"/>
          <w:sz w:val="24"/>
          <w:szCs w:val="24"/>
          <w:lang w:val="en-GB"/>
        </w:rPr>
      </w:pPr>
      <w:r w:rsidRPr="004360D6">
        <w:rPr>
          <w:rFonts w:ascii="Times New Roman" w:eastAsia="Calibri" w:hAnsi="Times New Roman" w:cs="Times New Roman"/>
          <w:color w:val="000000" w:themeColor="text1"/>
          <w:sz w:val="24"/>
          <w:szCs w:val="24"/>
          <w:lang w:val="en-GB"/>
        </w:rPr>
        <w:t>T</w:t>
      </w:r>
      <w:r w:rsidR="00537960" w:rsidRPr="004360D6">
        <w:rPr>
          <w:rFonts w:ascii="Times New Roman" w:eastAsia="Calibri" w:hAnsi="Times New Roman" w:cs="Times New Roman"/>
          <w:color w:val="000000" w:themeColor="text1"/>
          <w:sz w:val="24"/>
          <w:szCs w:val="24"/>
          <w:lang w:val="en-GB"/>
        </w:rPr>
        <w:t>o account for differences in genetic ancestry we performed a PCA (using PLINK v1.9 “--</w:t>
      </w:r>
      <w:proofErr w:type="spellStart"/>
      <w:r w:rsidR="00537960" w:rsidRPr="004360D6">
        <w:rPr>
          <w:rFonts w:ascii="Times New Roman" w:eastAsia="Calibri" w:hAnsi="Times New Roman" w:cs="Times New Roman"/>
          <w:color w:val="000000" w:themeColor="text1"/>
          <w:sz w:val="24"/>
          <w:szCs w:val="24"/>
          <w:lang w:val="en-GB"/>
        </w:rPr>
        <w:t>pca</w:t>
      </w:r>
      <w:proofErr w:type="spellEnd"/>
      <w:r w:rsidR="00537960" w:rsidRPr="004360D6">
        <w:rPr>
          <w:rFonts w:ascii="Times New Roman" w:eastAsia="Calibri" w:hAnsi="Times New Roman" w:cs="Times New Roman"/>
          <w:color w:val="000000" w:themeColor="text1"/>
          <w:sz w:val="24"/>
          <w:szCs w:val="24"/>
          <w:lang w:val="en-GB"/>
        </w:rPr>
        <w:t>”)</w:t>
      </w:r>
      <w:r w:rsidRPr="004360D6">
        <w:rPr>
          <w:rFonts w:ascii="Times New Roman" w:eastAsia="Calibri" w:hAnsi="Times New Roman" w:cs="Times New Roman"/>
          <w:color w:val="000000" w:themeColor="text1"/>
          <w:sz w:val="24"/>
          <w:szCs w:val="24"/>
          <w:lang w:val="en-GB"/>
        </w:rPr>
        <w:t xml:space="preserve"> </w:t>
      </w:r>
      <w:r w:rsidR="00537960" w:rsidRPr="004360D6">
        <w:rPr>
          <w:rFonts w:ascii="Times New Roman" w:eastAsia="Calibri" w:hAnsi="Times New Roman" w:cs="Times New Roman"/>
          <w:color w:val="000000" w:themeColor="text1"/>
          <w:sz w:val="24"/>
          <w:szCs w:val="24"/>
          <w:lang w:val="en-GB"/>
        </w:rPr>
        <w:t>on an LD-pruned set of SNP markers (--</w:t>
      </w:r>
      <w:proofErr w:type="spellStart"/>
      <w:r w:rsidR="00537960" w:rsidRPr="004360D6">
        <w:rPr>
          <w:rFonts w:ascii="Times New Roman" w:eastAsia="Calibri" w:hAnsi="Times New Roman" w:cs="Times New Roman"/>
          <w:color w:val="000000" w:themeColor="text1"/>
          <w:sz w:val="24"/>
          <w:szCs w:val="24"/>
          <w:lang w:val="en-GB"/>
        </w:rPr>
        <w:t>indep</w:t>
      </w:r>
      <w:proofErr w:type="spellEnd"/>
      <w:r w:rsidR="00537960" w:rsidRPr="004360D6">
        <w:rPr>
          <w:rFonts w:ascii="Times New Roman" w:eastAsia="Calibri" w:hAnsi="Times New Roman" w:cs="Times New Roman"/>
          <w:color w:val="000000" w:themeColor="text1"/>
          <w:sz w:val="24"/>
          <w:szCs w:val="24"/>
          <w:lang w:val="en-GB"/>
        </w:rPr>
        <w:t xml:space="preserve">-pairwise 1500 150 0.2) derived from genome-wide SNP genotyping data generated in parallel on the same DNA samples of each individual using the Global Screening Array (GSA; Illumina, Inc).  The first 20 genetic ancestry PCs were used as covariates in the EWAS analyses. More details on the genotyping and QC procedures can be found in a previous publication </w:t>
      </w:r>
      <w:r w:rsidR="00096B3C" w:rsidRPr="004360D6">
        <w:rPr>
          <w:rFonts w:ascii="Times New Roman" w:eastAsia="Calibri" w:hAnsi="Times New Roman" w:cs="Times New Roman"/>
          <w:color w:val="000000" w:themeColor="text1"/>
          <w:sz w:val="24"/>
          <w:szCs w:val="24"/>
          <w:lang w:val="en-GB"/>
        </w:rPr>
        <w:fldChar w:fldCharType="begin" w:fldLock="1"/>
      </w:r>
      <w:r w:rsidR="00D819CE" w:rsidRPr="004360D6">
        <w:rPr>
          <w:rFonts w:ascii="Times New Roman" w:eastAsia="Calibri" w:hAnsi="Times New Roman" w:cs="Times New Roman"/>
          <w:color w:val="000000" w:themeColor="text1"/>
          <w:sz w:val="24"/>
          <w:szCs w:val="24"/>
          <w:lang w:val="en-GB"/>
        </w:rPr>
        <w:instrText>ADDIN CSL_CITATION {"citationItems":[{"id":"ITEM-1","itemData":{"DOI":"10.1038/s41398-020-01074-z","ISSN":"21583188","PMID":"33223526","abstract":"Alzheimer’s disease (AD) is the most prevalent neurodegenerative disorder and the most common form of dementia in the elderly. Susceptibility to AD is considerably determined by genetic factors which hitherto were primarily identified using case–control designs. Elucidating the genetic architecture of additional AD-related phenotypic traits, ideally those linked to the underlying disease process, holds great promise in gaining deeper insights into the genetic basis of AD and in developing better clinical prediction models. To this end, we generated genome-wide single-nucleotide polymorphism (SNP) genotyping data in 931 participants of the European Medical Information Framework Alzheimer’s Disease Multimodal Biomarker Discovery (EMIF-AD MBD) sample to search for novel genetic determinants of AD biomarker variability. Specifically, we performed genome-wide association study (GWAS) analyses on 16 traits, including 14 measures derived from quantifications of five separate amyloid-beta (Aβ) and tau-protein species in the cerebrospinal fluid (CSF). In addition to confirming the well-established effects of apolipoprotein E (APOE) on diagnostic outcome and phenotypes related to Aβ42, we detected novel potential signals in the zinc finger homeobox 3 (ZFHX3) for CSF-Aβ38 and CSF-Aβ40 levels, and confirmed the previously described sex-specific association between SNPs in geminin coiled-coil domain containing (GMNC) and CSF-tau. Utilizing the results from independent case–control AD GWAS to construct polygenic risk scores (PRS) revealed that AD risk variants only explain a small fraction of CSF biomarker variability. In conclusion, our study represents a detailed first account of GWAS analyses on CSF-Aβ and -tau-related traits in the EMIF-AD MBD dataset. In subsequent work, we will utilize the genomics data generated here in GWAS of other AD-relevant clinical outcomes ascertained in this unique dataset.","author":[{"dropping-particle":"","family":"Hong","given":"Shengjun","non-dropping-particle":"","parse-names":false,"suffix":""},{"dropping-particle":"","family":"Prokopenko","given":"Dmitry","non-dropping-particle":"","parse-names":false,"suffix":""},{"dropping-particle":"","family":"Dobricic","given":"Valerija","non-dropping-particle":"","parse-names":false,"suffix":""},{"dropping-particle":"","family":"Kilpert","given":"Fabian","non-dropping-particle":"","parse-names":false,"suffix":""},{"dropping-particle":"","family":"Bos","given":"Isabelle","non-dropping-particle":"","parse-names":false,"suffix":""},{"dropping-particle":"","family":"Vos","given":"Stephanie J.B.","non-dropping-particle":"","parse-names":false,"suffix":""},{"dropping-particle":"","family":"Tijms","given":"Betty M.","non-dropping-particle":"","parse-names":false,"suffix":""},{"dropping-particle":"","family":"Andreasson","given":"Ulf","non-dropping-particle":"","parse-names":false,"suffix":""},{"dropping-particle":"","family":"Blennow","given":"Kaj","non-dropping-particle":"","parse-names":false,"suffix":""},{"dropping-particle":"","family":"Vandenberghe","given":"Rik","non-dropping-particle":"","parse-names":false,"suffix":""},{"dropping-particle":"","family":"Cleynen","given":"Isabelle","non-dropping-particle":"","parse-names":false,"suffix":""},{"dropping-particle":"","family":"Gabel","given":"Silvy","non-dropping-particle":"","parse-names":false,"suffix":""},{"dropping-particle":"","family":"Schaeverbeke","given":"Jolien","non-dropping-particle":"","parse-names":false,"suffix":""},{"dropping-particle":"","family":"Scheltens","given":"Philip","non-dropping-particle":"","parse-names":false,"suffix":""},{"dropping-particle":"","family":"Teunissen","given":"Charlotte E.","non-dropping-particle":"","parse-names":false,"suffix":""},{"dropping-particle":"","family":"Niemantsverdriet","given":"Ellis","non-dropping-particle":"","parse-names":false,"suffix":""},{"dropping-particle":"","family":"Engelborghs","given":"Sebastiaan","non-dropping-particle":"","parse-names":false,"suffix":""},{"dropping-particle":"","family":"Frisoni","given":"Giovanni","non-dropping-particle":"","parse-names":false,"suffix":""},{"dropping-particle":"","family":"Blin","given":"Olivier","non-dropping-particle":"","parse-names":false,"suffix":""},{"dropping-particle":"","family":"Richardson","given":"Jill C.","non-dropping-particle":"","parse-names":false,"suffix":""},{"dropping-particle":"","family":"Bordet","given":"Regis","non-dropping-particle":"","parse-names":false,"suffix":""},{"dropping-particle":"","family":"Molinuevo","given":"José Luis","non-dropping-particle":"","parse-names":false,"suffix":""},{"dropping-particle":"","family":"Rami","given":"Lorena","non-dropping-particle":"","parse-names":false,"suffix":""},{"dropping-particle":"","family":"Kettunen","given":"Petronella","non-dropping-particle":"","parse-names":false,"suffix":""},{"dropping-particle":"","family":"Wallin","given":"Anders","non-dropping-particle":"","parse-names":false,"suffix":""},{"dropping-particle":"","family":"Lleó","given":"Alberto","non-dropping-particle":"","parse-names":false,"suffix":""},{"dropping-particle":"","family":"Sala","given":"Isabel","non-dropping-particle":"","parse-names":false,"suffix":""},{"dropping-particle":"","family":"Popp","given":"Julius","non-dropping-particle":"","parse-names":false,"suffix":""},{"dropping-particle":"","family":"Peyratout","given":"Gwendoline","non-dropping-particle":"","parse-names":false,"suffix":""},{"dropping-particle":"","family":"Martinez-Lage","given":"Pablo","non-dropping-particle":"","parse-names":false,"suffix":""},{"dropping-particle":"","family":"Tainta","given":"Mikel","non-dropping-particle":"","parse-names":false,"suffix":""},{"dropping-particle":"","family":"Dobson","given":"Richard J.B.","non-dropping-particle":"","parse-names":false,"suffix":""},{"dropping-particle":"","family":"Legido-Quigley","given":"Cristina","non-dropping-particle":"","parse-names":false,"suffix":""},{"dropping-particle":"","family":"Sleegers","given":"Kristel","non-dropping-particle":"","parse-names":false,"suffix":""},{"dropping-particle":"","family":"Broeckhoven","given":"Christine","non-dropping-particle":"Van","parse-names":false,"suffix":""},{"dropping-particle":"","family":"Kate","given":"Mara","non-dropping-particle":"ten","parse-names":false,"suffix":""},{"dropping-particle":"","family":"Barkhof","given":"Frederik","non-dropping-particle":"","parse-names":false,"suffix":""},{"dropping-particle":"","family":"Zetterberg","given":"Henrik","non-dropping-particle":"","parse-names":false,"suffix":""},{"dropping-particle":"","family":"Lovestone","given":"Simon","non-dropping-particle":"","parse-names":false,"suffix":""},{"dropping-particle":"","family":"Streffer","given":"Johannes","non-dropping-particle":"","parse-names":false,"suffix":""},{"dropping-particle":"","family":"Wittig","given":"Michael","non-dropping-particle":"","parse-names":false,"suffix":""},{"dropping-particle":"","family":"Franke","given":"Andre","non-dropping-particle":"","parse-names":false,"suffix":""},{"dropping-particle":"","family":"Tanzi","given":"Rudolph E.","non-dropping-particle":"","parse-names":false,"suffix":""},{"dropping-particle":"","family":"Visser","given":"Pieter Jelle","non-dropping-particle":"","parse-names":false,"suffix":""},{"dropping-particle":"","family":"Bertram","given":"Lars","non-dropping-particle":"","parse-names":false,"suffix":""}],"container-title":"Translational Psychiatry","id":"ITEM-1","issue":"1","issued":{"date-parts":[["2020","11","22"]]},"page":"1-12","publisher":"Nature Publishing Group","title":"Genome-wide association study of Alzheimer’s disease CSF biomarkers in the EMIF-AD Multimodal Biomarker Discovery dataset","type":"article-journal","volume":"10"},"uris":["http://www.mendeley.com/documents/?uuid=7b61cc30-6510-3fbf-a798-27f3b4f44be2"]}],"mendeley":{"formattedCitation":"(13)","plainTextFormattedCitation":"(13)","previouslyFormattedCitation":"(13)"},"properties":{"noteIndex":0},"schema":"https://github.com/citation-style-language/schema/raw/master/csl-citation.json"}</w:instrText>
      </w:r>
      <w:r w:rsidR="00096B3C" w:rsidRPr="004360D6">
        <w:rPr>
          <w:rFonts w:ascii="Times New Roman" w:eastAsia="Calibri" w:hAnsi="Times New Roman" w:cs="Times New Roman"/>
          <w:color w:val="000000" w:themeColor="text1"/>
          <w:sz w:val="24"/>
          <w:szCs w:val="24"/>
          <w:lang w:val="en-GB"/>
        </w:rPr>
        <w:fldChar w:fldCharType="separate"/>
      </w:r>
      <w:r w:rsidR="009B36F3" w:rsidRPr="004360D6">
        <w:rPr>
          <w:rFonts w:ascii="Times New Roman" w:eastAsia="Calibri" w:hAnsi="Times New Roman" w:cs="Times New Roman"/>
          <w:noProof/>
          <w:color w:val="000000" w:themeColor="text1"/>
          <w:sz w:val="24"/>
          <w:szCs w:val="24"/>
          <w:lang w:val="en-GB"/>
        </w:rPr>
        <w:t>(13)</w:t>
      </w:r>
      <w:r w:rsidR="00096B3C" w:rsidRPr="004360D6">
        <w:rPr>
          <w:rFonts w:ascii="Times New Roman" w:eastAsia="Calibri" w:hAnsi="Times New Roman" w:cs="Times New Roman"/>
          <w:color w:val="000000" w:themeColor="text1"/>
          <w:sz w:val="24"/>
          <w:szCs w:val="24"/>
          <w:lang w:val="en-GB"/>
        </w:rPr>
        <w:fldChar w:fldCharType="end"/>
      </w:r>
      <w:r w:rsidR="00537960" w:rsidRPr="004360D6">
        <w:rPr>
          <w:rFonts w:ascii="Times New Roman" w:eastAsia="Calibri" w:hAnsi="Times New Roman" w:cs="Times New Roman"/>
          <w:color w:val="000000" w:themeColor="text1"/>
          <w:sz w:val="24"/>
          <w:szCs w:val="24"/>
          <w:lang w:val="en-GB"/>
        </w:rPr>
        <w:t xml:space="preserve">.  </w:t>
      </w:r>
    </w:p>
    <w:p w14:paraId="6061514D" w14:textId="0E098649" w:rsidR="00D0269C" w:rsidRPr="004360D6" w:rsidRDefault="00D0269C" w:rsidP="00D0269C">
      <w:pPr>
        <w:pStyle w:val="Heading2"/>
        <w:rPr>
          <w:rFonts w:eastAsia="Calibri"/>
          <w:lang w:val="en-GB"/>
        </w:rPr>
      </w:pPr>
      <w:r w:rsidRPr="004360D6">
        <w:rPr>
          <w:rFonts w:eastAsia="Calibri"/>
          <w:lang w:val="en-GB"/>
        </w:rPr>
        <w:t>Alzheimer’s disease poly-epigenetic scores</w:t>
      </w:r>
    </w:p>
    <w:p w14:paraId="0E286FA9" w14:textId="6433BC02" w:rsidR="00947666" w:rsidRPr="004360D6" w:rsidRDefault="00295FA3" w:rsidP="00947666">
      <w:pPr>
        <w:spacing w:after="0" w:line="480" w:lineRule="auto"/>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To assess the correspondence of our novel </w:t>
      </w:r>
      <w:proofErr w:type="spellStart"/>
      <w:r w:rsidRPr="004360D6">
        <w:rPr>
          <w:rFonts w:ascii="Times New Roman" w:hAnsi="Times New Roman" w:cs="Times New Roman"/>
          <w:color w:val="000000" w:themeColor="text1"/>
          <w:sz w:val="24"/>
          <w:szCs w:val="24"/>
          <w:lang w:val="en-GB"/>
        </w:rPr>
        <w:t>DNAm</w:t>
      </w:r>
      <w:proofErr w:type="spellEnd"/>
      <w:r w:rsidRPr="004360D6">
        <w:rPr>
          <w:rFonts w:ascii="Times New Roman" w:hAnsi="Times New Roman" w:cs="Times New Roman"/>
          <w:color w:val="000000" w:themeColor="text1"/>
          <w:sz w:val="24"/>
          <w:szCs w:val="24"/>
          <w:lang w:val="en-GB"/>
        </w:rPr>
        <w:t xml:space="preserve"> data to previous EWAS on the topic, poly-epigenetic scores (PES) for each individual were calculated based on the test statistics from two publicly available AD EC datasets (GEO accession numbers GSE59685; GSE105109). To this end, we combined uncorrelated </w:t>
      </w:r>
      <w:proofErr w:type="spellStart"/>
      <w:r w:rsidRPr="004360D6">
        <w:rPr>
          <w:rFonts w:ascii="Times New Roman" w:hAnsi="Times New Roman" w:cs="Times New Roman"/>
          <w:color w:val="000000" w:themeColor="text1"/>
          <w:sz w:val="24"/>
          <w:szCs w:val="24"/>
          <w:lang w:val="en-GB"/>
        </w:rPr>
        <w:t>CpGs</w:t>
      </w:r>
      <w:proofErr w:type="spellEnd"/>
      <w:r w:rsidRPr="004360D6">
        <w:rPr>
          <w:rFonts w:ascii="Times New Roman" w:hAnsi="Times New Roman" w:cs="Times New Roman"/>
          <w:color w:val="000000" w:themeColor="text1"/>
          <w:sz w:val="24"/>
          <w:szCs w:val="24"/>
          <w:lang w:val="en-GB"/>
        </w:rPr>
        <w:t xml:space="preserve"> into one aggregated </w:t>
      </w:r>
      <w:proofErr w:type="spellStart"/>
      <w:r w:rsidRPr="004360D6">
        <w:rPr>
          <w:rFonts w:ascii="Times New Roman" w:hAnsi="Times New Roman" w:cs="Times New Roman"/>
          <w:color w:val="000000" w:themeColor="text1"/>
          <w:sz w:val="24"/>
          <w:szCs w:val="24"/>
          <w:lang w:val="en-GB"/>
        </w:rPr>
        <w:t>DNAm</w:t>
      </w:r>
      <w:proofErr w:type="spellEnd"/>
      <w:r w:rsidRPr="004360D6">
        <w:rPr>
          <w:rFonts w:ascii="Times New Roman" w:hAnsi="Times New Roman" w:cs="Times New Roman"/>
          <w:color w:val="000000" w:themeColor="text1"/>
          <w:sz w:val="24"/>
          <w:szCs w:val="24"/>
          <w:lang w:val="en-GB"/>
        </w:rPr>
        <w:t xml:space="preserve"> variable and tested these as predictors in regression models analogous to the primary EWAS.</w:t>
      </w:r>
      <w:r w:rsidR="00B155CD" w:rsidRPr="004360D6">
        <w:rPr>
          <w:rFonts w:ascii="Times New Roman" w:hAnsi="Times New Roman" w:cs="Times New Roman"/>
          <w:color w:val="000000" w:themeColor="text1"/>
          <w:sz w:val="24"/>
          <w:szCs w:val="24"/>
          <w:lang w:val="en-GB"/>
        </w:rPr>
        <w:t xml:space="preserve"> </w:t>
      </w:r>
      <w:r w:rsidR="00947666" w:rsidRPr="004360D6">
        <w:rPr>
          <w:rFonts w:ascii="Times New Roman" w:hAnsi="Times New Roman" w:cs="Times New Roman"/>
          <w:color w:val="000000" w:themeColor="text1"/>
          <w:sz w:val="24"/>
          <w:szCs w:val="24"/>
          <w:lang w:val="en-GB"/>
        </w:rPr>
        <w:t>The descriptions of the datasets</w:t>
      </w:r>
      <w:r w:rsidR="00A33D82" w:rsidRPr="004360D6">
        <w:rPr>
          <w:rFonts w:ascii="Times New Roman" w:hAnsi="Times New Roman" w:cs="Times New Roman"/>
          <w:color w:val="000000" w:themeColor="text1"/>
          <w:sz w:val="24"/>
          <w:szCs w:val="24"/>
          <w:lang w:val="en-GB"/>
        </w:rPr>
        <w:t xml:space="preserve"> used for PES calculations</w:t>
      </w:r>
      <w:r w:rsidR="00947666" w:rsidRPr="004360D6">
        <w:rPr>
          <w:rFonts w:ascii="Times New Roman" w:hAnsi="Times New Roman" w:cs="Times New Roman"/>
          <w:color w:val="000000" w:themeColor="text1"/>
          <w:sz w:val="24"/>
          <w:szCs w:val="24"/>
          <w:lang w:val="en-GB"/>
        </w:rPr>
        <w:t xml:space="preserve"> can be found in the primary publications </w:t>
      </w:r>
      <w:r w:rsidR="00947666" w:rsidRPr="004360D6">
        <w:rPr>
          <w:rFonts w:ascii="Times New Roman" w:hAnsi="Times New Roman" w:cs="Times New Roman"/>
          <w:color w:val="000000" w:themeColor="text1"/>
          <w:sz w:val="24"/>
          <w:szCs w:val="24"/>
          <w:lang w:val="en-GB"/>
        </w:rPr>
        <w:fldChar w:fldCharType="begin" w:fldLock="1"/>
      </w:r>
      <w:r w:rsidR="00D819CE" w:rsidRPr="004360D6">
        <w:rPr>
          <w:rFonts w:ascii="Times New Roman" w:hAnsi="Times New Roman" w:cs="Times New Roman"/>
          <w:color w:val="000000" w:themeColor="text1"/>
          <w:sz w:val="24"/>
          <w:szCs w:val="24"/>
          <w:lang w:val="en-GB"/>
        </w:rPr>
        <w:instrText>ADDIN CSL_CITATION {"citationItems":[{"id":"ITEM-1","itemData":{"DOI":"10.1038/nn.3782","ISSN":"1546-1726","abstract":"Alzheimer's disease (AD) is a chronic neurodegenerative disorder characterized by progressive neuropathology and cognitive decline. Here the authors describe an epigenome-wide association study (EWAS) of human post-mortem brain samples across multiple independent AD cohorts. They find consistent hypermethylation of the ANK1 gene associated with neuropathology. Alzheimer's disease (AD) is a chronic neurodegenerative disorder that is characterized by progressive neuropathology and cognitive decline. We performed a cross-tissue analysis of methylomic variation in AD using samples from four independent human post-mortem brain cohorts. We identified a differentially methylated region in the ankyrin 1 (ANK1) gene that was associated with neuropathology in the entorhinal cortex, a primary site of AD manifestation. This region was confirmed as being substantially hypermethylated in two other cortical regions (superior temporal gyrus and prefrontal cortex), but not in the cerebellum, a region largely protected from neurodegeneration in AD, or whole blood obtained pre-mortem from the same individuals. Neuropathology-associated ANK1 hypermethylation was subsequently confirmed in cortical samples from three independent brain cohorts. This study represents, to the best of our knowledge, the first epigenome-wide association study of AD employing a sequential replication design across multiple tissues and highlights the power of this approach for identifying methylomic variation associated with complex disease.","author":[{"dropping-particle":"","family":"Lunnon","given":"Katie","non-dropping-particle":"","parse-names":false,"suffix":""},{"dropping-particle":"","family":"Smith","given":"Rebecca","non-dropping-particle":"","parse-names":false,"suffix":""},{"dropping-particle":"","family":"Hannon","given":"Eilis","non-dropping-particle":"","parse-names":false,"suffix":""},{"dropping-particle":"","family":"Jager","given":"Philip L","non-dropping-particle":"De","parse-names":false,"suffix":""},{"dropping-particle":"","family":"Srivastava","given":"Gyan","non-dropping-particle":"","parse-names":false,"suffix":""},{"dropping-particle":"","family":"Volta","given":"Manuela","non-dropping-particle":"","parse-names":false,"suffix":""},{"dropping-particle":"","family":"Troakes","given":"Claire","non-dropping-particle":"","parse-names":false,"suffix":""},{"dropping-particle":"","family":"Al-Sarraj","given":"Safa","non-dropping-particle":"","parse-names":false,"suffix":""},{"dropping-particle":"","family":"Burrage","given":"Joe","non-dropping-particle":"","parse-names":false,"suffix":""},{"dropping-particle":"","family":"Macdonald","given":"Ruby","non-dropping-particle":"","parse-names":false,"suffix":""},{"dropping-particle":"","family":"Condliffe","given":"Daniel","non-dropping-particle":"","parse-names":false,"suffix":""},{"dropping-particle":"","family":"Harries","given":"Lorna W","non-dropping-particle":"","parse-names":false,"suffix":""},{"dropping-particle":"","family":"Katsel","given":"Pavel","non-dropping-particle":"","parse-names":false,"suffix":""},{"dropping-particle":"","family":"Haroutunian","given":"Vahram","non-dropping-particle":"","parse-names":false,"suffix":""},{"dropping-particle":"","family":"Kaminsky","given":"Zachary","non-dropping-particle":"","parse-names":false,"suffix":""},{"dropping-particle":"","family":"Joachim","given":"Catharine","non-dropping-particle":"","parse-names":false,"suffix":""},{"dropping-particle":"","family":"Powell","given":"John","non-dropping-particle":"","parse-names":false,"suffix":""},{"dropping-particle":"","family":"Lovestone","given":"Simon","non-dropping-particle":"","parse-names":false,"suffix":""},{"dropping-particle":"","family":"Bennett","given":"David A","non-dropping-particle":"","parse-names":false,"suffix":""},{"dropping-particle":"","family":"Schalkwyk","given":"Leonard C","non-dropping-particle":"","parse-names":false,"suffix":""},{"dropping-particle":"","family":"Mill","given":"Jonathan","non-dropping-particle":"","parse-names":false,"suffix":""}],"container-title":"Nature Neuroscience","id":"ITEM-1","issue":"9","issued":{"date-parts":[["2014","8","17"]]},"page":"1164-1170","publisher":"Nature Publishing Group","title":"Methylomic profiling implicates cortical deregulation of ANK1 in Alzheimer's disease","type":"article-journal","volume":"17"},"uris":["http://www.mendeley.com/documents/?uuid=260a39e6-50f2-3419-854a-e8ebbe20fe57"]},{"id":"ITEM-2","itemData":{"DOI":"10.1186/S13148-019-0636-Y","ISSN":"1868-7083","abstract":"Alzheimer’s disease is a progressive neurodegenerative disorder that is hypothesized to involve epigenetic dysfunction. Previous studies of DNA modifications in Alzheimer’s disease have been unable to distinguish between DNA methylation and DNA hydroxymethylation. DNA hydroxymethylation has been shown to be enriched in the human brain, although its role in Alzheimer’s disease has not yet been fully explored. Here, we utilize oxidative bisulfite conversion, in conjunction with the Illumina Infinium Human Methylation 450K microarray, to identify neuropathology-associated differential DNA methylation and DNA hydroxymethylation in the entorhinal cortex. We identified one experiment-wide significant differentially methylated position residing in the WNT5B gene. Next, we investigated pathology-associated regions consisting of multiple adjacent loci. We identified one significant differentially hydroxymethylated region consisting of four probes spanning 104 bases in the FBXL16 gene. We also identified two significant differentially methylated regions: one consisting of two probes in a 93 base-pair region in the ANK1 gene and the other consisting of six probes in a 99-base pair region in the ARID5B gene. We also highlighted three regions that show alterations in unmodified cytosine: two probes in a 39-base pair region of ALLC, two probes in a 69-base pair region in JAG2, and the same six probes in ARID5B that were differentially methylated. Finally, we replicated significant ANK1 disease-associated hypermethylation and hypohydroxymethylation patterns across eight CpG sites in an extended 118-base pair region in an independent cohort using oxidative-bisulfite pyrosequencing. Our study represents the first epigenome-wide association study of both DNA methylation and hydroxymethylation in Alzheimer’s disease entorhinal cortex. We demonstrate that previous estimates of DNA hypermethylation in ANK1 in Alzheimer’s disease were underestimates as it is confounded by hypohydroxymethylation.","author":[{"dropping-particle":"","family":"Smith","given":"Adam R.","non-dropping-particle":"","parse-names":false,"suffix":""},{"dropping-particle":"","family":"Smith","given":"Rebecca G.","non-dropping-particle":"","parse-names":false,"suffix":""},{"dropping-particle":"","family":"Pishva","given":"Ehsan","non-dropping-particle":"","parse-names":false,"suffix":""},{"dropping-particle":"","family":"Hannon","given":"Eilis","non-dropping-particle":"","parse-names":false,"suffix":""},{"dropping-particle":"","family":"Roubroeks","given":"Janou A. Y.","non-dropping-particle":"","parse-names":false,"suffix":""},{"dropping-particle":"","family":"Burrage","given":"Joe","non-dropping-particle":"","parse-names":false,"suffix":""},{"dropping-particle":"","family":"Troakes","given":"Claire","non-dropping-particle":"","parse-names":false,"suffix":""},{"dropping-particle":"","family":"Al-Sarraj","given":"Safa","non-dropping-particle":"","parse-names":false,"suffix":""},{"dropping-particle":"","family":"Sloan","given":"Carolyn","non-dropping-particle":"","parse-names":false,"suffix":""},{"dropping-particle":"","family":"Mill","given":"Jonathan","non-dropping-particle":"","parse-names":false,"suffix":""},{"dropping-particle":"","family":"Hove","given":"Daniel L.","non-dropping-particle":"van den","parse-names":false,"suffix":""},{"dropping-particle":"","family":"Lunnon","given":"Katie","non-dropping-particle":"","parse-names":false,"suffix":""}],"container-title":"Clinical Epigenetics","id":"ITEM-2","issue":"1","issued":{"date-parts":[["2019","3","21"]]},"page":"1-13","publisher":"BioMed Central","title":"Parallel profiling of DNA methylation and hydroxymethylation highlights neuropathology-associated epigenetic variation in Alzheimer’s disease","type":"article-journal","volume":"11"},"uris":["http://www.mendeley.com/documents/?uuid=f585bb94-977d-322a-9cf9-0ce841ddd83c"]}],"mendeley":{"formattedCitation":"(14,15)","plainTextFormattedCitation":"(14,15)","previouslyFormattedCitation":"(14,15)"},"properties":{"noteIndex":0},"schema":"https://github.com/citation-style-language/schema/raw/master/csl-citation.json"}</w:instrText>
      </w:r>
      <w:r w:rsidR="00947666" w:rsidRPr="004360D6">
        <w:rPr>
          <w:rFonts w:ascii="Times New Roman" w:hAnsi="Times New Roman" w:cs="Times New Roman"/>
          <w:color w:val="000000" w:themeColor="text1"/>
          <w:sz w:val="24"/>
          <w:szCs w:val="24"/>
          <w:lang w:val="en-GB"/>
        </w:rPr>
        <w:fldChar w:fldCharType="separate"/>
      </w:r>
      <w:r w:rsidR="009B36F3" w:rsidRPr="004360D6">
        <w:rPr>
          <w:rFonts w:ascii="Times New Roman" w:hAnsi="Times New Roman" w:cs="Times New Roman"/>
          <w:noProof/>
          <w:color w:val="000000" w:themeColor="text1"/>
          <w:sz w:val="24"/>
          <w:szCs w:val="24"/>
          <w:lang w:val="en-GB"/>
        </w:rPr>
        <w:t>(14,15)</w:t>
      </w:r>
      <w:r w:rsidR="00947666" w:rsidRPr="004360D6">
        <w:rPr>
          <w:rFonts w:ascii="Times New Roman" w:hAnsi="Times New Roman" w:cs="Times New Roman"/>
          <w:color w:val="000000" w:themeColor="text1"/>
          <w:sz w:val="24"/>
          <w:szCs w:val="24"/>
          <w:lang w:val="en-GB"/>
        </w:rPr>
        <w:fldChar w:fldCharType="end"/>
      </w:r>
      <w:r w:rsidR="00947666" w:rsidRPr="004360D6">
        <w:rPr>
          <w:rFonts w:ascii="Times New Roman" w:hAnsi="Times New Roman" w:cs="Times New Roman"/>
          <w:color w:val="000000" w:themeColor="text1"/>
          <w:sz w:val="24"/>
          <w:szCs w:val="24"/>
          <w:lang w:val="en-GB"/>
        </w:rPr>
        <w:t xml:space="preserve">. For the PES calculations, test statistics from the meta-analysis with varying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-value thresholds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 &lt; 1,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 &lt; 1.00E-04,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 &lt; 1.00E-05,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 &lt; 1.00E-06,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 &lt; 1.36E-07) were used. For each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 xml:space="preserve">-value </w:t>
      </w:r>
      <w:r w:rsidR="00947666" w:rsidRPr="004360D6">
        <w:rPr>
          <w:rFonts w:ascii="Times New Roman" w:hAnsi="Times New Roman" w:cs="Times New Roman"/>
          <w:color w:val="000000" w:themeColor="text1"/>
          <w:sz w:val="24"/>
          <w:szCs w:val="24"/>
          <w:lang w:val="en-GB"/>
        </w:rPr>
        <w:lastRenderedPageBreak/>
        <w:t xml:space="preserve">threshold, we created </w:t>
      </w:r>
      <w:r w:rsidR="00947666" w:rsidRPr="004360D6">
        <w:rPr>
          <w:rFonts w:ascii="Times New Roman" w:hAnsi="Times New Roman" w:cs="Times New Roman"/>
          <w:sz w:val="24"/>
          <w:szCs w:val="24"/>
          <w:lang w:val="en-GB" w:eastAsia="de-DE"/>
        </w:rPr>
        <w:t>a</w:t>
      </w:r>
      <w:r w:rsidR="00947666" w:rsidRPr="004360D6">
        <w:rPr>
          <w:rFonts w:ascii="Times New Roman" w:hAnsi="Times New Roman" w:cs="Times New Roman"/>
          <w:color w:val="000000" w:themeColor="text1"/>
          <w:sz w:val="24"/>
          <w:szCs w:val="24"/>
          <w:lang w:val="en-GB"/>
        </w:rPr>
        <w:t xml:space="preserve"> set of uncorrelated </w:t>
      </w:r>
      <w:proofErr w:type="spellStart"/>
      <w:r w:rsidR="00947666" w:rsidRPr="004360D6">
        <w:rPr>
          <w:rFonts w:ascii="Times New Roman" w:hAnsi="Times New Roman" w:cs="Times New Roman"/>
          <w:color w:val="000000" w:themeColor="text1"/>
          <w:sz w:val="24"/>
          <w:szCs w:val="24"/>
          <w:lang w:val="en-GB"/>
        </w:rPr>
        <w:t>CpGs</w:t>
      </w:r>
      <w:proofErr w:type="spellEnd"/>
      <w:r w:rsidR="00947666" w:rsidRPr="004360D6">
        <w:rPr>
          <w:rFonts w:ascii="Times New Roman" w:hAnsi="Times New Roman" w:cs="Times New Roman"/>
          <w:color w:val="000000" w:themeColor="text1"/>
          <w:sz w:val="24"/>
          <w:szCs w:val="24"/>
          <w:lang w:val="en-GB"/>
        </w:rPr>
        <w:t xml:space="preserve"> by dividing the genome into 100kb bins and followed by the selection of the CpG with the most extreme effect size per bin. Here, the effect sizes from the meta-analysis for London-1 and London-2 (</w:t>
      </w:r>
      <w:r w:rsidR="00947666" w:rsidRPr="004360D6">
        <w:rPr>
          <w:rFonts w:ascii="Times New Roman" w:hAnsi="Times New Roman" w:cs="Times New Roman"/>
          <w:i/>
          <w:iCs/>
          <w:color w:val="000000" w:themeColor="text1"/>
          <w:sz w:val="24"/>
          <w:szCs w:val="24"/>
          <w:lang w:val="en-GB"/>
        </w:rPr>
        <w:t>β</w:t>
      </w:r>
      <w:r w:rsidR="00947666" w:rsidRPr="004360D6">
        <w:rPr>
          <w:rFonts w:ascii="Times New Roman" w:hAnsi="Times New Roman" w:cs="Times New Roman"/>
          <w:color w:val="000000" w:themeColor="text1"/>
          <w:sz w:val="24"/>
          <w:szCs w:val="24"/>
          <w:lang w:val="en-GB"/>
        </w:rPr>
        <w:t xml:space="preserve">) and the normalized </w:t>
      </w:r>
      <w:proofErr w:type="spellStart"/>
      <w:r w:rsidR="00947666" w:rsidRPr="004360D6">
        <w:rPr>
          <w:rFonts w:ascii="Times New Roman" w:hAnsi="Times New Roman" w:cs="Times New Roman"/>
          <w:color w:val="000000" w:themeColor="text1"/>
          <w:sz w:val="24"/>
          <w:szCs w:val="24"/>
          <w:lang w:val="en-GB"/>
        </w:rPr>
        <w:t>DNAm</w:t>
      </w:r>
      <w:proofErr w:type="spellEnd"/>
      <w:r w:rsidR="00947666" w:rsidRPr="004360D6">
        <w:rPr>
          <w:rFonts w:ascii="Times New Roman" w:hAnsi="Times New Roman" w:cs="Times New Roman"/>
          <w:color w:val="000000" w:themeColor="text1"/>
          <w:sz w:val="24"/>
          <w:szCs w:val="24"/>
          <w:lang w:val="en-GB"/>
        </w:rPr>
        <w:t xml:space="preserve"> values (</w:t>
      </w:r>
      <w:r w:rsidR="00947666" w:rsidRPr="004360D6">
        <w:rPr>
          <w:rFonts w:ascii="Times New Roman" w:hAnsi="Times New Roman" w:cs="Times New Roman"/>
          <w:i/>
          <w:iCs/>
          <w:color w:val="000000" w:themeColor="text1"/>
          <w:sz w:val="24"/>
          <w:szCs w:val="24"/>
          <w:lang w:val="en-GB"/>
        </w:rPr>
        <w:t>CpG</w:t>
      </w:r>
      <w:r w:rsidR="00947666" w:rsidRPr="004360D6">
        <w:rPr>
          <w:rFonts w:ascii="Times New Roman" w:hAnsi="Times New Roman" w:cs="Times New Roman"/>
          <w:color w:val="000000" w:themeColor="text1"/>
          <w:sz w:val="24"/>
          <w:szCs w:val="24"/>
          <w:lang w:val="en-GB"/>
        </w:rPr>
        <w:t xml:space="preserve">) for each of the </w:t>
      </w:r>
      <w:r w:rsidR="00947666" w:rsidRPr="004360D6">
        <w:rPr>
          <w:rFonts w:ascii="Times New Roman" w:hAnsi="Times New Roman" w:cs="Times New Roman"/>
          <w:i/>
          <w:iCs/>
          <w:color w:val="000000" w:themeColor="text1"/>
          <w:sz w:val="24"/>
          <w:szCs w:val="24"/>
          <w:lang w:val="en-GB"/>
        </w:rPr>
        <w:t xml:space="preserve">n </w:t>
      </w:r>
      <w:r w:rsidR="00947666" w:rsidRPr="004360D6">
        <w:rPr>
          <w:rFonts w:ascii="Times New Roman" w:hAnsi="Times New Roman" w:cs="Times New Roman"/>
          <w:color w:val="000000" w:themeColor="text1"/>
          <w:sz w:val="24"/>
          <w:szCs w:val="24"/>
          <w:lang w:val="en-GB"/>
        </w:rPr>
        <w:t xml:space="preserve">uncorrelated </w:t>
      </w:r>
      <w:proofErr w:type="spellStart"/>
      <w:r w:rsidR="00947666" w:rsidRPr="004360D6">
        <w:rPr>
          <w:rFonts w:ascii="Times New Roman" w:hAnsi="Times New Roman" w:cs="Times New Roman"/>
          <w:color w:val="000000" w:themeColor="text1"/>
          <w:sz w:val="24"/>
          <w:szCs w:val="24"/>
          <w:lang w:val="en-GB"/>
        </w:rPr>
        <w:t>CpGs</w:t>
      </w:r>
      <w:proofErr w:type="spellEnd"/>
      <w:r w:rsidR="00947666" w:rsidRPr="004360D6">
        <w:rPr>
          <w:rFonts w:ascii="Times New Roman" w:hAnsi="Times New Roman" w:cs="Times New Roman"/>
          <w:color w:val="000000" w:themeColor="text1"/>
          <w:sz w:val="24"/>
          <w:szCs w:val="24"/>
          <w:lang w:val="en-GB"/>
        </w:rPr>
        <w:t xml:space="preserve"> for each </w:t>
      </w:r>
      <w:r w:rsidR="00947666" w:rsidRPr="004360D6">
        <w:rPr>
          <w:rFonts w:ascii="Times New Roman" w:hAnsi="Times New Roman" w:cs="Times New Roman"/>
          <w:i/>
          <w:iCs/>
          <w:color w:val="000000" w:themeColor="text1"/>
          <w:sz w:val="24"/>
          <w:szCs w:val="24"/>
          <w:lang w:val="en-GB"/>
        </w:rPr>
        <w:t>p</w:t>
      </w:r>
      <w:r w:rsidR="00947666" w:rsidRPr="004360D6">
        <w:rPr>
          <w:rFonts w:ascii="Times New Roman" w:hAnsi="Times New Roman" w:cs="Times New Roman"/>
          <w:color w:val="000000" w:themeColor="text1"/>
          <w:sz w:val="24"/>
          <w:szCs w:val="24"/>
          <w:lang w:val="en-GB"/>
        </w:rPr>
        <w:t>-value threshold were used and combined as follows:</w:t>
      </w:r>
    </w:p>
    <w:p w14:paraId="405060D7" w14:textId="77777777" w:rsidR="00947666" w:rsidRPr="004360D6" w:rsidRDefault="00000000" w:rsidP="00F56741">
      <w:pPr>
        <w:spacing w:after="0" w:line="480" w:lineRule="auto"/>
        <w:rPr>
          <w:rFonts w:ascii="Times New Roman" w:hAnsi="Times New Roman" w:cs="Times New Roman"/>
          <w:color w:val="000000" w:themeColor="text1"/>
          <w:sz w:val="24"/>
          <w:szCs w:val="24"/>
          <w:lang w:val="en-GB"/>
        </w:rPr>
      </w:pPr>
      <m:oMathPara>
        <m:oMath>
          <m:nary>
            <m:naryPr>
              <m:chr m:val="∑"/>
              <m:limLoc m:val="undOvr"/>
              <m:ctrlPr>
                <w:rPr>
                  <w:rFonts w:ascii="Cambria Math" w:hAnsi="Cambria Math" w:cs="Times New Roman"/>
                  <w:i/>
                  <w:color w:val="000000" w:themeColor="text1"/>
                  <w:sz w:val="24"/>
                  <w:szCs w:val="24"/>
                  <w:lang w:val="en-GB"/>
                </w:rPr>
              </m:ctrlPr>
            </m:naryPr>
            <m:sub>
              <m:r>
                <w:rPr>
                  <w:rFonts w:ascii="Cambria Math" w:hAnsi="Cambria Math" w:cs="Times New Roman"/>
                  <w:color w:val="000000" w:themeColor="text1"/>
                  <w:sz w:val="24"/>
                  <w:szCs w:val="24"/>
                  <w:lang w:val="en-GB"/>
                </w:rPr>
                <m:t>i=1</m:t>
              </m:r>
            </m:sub>
            <m:sup>
              <m:r>
                <w:rPr>
                  <w:rFonts w:ascii="Cambria Math" w:hAnsi="Cambria Math" w:cs="Times New Roman"/>
                  <w:color w:val="000000" w:themeColor="text1"/>
                  <w:sz w:val="24"/>
                  <w:szCs w:val="24"/>
                  <w:lang w:val="en-GB"/>
                </w:rPr>
                <m:t>n</m:t>
              </m:r>
            </m:sup>
            <m:e>
              <m:sSub>
                <m:sSubPr>
                  <m:ctrlPr>
                    <w:rPr>
                      <w:rFonts w:ascii="Cambria Math" w:hAnsi="Cambria Math" w:cs="Times New Roman"/>
                      <w:i/>
                      <w:color w:val="000000" w:themeColor="text1"/>
                      <w:sz w:val="24"/>
                      <w:szCs w:val="24"/>
                      <w:lang w:val="en-GB"/>
                    </w:rPr>
                  </m:ctrlPr>
                </m:sSubPr>
                <m:e>
                  <m:r>
                    <w:rPr>
                      <w:rFonts w:ascii="Cambria Math" w:hAnsi="Cambria Math" w:cs="Times New Roman"/>
                      <w:color w:val="000000" w:themeColor="text1"/>
                      <w:sz w:val="24"/>
                      <w:szCs w:val="24"/>
                      <w:lang w:val="en-GB"/>
                    </w:rPr>
                    <m:t>β</m:t>
                  </m:r>
                </m:e>
                <m:sub>
                  <m:r>
                    <w:rPr>
                      <w:rFonts w:ascii="Cambria Math" w:hAnsi="Cambria Math" w:cs="Times New Roman"/>
                      <w:color w:val="000000" w:themeColor="text1"/>
                      <w:sz w:val="24"/>
                      <w:szCs w:val="24"/>
                      <w:lang w:val="en-GB"/>
                    </w:rPr>
                    <m:t>i</m:t>
                  </m:r>
                </m:sub>
              </m:sSub>
              <m:sSub>
                <m:sSubPr>
                  <m:ctrlPr>
                    <w:rPr>
                      <w:rFonts w:ascii="Cambria Math" w:hAnsi="Cambria Math" w:cs="Times New Roman"/>
                      <w:i/>
                      <w:color w:val="000000" w:themeColor="text1"/>
                      <w:sz w:val="24"/>
                      <w:szCs w:val="24"/>
                      <w:lang w:val="en-GB"/>
                    </w:rPr>
                  </m:ctrlPr>
                </m:sSubPr>
                <m:e>
                  <m:r>
                    <w:rPr>
                      <w:rFonts w:ascii="Cambria Math" w:hAnsi="Cambria Math" w:cs="Times New Roman"/>
                      <w:color w:val="000000" w:themeColor="text1"/>
                      <w:sz w:val="24"/>
                      <w:szCs w:val="24"/>
                      <w:lang w:val="en-GB"/>
                    </w:rPr>
                    <m:t>*CpG</m:t>
                  </m:r>
                </m:e>
                <m:sub>
                  <m:r>
                    <w:rPr>
                      <w:rFonts w:ascii="Cambria Math" w:hAnsi="Cambria Math" w:cs="Times New Roman"/>
                      <w:color w:val="000000" w:themeColor="text1"/>
                      <w:sz w:val="24"/>
                      <w:szCs w:val="24"/>
                      <w:lang w:val="en-GB"/>
                    </w:rPr>
                    <m:t>i</m:t>
                  </m:r>
                </m:sub>
              </m:sSub>
            </m:e>
          </m:nary>
        </m:oMath>
      </m:oMathPara>
    </w:p>
    <w:p w14:paraId="669FE5A7" w14:textId="77777777" w:rsidR="00947666" w:rsidRPr="004360D6" w:rsidRDefault="00947666" w:rsidP="00F56741">
      <w:pPr>
        <w:spacing w:after="0" w:line="480" w:lineRule="auto"/>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PES-based association analyses used linear regression models to predict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as outcome and PES as predictor, adjusting for the same covariates as in the primary EWAS analyses. </w:t>
      </w:r>
    </w:p>
    <w:p w14:paraId="294F07A4" w14:textId="77777777" w:rsidR="0085079A" w:rsidRPr="004360D6" w:rsidRDefault="00800F2B" w:rsidP="00800F2B">
      <w:pPr>
        <w:pStyle w:val="Heading2"/>
        <w:rPr>
          <w:lang w:val="en-GB"/>
        </w:rPr>
      </w:pPr>
      <w:r w:rsidRPr="004360D6">
        <w:rPr>
          <w:lang w:val="en-GB"/>
        </w:rPr>
        <w:t>Epigenetic age estimation</w:t>
      </w:r>
    </w:p>
    <w:p w14:paraId="57E4FA84" w14:textId="0FB40FDA" w:rsidR="00C12122" w:rsidRPr="004360D6" w:rsidRDefault="00CC0B8C" w:rsidP="00C12122">
      <w:p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Two epigenetic age predictors were used in our analyses: 1. the “Horvath multi-tissue predictor” (HMTP) </w:t>
      </w:r>
      <w:r w:rsidRPr="004360D6">
        <w:rPr>
          <w:rFonts w:ascii="Times New Roman" w:hAnsi="Times New Roman" w:cs="Times New Roman"/>
          <w:color w:val="000000" w:themeColor="text1"/>
          <w:sz w:val="24"/>
          <w:szCs w:val="24"/>
          <w:lang w:val="en-GB"/>
        </w:rPr>
        <w:fldChar w:fldCharType="begin" w:fldLock="1"/>
      </w:r>
      <w:r w:rsidR="009B36F3" w:rsidRPr="004360D6">
        <w:rPr>
          <w:rFonts w:ascii="Times New Roman" w:hAnsi="Times New Roman" w:cs="Times New Roman"/>
          <w:color w:val="000000" w:themeColor="text1"/>
          <w:sz w:val="24"/>
          <w:szCs w:val="24"/>
          <w:lang w:val="en-GB"/>
        </w:rPr>
        <w:instrText>ADDIN CSL_CITATION {"citationItems":[{"id":"ITEM-1","itemData":{"DOI":"10.1186/s13059-015-0649-6","ISSN":"1465-6906","abstract":"Background: It is not yet known whether DNA methylation levels can be used to accurately predict age across a broad spectrum of human tissues and cell types, nor whether the resulting age prediction is a biologically meaningful measure.","author":[{"dropping-particle":"","family":"Horvath","given":"Steve","non-dropping-particle":"","parse-names":false,"suffix":""}],"container-title":"Genome Biology","id":"ITEM-1","issue":"1","issued":{"date-parts":[["2015"]]},"page":"96","title":"DNA methylation age of human tissues and cell types","type":"article-journal","volume":"16"},"uris":["http://www.mendeley.com/documents/?uuid=7684d742-3cc9-40d4-b39c-8d3e15b5e786"]}],"mendeley":{"formattedCitation":"(5)","plainTextFormattedCitation":"(5)","previouslyFormattedCitation":"(5)"},"properties":{"noteIndex":0},"schema":"https://github.com/citation-style-language/schema/raw/master/csl-citation.json"}</w:instrText>
      </w:r>
      <w:r w:rsidRPr="004360D6">
        <w:rPr>
          <w:rFonts w:ascii="Times New Roman" w:hAnsi="Times New Roman" w:cs="Times New Roman"/>
          <w:color w:val="000000" w:themeColor="text1"/>
          <w:sz w:val="24"/>
          <w:szCs w:val="24"/>
          <w:lang w:val="en-GB"/>
        </w:rPr>
        <w:fldChar w:fldCharType="separate"/>
      </w:r>
      <w:r w:rsidR="00527220" w:rsidRPr="004360D6">
        <w:rPr>
          <w:rFonts w:ascii="Times New Roman" w:hAnsi="Times New Roman" w:cs="Times New Roman"/>
          <w:noProof/>
          <w:color w:val="000000" w:themeColor="text1"/>
          <w:sz w:val="24"/>
          <w:szCs w:val="24"/>
          <w:lang w:val="en-GB"/>
        </w:rPr>
        <w:t>(5)</w:t>
      </w:r>
      <w:r w:rsidRPr="004360D6">
        <w:rPr>
          <w:rFonts w:ascii="Times New Roman" w:hAnsi="Times New Roman" w:cs="Times New Roman"/>
          <w:color w:val="000000" w:themeColor="text1"/>
          <w:sz w:val="24"/>
          <w:szCs w:val="24"/>
          <w:lang w:val="en-GB"/>
        </w:rPr>
        <w:fldChar w:fldCharType="end"/>
      </w:r>
      <w:r w:rsidRPr="004360D6">
        <w:rPr>
          <w:rFonts w:ascii="Times New Roman" w:hAnsi="Times New Roman" w:cs="Times New Roman"/>
          <w:color w:val="000000" w:themeColor="text1"/>
          <w:sz w:val="24"/>
          <w:szCs w:val="24"/>
          <w:lang w:val="en-GB"/>
        </w:rPr>
        <w:t xml:space="preserve"> and 2. the “cortex clock” (</w:t>
      </w:r>
      <w:proofErr w:type="spellStart"/>
      <w:r w:rsidRPr="004360D6">
        <w:rPr>
          <w:rFonts w:ascii="Times New Roman" w:hAnsi="Times New Roman" w:cs="Times New Roman"/>
          <w:color w:val="000000" w:themeColor="text1"/>
          <w:sz w:val="24"/>
          <w:szCs w:val="24"/>
          <w:lang w:val="en-GB"/>
        </w:rPr>
        <w:t>CorCl</w:t>
      </w:r>
      <w:proofErr w:type="spellEnd"/>
      <w:r w:rsidRPr="004360D6">
        <w:rPr>
          <w:rFonts w:ascii="Times New Roman" w:hAnsi="Times New Roman" w:cs="Times New Roman"/>
          <w:color w:val="000000" w:themeColor="text1"/>
          <w:sz w:val="24"/>
          <w:szCs w:val="24"/>
          <w:lang w:val="en-GB"/>
        </w:rPr>
        <w:t xml:space="preserve">) </w:t>
      </w:r>
      <w:r w:rsidRPr="004360D6">
        <w:rPr>
          <w:rFonts w:ascii="Times New Roman" w:hAnsi="Times New Roman" w:cs="Times New Roman"/>
          <w:color w:val="000000" w:themeColor="text1"/>
          <w:sz w:val="24"/>
          <w:szCs w:val="24"/>
          <w:lang w:val="en-GB"/>
        </w:rPr>
        <w:fldChar w:fldCharType="begin" w:fldLock="1"/>
      </w:r>
      <w:r w:rsidR="00D819CE" w:rsidRPr="004360D6">
        <w:rPr>
          <w:rFonts w:ascii="Times New Roman" w:hAnsi="Times New Roman" w:cs="Times New Roman"/>
          <w:color w:val="000000" w:themeColor="text1"/>
          <w:sz w:val="24"/>
          <w:szCs w:val="24"/>
          <w:lang w:val="en-GB"/>
        </w:rPr>
        <w:instrText>ADDIN CSL_CITATION {"citationItems":[{"id":"ITEM-1","itemData":{"DOI":"10.1093/brain/awaa334","ISSN":"0006-8950","abstract":"&lt;p&gt;Human DNA methylation data have been used to develop biomarkers of ageing, referred to as ‘epigenetic clocks’, which have been widely used to identify differences between chronological age and biological age in health and disease including neurodegeneration, dementia and other brain phenotypes. Existing DNA methylation clocks have been shown to be highly accurate in blood but are less precise when used in older samples or in tissue types not included in training the model, including brain. We aimed to develop a novel epigenetic clock that performs optimally in human cortex tissue and has the potential to identify phenotypes associated with biological ageing in the brain. We generated an extensive dataset of human cortex DNA methylation data spanning the life course (n = 1397, ages = 1 to 108 years). This dataset was split into ‘training’ and ‘testing’ samples (training: n = 1047; testing: n = 350). DNA methylation age estimators were derived using a transformed version of chronological age on DNA methylation at specific sites using elastic net regression, a supervised machine learning method. The cortical clock was subsequently validated in a novel independent human cortex dataset (n = 1221, ages = 41 to 104 years) and tested for specificity in a large whole blood dataset (n = 1175, ages = 28 to 98 years). We identified a set of 347 DNA methylation sites that, in combination, optimally predict age in the human cortex. The sum of DNA methylation levels at these sites weighted by their regression coefficients provide the cortical DNA methylation clock age estimate. The novel clock dramatically outperformed previously reported clocks in additional cortical datasets. Our findings suggest that previous associations between predicted DNA methylation age and neurodegenerative phenotypes might represent false positives resulting from clocks not robustly calibrated to the tissue being tested and for phenotypes that become manifest in older ages. The age distribution and tissue type of samples included in training datasets need to be considered when building and applying epigenetic clock algorithms to human epidemiological or disease cohorts.&lt;/p&gt;","author":[{"dropping-particle":"","family":"Shireby","given":"Gemma L","non-dropping-particle":"","parse-names":false,"suffix":""},{"dropping-particle":"","family":"Davies","given":"Jonathan P","non-dropping-particle":"","parse-names":false,"suffix":""},{"dropping-particle":"","family":"Francis","given":"Paul T","non-dropping-particle":"","parse-names":false,"suffix":""},{"dropping-particle":"","family":"Burrage","given":"Joe","non-dropping-particle":"","parse-names":false,"suffix":""},{"dropping-particle":"","family":"Walker","given":"Emma M","non-dropping-particle":"","parse-names":false,"suffix":""},{"dropping-particle":"","family":"Neilson","given":"Grant W A","non-dropping-particle":"","parse-names":false,"suffix":""},{"dropping-particle":"","family":"Dahir","given":"Aisha","non-dropping-particle":"","parse-names":false,"suffix":""},{"dropping-particle":"","family":"Thomas","given":"Alan J","non-dropping-particle":"","parse-names":false,"suffix":""},{"dropping-particle":"","family":"Love","given":"Seth","non-dropping-particle":"","parse-names":false,"suffix":""},{"dropping-particle":"","family":"Smith","given":"Rebecca G","non-dropping-particle":"","parse-names":false,"suffix":""},{"dropping-particle":"","family":"Lunnon","given":"Katie","non-dropping-particle":"","parse-names":false,"suffix":""},{"dropping-particle":"","family":"Kumari","given":"Meena","non-dropping-particle":"","parse-names":false,"suffix":""},{"dropping-particle":"","family":"Schalkwyk","given":"Leonard C","non-dropping-particle":"","parse-names":false,"suffix":""},{"dropping-particle":"","family":"Morgan","given":"Kevin","non-dropping-particle":"","parse-names":false,"suffix":""},{"dropping-particle":"","family":"Brookes","given":"Keeley","non-dropping-particle":"","parse-names":false,"suffix":""},{"dropping-particle":"","family":"Hannon","given":"Eilis","non-dropping-particle":"","parse-names":false,"suffix":""},{"dropping-particle":"","family":"Mill","given":"Jonathan","non-dropping-particle":"","parse-names":false,"suffix":""}],"container-title":"Brain","id":"ITEM-1","issue":"12","issued":{"date-parts":[["2020","12"]]},"page":"3763-3775","publisher":"Oxford University Press","title":"Recalibrating the epigenetic clock: implications for assessing biological age in the human cortex","type":"article-journal","volume":"143"},"uris":["http://www.mendeley.com/documents/?uuid=5d160d66-15fa-3d49-9edf-8c8be810eec0","http://www.mendeley.com/documents/?uuid=469b72e8-4cc6-44f3-9580-8030beb4bcdc"]}],"mendeley":{"formattedCitation":"(16)","plainTextFormattedCitation":"(16)","previouslyFormattedCitation":"(16)"},"properties":{"noteIndex":0},"schema":"https://github.com/citation-style-language/schema/raw/master/csl-citation.json"}</w:instrText>
      </w:r>
      <w:r w:rsidRPr="004360D6">
        <w:rPr>
          <w:rFonts w:ascii="Times New Roman" w:hAnsi="Times New Roman" w:cs="Times New Roman"/>
          <w:color w:val="000000" w:themeColor="text1"/>
          <w:sz w:val="24"/>
          <w:szCs w:val="24"/>
          <w:lang w:val="en-GB"/>
        </w:rPr>
        <w:fldChar w:fldCharType="separate"/>
      </w:r>
      <w:r w:rsidR="009B36F3" w:rsidRPr="004360D6">
        <w:rPr>
          <w:rFonts w:ascii="Times New Roman" w:hAnsi="Times New Roman" w:cs="Times New Roman"/>
          <w:noProof/>
          <w:color w:val="000000" w:themeColor="text1"/>
          <w:sz w:val="24"/>
          <w:szCs w:val="24"/>
          <w:lang w:val="en-GB"/>
        </w:rPr>
        <w:t>(16)</w:t>
      </w:r>
      <w:r w:rsidRPr="004360D6">
        <w:rPr>
          <w:rFonts w:ascii="Times New Roman" w:hAnsi="Times New Roman" w:cs="Times New Roman"/>
          <w:color w:val="000000" w:themeColor="text1"/>
          <w:sz w:val="24"/>
          <w:szCs w:val="24"/>
          <w:lang w:val="en-GB"/>
        </w:rPr>
        <w:fldChar w:fldCharType="end"/>
      </w:r>
      <w:r w:rsidRPr="004360D6">
        <w:rPr>
          <w:rFonts w:ascii="Times New Roman" w:hAnsi="Times New Roman" w:cs="Times New Roman"/>
          <w:color w:val="000000" w:themeColor="text1"/>
          <w:sz w:val="24"/>
          <w:szCs w:val="24"/>
          <w:lang w:val="en-GB"/>
        </w:rPr>
        <w:t xml:space="preserve">. </w:t>
      </w:r>
      <w:r w:rsidRPr="004360D6">
        <w:rPr>
          <w:rFonts w:ascii="Times New Roman" w:hAnsi="Times New Roman" w:cs="Times New Roman"/>
          <w:sz w:val="24"/>
          <w:szCs w:val="24"/>
          <w:lang w:val="en-GB"/>
        </w:rPr>
        <w:t xml:space="preserve">Since most other popular epigenetic clocks (Hannum </w:t>
      </w:r>
      <w:r w:rsidRPr="004360D6">
        <w:rPr>
          <w:rFonts w:ascii="Times New Roman" w:hAnsi="Times New Roman" w:cs="Times New Roman"/>
          <w:sz w:val="24"/>
          <w:szCs w:val="24"/>
          <w:lang w:val="en-GB"/>
        </w:rPr>
        <w:fldChar w:fldCharType="begin" w:fldLock="1"/>
      </w:r>
      <w:r w:rsidR="00D819CE" w:rsidRPr="004360D6">
        <w:rPr>
          <w:rFonts w:ascii="Times New Roman" w:hAnsi="Times New Roman" w:cs="Times New Roman"/>
          <w:sz w:val="24"/>
          <w:szCs w:val="24"/>
          <w:lang w:val="en-GB"/>
        </w:rPr>
        <w:instrText>ADDIN CSL_CITATION {"citationItems":[{"id":"ITEM-1","itemData":{"DOI":"10.1016/j.molcel.2012.10.016.Genome-wide","ISSN":"6176321972","abstract":"The ability to measure human aging from molecular profiles has practical implications in many fields, including disease prevention and treatment, forensics, and extension of life. Although chronological age has been linked to changes in DNA methylation, the methylome has not yet been used to measure and compare human aging rates. Here, we build a quantitative model of aging using measurements at more than 450,000 CpG markers from the whole blood of 656 human individuals, aged 19 to 101. This model measures the rate at which an individual’s methylome ages, which we show is impacted by gender and genetic variants. Furthermore, we show that differences in aging rates help explain epigenetic drift and are reflected in the transcriptome. Our model highlights specific components of the aging process and provides a quantitative read-out for studying the role of methylation in age-related disease.","author":[{"dropping-particle":"","family":"Hannum","given":"Gregory","non-dropping-particle":"","parse-names":false,"suffix":""},{"dropping-particle":"","family":"Guinney","given":"Justine","non-dropping-particle":"","parse-names":false,"suffix":""},{"dropping-particle":"","family":"Zhao","given":"Ling","non-dropping-particle":"","parse-names":false,"suffix":""},{"dropping-particle":"","family":"Zhang","given":"Li","non-dropping-particle":"","parse-names":false,"suffix":""},{"dropping-particle":"","family":"Hughes","given":"Guy","non-dropping-particle":"","parse-names":false,"suffix":""},{"dropping-particle":"","family":"Sadda","given":"SriniVas","non-dropping-particle":"","parse-names":false,"suffix":""},{"dropping-particle":"","family":"Klotzle","given":"Brandy","non-dropping-particle":"","parse-names":false,"suffix":""},{"dropping-particle":"","family":"Bibikova","given":"Marina","non-dropping-particle":"","parse-names":false,"suffix":""},{"dropping-particle":"","family":"Fan","given":"Jian-Bing","non-dropping-particle":"","parse-names":false,"suffix":""},{"dropping-particle":"","family":"Gao","given":"Yuan","non-dropping-particle":"","parse-names":false,"suffix":""},{"dropping-particle":"","family":"Deconde","given":"Rob","non-dropping-particle":"","parse-names":false,"suffix":""},{"dropping-particle":"","family":"Chen","given":"Menzies","non-dropping-particle":"","parse-names":false,"suffix":""},{"dropping-particle":"","family":"Rajapakse","given":"Indika","non-dropping-particle":"","parse-names":false,"suffix":""},{"dropping-particle":"","family":"Friend","given":"Stephen","non-dropping-particle":"","parse-names":false,"suffix":""},{"dropping-particle":"","family":"Ideker","given":"Trey","non-dropping-particle":"","parse-names":false,"suffix":""},{"dropping-particle":"","family":"Zhang","given":"Kang","non-dropping-particle":"","parse-names":false,"suffix":""}],"container-title":"Mol Cell.","id":"ITEM-1","issue":"2","issued":{"date-parts":[["2013"]]},"page":"359-367","title":"Genome-wide Methylation Profiles Reveal Quantitative Views of Human Aging Rates","type":"article-journal","volume":"49"},"uris":["http://www.mendeley.com/documents/?uuid=8d9c180a-0339-42b0-9395-49c12755776c","http://www.mendeley.com/documents/?uuid=4c92fa37-17c4-42da-93d1-a3a24d3c6713"]}],"mendeley":{"formattedCitation":"(17)","plainTextFormattedCitation":"(17)","previouslyFormattedCitation":"(17)"},"properties":{"noteIndex":0},"schema":"https://github.com/citation-style-language/schema/raw/master/csl-citation.json"}</w:instrText>
      </w:r>
      <w:r w:rsidRPr="004360D6">
        <w:rPr>
          <w:rFonts w:ascii="Times New Roman" w:hAnsi="Times New Roman" w:cs="Times New Roman"/>
          <w:sz w:val="24"/>
          <w:szCs w:val="24"/>
          <w:lang w:val="en-GB"/>
        </w:rPr>
        <w:fldChar w:fldCharType="separate"/>
      </w:r>
      <w:r w:rsidR="009B36F3" w:rsidRPr="004360D6">
        <w:rPr>
          <w:rFonts w:ascii="Times New Roman" w:hAnsi="Times New Roman" w:cs="Times New Roman"/>
          <w:noProof/>
          <w:sz w:val="24"/>
          <w:szCs w:val="24"/>
          <w:lang w:val="en-GB"/>
        </w:rPr>
        <w:t>(17)</w:t>
      </w:r>
      <w:r w:rsidRPr="004360D6">
        <w:rPr>
          <w:rFonts w:ascii="Times New Roman" w:hAnsi="Times New Roman" w:cs="Times New Roman"/>
          <w:sz w:val="24"/>
          <w:szCs w:val="24"/>
          <w:lang w:val="en-GB"/>
        </w:rPr>
        <w:fldChar w:fldCharType="end"/>
      </w:r>
      <w:r w:rsidRPr="004360D6">
        <w:rPr>
          <w:rFonts w:ascii="Times New Roman" w:hAnsi="Times New Roman" w:cs="Times New Roman"/>
          <w:sz w:val="24"/>
          <w:szCs w:val="24"/>
          <w:lang w:val="en-GB"/>
        </w:rPr>
        <w:t xml:space="preserve">, </w:t>
      </w:r>
      <w:proofErr w:type="spellStart"/>
      <w:r w:rsidRPr="004360D6">
        <w:rPr>
          <w:rFonts w:ascii="Times New Roman" w:hAnsi="Times New Roman" w:cs="Times New Roman"/>
          <w:sz w:val="24"/>
          <w:szCs w:val="24"/>
          <w:lang w:val="en-GB"/>
        </w:rPr>
        <w:t>PhenoAge</w:t>
      </w:r>
      <w:proofErr w:type="spellEnd"/>
      <w:r w:rsidRPr="004360D6">
        <w:rPr>
          <w:rFonts w:ascii="Times New Roman" w:hAnsi="Times New Roman" w:cs="Times New Roman"/>
          <w:sz w:val="24"/>
          <w:szCs w:val="24"/>
          <w:lang w:val="en-GB"/>
        </w:rPr>
        <w:t xml:space="preserve"> </w:t>
      </w:r>
      <w:r w:rsidRPr="004360D6">
        <w:rPr>
          <w:rFonts w:ascii="Times New Roman" w:hAnsi="Times New Roman" w:cs="Times New Roman"/>
          <w:sz w:val="24"/>
          <w:szCs w:val="24"/>
          <w:lang w:val="en-GB"/>
        </w:rPr>
        <w:fldChar w:fldCharType="begin" w:fldLock="1"/>
      </w:r>
      <w:r w:rsidR="00D819CE" w:rsidRPr="004360D6">
        <w:rPr>
          <w:rFonts w:ascii="Times New Roman" w:hAnsi="Times New Roman" w:cs="Times New Roman"/>
          <w:sz w:val="24"/>
          <w:szCs w:val="24"/>
          <w:lang w:val="en-GB"/>
        </w:rPr>
        <w:instrText>ADDIN CSL_CITATION {"citationItems":[{"id":"ITEM-1","itemData":{"DOI":"10.1101/276162","abstract":"Identifying reliable biomarkers of aging is a major goal in geroscience. While the first generation of epigenetic biomarkers of aging were developed using chronological age as a surrogate for biological age, we hypothesized that incorporation of composite clinical measures of phenotypic age that capture differences in lifespan and healthspan may identify novel CpGs and facilitate the development of a more powerful epigenetic biomarker of aging. Using a innovative two-step process, we develop a new epigenetic biomarker of aging, DNAm PhenoAge, that strongly outperforms previous measures in regards to predictions for a variety of aging outcomes, including all-cause mortality, cancers, healthspan, physical functioning, and Alzheimer’s disease. While this biomarker was developed using data from whole blood, it correlates strongly with age in every tissue and cell tested. Based on an in-depth transcriptional analysis in sorted cells, we find that increased epigenetic, relative to chronological age, is associated increased activation of pro-inflammatory and interferon pathways, and decreased activation of transcriptional/translational machinery, DNA damage response, and mitochondrial signatures. Overall, this single epigenetic biomarker of aging is able to capture risks for an array of diverse outcomes across multiple tissues and cells, and provide insight into important pathways in aging.","author":[{"dropping-particle":"","family":"Levine","given":"Morgan E.","non-dropping-particle":"","parse-names":false,"suffix":""},{"dropping-particle":"","family":"Lu","given":"Ake T.","non-dropping-particle":"","parse-names":false,"suffix":""},{"dropping-particle":"","family":"Quach","given":"Austin","non-dropping-particle":"","parse-names":false,"suffix":""},{"dropping-particle":"","family":"Chen","given":"Brian H.","non-dropping-particle":"","parse-names":false,"suffix":""},{"dropping-particle":"","family":"Assimes","given":"Themistocles L.","non-dropping-particle":"","parse-names":false,"suffix":""},{"dropping-particle":"","family":"Bandinelli","given":"Stefania","non-dropping-particle":"","parse-names":false,"suffix":""},{"dropping-particle":"","family":"Hou","given":"Lifang","non-dropping-particle":"","parse-names":false,"suffix":""},{"dropping-particle":"","family":"Baccarelli","given":"Andrea A.","non-dropping-particle":"","parse-names":false,"suffix":""},{"dropping-particle":"","family":"Stewart","given":"James D.","non-dropping-particle":"","parse-names":false,"suffix":""},{"dropping-particle":"","family":"Li","given":"Yun","non-dropping-particle":"","parse-names":false,"suffix":""},{"dropping-particle":"","family":"Whitsel","given":"Eric A.","non-dropping-particle":"","parse-names":false,"suffix":""},{"dropping-particle":"","family":"Wilson","given":"James G.","non-dropping-particle":"","parse-names":false,"suffix":""},{"dropping-particle":"","family":"Reiner","given":"Alex P.","non-dropping-particle":"","parse-names":false,"suffix":""},{"dropping-particle":"","family":"Aviv","given":"Abraham","non-dropping-particle":"","parse-names":false,"suffix":""},{"dropping-particle":"","family":"Lohman","given":"Kurt","non-dropping-particle":"","parse-names":false,"suffix":""},{"dropping-particle":"","family":"Liu","given":"Yongmei","non-dropping-particle":"","parse-names":false,"suffix":""},{"dropping-particle":"","family":"Ferrucci","given":"Luigi","non-dropping-particle":"","parse-names":false,"suffix":""},{"dropping-particle":"","family":"Horvath","given":"Steve","non-dropping-particle":"","parse-names":false,"suffix":""}],"container-title":"bioRxiv","id":"ITEM-1","issue":"4","issued":{"date-parts":[["2018"]]},"page":"573-591","title":"An epigenetic biomarker of aging for lifespan and healthspan","type":"article-journal","volume":"10"},"uris":["http://www.mendeley.com/documents/?uuid=21e3cd48-6465-4cf4-bf67-4a16bcd11e46","http://www.mendeley.com/documents/?uuid=ada9bcea-e671-47ec-b711-dc7acf2eb8a0"]}],"mendeley":{"formattedCitation":"(18)","plainTextFormattedCitation":"(18)","previouslyFormattedCitation":"(18)"},"properties":{"noteIndex":0},"schema":"https://github.com/citation-style-language/schema/raw/master/csl-citation.json"}</w:instrText>
      </w:r>
      <w:r w:rsidRPr="004360D6">
        <w:rPr>
          <w:rFonts w:ascii="Times New Roman" w:hAnsi="Times New Roman" w:cs="Times New Roman"/>
          <w:sz w:val="24"/>
          <w:szCs w:val="24"/>
          <w:lang w:val="en-GB"/>
        </w:rPr>
        <w:fldChar w:fldCharType="separate"/>
      </w:r>
      <w:r w:rsidR="009B36F3" w:rsidRPr="004360D6">
        <w:rPr>
          <w:rFonts w:ascii="Times New Roman" w:hAnsi="Times New Roman" w:cs="Times New Roman"/>
          <w:noProof/>
          <w:sz w:val="24"/>
          <w:szCs w:val="24"/>
          <w:lang w:val="en-GB"/>
        </w:rPr>
        <w:t>(18)</w:t>
      </w:r>
      <w:r w:rsidRPr="004360D6">
        <w:rPr>
          <w:rFonts w:ascii="Times New Roman" w:hAnsi="Times New Roman" w:cs="Times New Roman"/>
          <w:sz w:val="24"/>
          <w:szCs w:val="24"/>
          <w:lang w:val="en-GB"/>
        </w:rPr>
        <w:fldChar w:fldCharType="end"/>
      </w:r>
      <w:r w:rsidRPr="004360D6">
        <w:rPr>
          <w:rFonts w:ascii="Times New Roman" w:hAnsi="Times New Roman" w:cs="Times New Roman"/>
          <w:sz w:val="24"/>
          <w:szCs w:val="24"/>
          <w:lang w:val="en-GB"/>
        </w:rPr>
        <w:t xml:space="preserve">, </w:t>
      </w:r>
      <w:proofErr w:type="spellStart"/>
      <w:r w:rsidRPr="004360D6">
        <w:rPr>
          <w:rFonts w:ascii="Times New Roman" w:hAnsi="Times New Roman" w:cs="Times New Roman"/>
          <w:sz w:val="24"/>
          <w:szCs w:val="24"/>
          <w:lang w:val="en-GB"/>
        </w:rPr>
        <w:t>GrimAge</w:t>
      </w:r>
      <w:proofErr w:type="spellEnd"/>
      <w:r w:rsidRPr="004360D6">
        <w:rPr>
          <w:rFonts w:ascii="Times New Roman" w:hAnsi="Times New Roman" w:cs="Times New Roman"/>
          <w:sz w:val="24"/>
          <w:szCs w:val="24"/>
          <w:lang w:val="en-GB"/>
        </w:rPr>
        <w:t xml:space="preserve"> </w:t>
      </w:r>
      <w:r w:rsidRPr="004360D6">
        <w:rPr>
          <w:rFonts w:ascii="Times New Roman" w:hAnsi="Times New Roman" w:cs="Times New Roman"/>
          <w:sz w:val="24"/>
          <w:szCs w:val="24"/>
          <w:lang w:val="en-GB"/>
        </w:rPr>
        <w:fldChar w:fldCharType="begin" w:fldLock="1"/>
      </w:r>
      <w:r w:rsidR="00D819CE" w:rsidRPr="004360D6">
        <w:rPr>
          <w:rFonts w:ascii="Times New Roman" w:hAnsi="Times New Roman" w:cs="Times New Roman"/>
          <w:sz w:val="24"/>
          <w:szCs w:val="24"/>
          <w:lang w:val="en-GB"/>
        </w:rPr>
        <w:instrText>ADDIN CSL_CITATION {"citationItems":[{"id":"ITEM-1","itemData":{"DOI":"10.18632/aging.101684","ISSN":"19454589","PMID":"30669119","abstract":"It was unknown whether plasma protein levels can be estimated based on DNA methylation (DNAm) levels, and if so, how the resulting surrogates can be consolidated into a powerful predictor of lifespan. We present here, seven DNAm-based estimators of plasma proteins including those of plasminogen activator inhibitor 1 (PAI-1) and growth differentiation factor 15. The resulting predictor of lifespan, DNAm GrimAge (in units of years), is a composite biomarker based on the seven DNAm surrogates and a DNAm-based estimator of smoking packyears. Adjusting DNAm GrimAge for chronological age generated novel measure of epigenetic age acceleration, AgeAccelGrim. Using large scale validation data from thousands of individuals, we demonstrate that DNAm GrimAge stands out among existing epigenetic clocks in terms of its predictive ability for time-to-death (Cox regression P=2.0E- 75), time-to-coronary heart disease (P=6.2E-24), time-to-cancer (P= 1.3E-12), its strong relationship with computed tomography data for fatty liver/excess visceral fat, and age-at-menopause (P=1.6E-12). AgeAccelGrim is strongly associated with a host of age-related conditions including comorbidity count (P=3.45E- 17). Similarly, age-adjusted DNAm PAI-1 levels are associated with lifespan (P=5.4E-28), comorbidity count (P= 7.3E-56) and type 2 diabetes (P=2.0E-26). These DNAm-based biomarkers show the expected relationship with lifestyle factors including healthy diet and educational attainment. Overall, these epigenetic biomarkers are expected to find many applications including human anti-aging studies.","author":[{"dropping-particle":"","family":"Lu","given":"Ake T.","non-dropping-particle":"","parse-names":false,"suffix":""},{"dropping-particle":"","family":"Quach","given":"Austin","non-dropping-particle":"","parse-names":false,"suffix":""},{"dropping-particle":"","family":"Wilson","given":"James G.","non-dropping-particle":"","parse-names":false,"suffix":""},{"dropping-particle":"","family":"Reiner","given":"Alex P.","non-dropping-particle":"","parse-names":false,"suffix":""},{"dropping-particle":"","family":"Aviv","given":"Abraham","non-dropping-particle":"","parse-names":false,"suffix":""},{"dropping-particle":"","family":"Raj","given":"Kenneth","non-dropping-particle":"","parse-names":false,"suffix":""},{"dropping-particle":"","family":"Hou","given":"Lifang","non-dropping-particle":"","parse-names":false,"suffix":""},{"dropping-particle":"","family":"Baccarelli","given":"Andrea A.","non-dropping-particle":"","parse-names":false,"suffix":""},{"dropping-particle":"","family":"Li","given":"Yun","non-dropping-particle":"","parse-names":false,"suffix":""},{"dropping-particle":"","family":"Stewart","given":"James D.","non-dropping-particle":"","parse-names":false,"suffix":""},{"dropping-particle":"","family":"Whitsel","given":"Eric A.","non-dropping-particle":"","parse-names":false,"suffix":""},{"dropping-particle":"","family":"Assimes","given":"Themistocles L.","non-dropping-particle":"","parse-names":false,"suffix":""},{"dropping-particle":"","family":"Ferrucci","given":"Luigi","non-dropping-particle":"","parse-names":false,"suffix":""},{"dropping-particle":"","family":"Horvath","given":"Steve","non-dropping-particle":"","parse-names":false,"suffix":""}],"container-title":"Aging","id":"ITEM-1","issue":"2","issued":{"date-parts":[["2019"]]},"page":"303-327","title":"DNA methylation GrimAge strongly predicts lifespan and healthspan","type":"article-journal","volume":"11"},"uris":["http://www.mendeley.com/documents/?uuid=18c707d8-1422-4f55-8ff3-be9e524bdc61","http://www.mendeley.com/documents/?uuid=d27bde54-1a36-4fe8-a911-253d9e368694"]}],"mendeley":{"formattedCitation":"(19)","plainTextFormattedCitation":"(19)","previouslyFormattedCitation":"(19)"},"properties":{"noteIndex":0},"schema":"https://github.com/citation-style-language/schema/raw/master/csl-citation.json"}</w:instrText>
      </w:r>
      <w:r w:rsidRPr="004360D6">
        <w:rPr>
          <w:rFonts w:ascii="Times New Roman" w:hAnsi="Times New Roman" w:cs="Times New Roman"/>
          <w:sz w:val="24"/>
          <w:szCs w:val="24"/>
          <w:lang w:val="en-GB"/>
        </w:rPr>
        <w:fldChar w:fldCharType="separate"/>
      </w:r>
      <w:r w:rsidR="009B36F3" w:rsidRPr="004360D6">
        <w:rPr>
          <w:rFonts w:ascii="Times New Roman" w:hAnsi="Times New Roman" w:cs="Times New Roman"/>
          <w:noProof/>
          <w:sz w:val="24"/>
          <w:szCs w:val="24"/>
          <w:lang w:val="en-GB"/>
        </w:rPr>
        <w:t>(19)</w:t>
      </w:r>
      <w:r w:rsidRPr="004360D6">
        <w:rPr>
          <w:rFonts w:ascii="Times New Roman" w:hAnsi="Times New Roman" w:cs="Times New Roman"/>
          <w:sz w:val="24"/>
          <w:szCs w:val="24"/>
          <w:lang w:val="en-GB"/>
        </w:rPr>
        <w:fldChar w:fldCharType="end"/>
      </w:r>
      <w:r w:rsidRPr="004360D6">
        <w:rPr>
          <w:rFonts w:ascii="Times New Roman" w:hAnsi="Times New Roman" w:cs="Times New Roman"/>
          <w:sz w:val="24"/>
          <w:szCs w:val="24"/>
          <w:lang w:val="en-GB"/>
        </w:rPr>
        <w:t xml:space="preserve">) were calibrated for blood tissues, we did not include analyses of these age estimators in this study. </w:t>
      </w:r>
      <w:proofErr w:type="spellStart"/>
      <w:r w:rsidR="00C12122" w:rsidRPr="004360D6">
        <w:rPr>
          <w:rFonts w:ascii="Times New Roman" w:hAnsi="Times New Roman" w:cs="Times New Roman"/>
          <w:color w:val="000000" w:themeColor="text1"/>
          <w:sz w:val="24"/>
          <w:szCs w:val="24"/>
          <w:lang w:val="en-GB"/>
        </w:rPr>
        <w:t>DNAm</w:t>
      </w:r>
      <w:proofErr w:type="spellEnd"/>
      <w:r w:rsidR="00C12122" w:rsidRPr="004360D6">
        <w:rPr>
          <w:rFonts w:ascii="Times New Roman" w:hAnsi="Times New Roman" w:cs="Times New Roman"/>
          <w:color w:val="000000" w:themeColor="text1"/>
          <w:sz w:val="24"/>
          <w:szCs w:val="24"/>
          <w:lang w:val="en-GB"/>
        </w:rPr>
        <w:t xml:space="preserve"> age using</w:t>
      </w:r>
      <w:r w:rsidR="00584ECA" w:rsidRPr="004360D6">
        <w:rPr>
          <w:rFonts w:ascii="Times New Roman" w:hAnsi="Times New Roman" w:cs="Times New Roman"/>
          <w:color w:val="000000" w:themeColor="text1"/>
          <w:sz w:val="24"/>
          <w:szCs w:val="24"/>
          <w:lang w:val="en-GB"/>
        </w:rPr>
        <w:t xml:space="preserve"> the “Horvath multi-tissue predictor”</w:t>
      </w:r>
      <w:r w:rsidR="00C12122" w:rsidRPr="004360D6">
        <w:rPr>
          <w:rFonts w:ascii="Times New Roman" w:hAnsi="Times New Roman" w:cs="Times New Roman"/>
          <w:color w:val="000000" w:themeColor="text1"/>
          <w:sz w:val="24"/>
          <w:szCs w:val="24"/>
          <w:lang w:val="en-GB"/>
        </w:rPr>
        <w:t xml:space="preserve"> HMTP was calculated with the R script provided in Horvath </w:t>
      </w:r>
      <w:r w:rsidR="00C12122" w:rsidRPr="004360D6">
        <w:rPr>
          <w:rFonts w:ascii="Times New Roman" w:hAnsi="Times New Roman" w:cs="Times New Roman"/>
          <w:color w:val="000000" w:themeColor="text1"/>
          <w:sz w:val="24"/>
          <w:szCs w:val="24"/>
          <w:lang w:val="en-GB"/>
        </w:rPr>
        <w:fldChar w:fldCharType="begin" w:fldLock="1"/>
      </w:r>
      <w:r w:rsidR="009B36F3" w:rsidRPr="004360D6">
        <w:rPr>
          <w:rFonts w:ascii="Times New Roman" w:hAnsi="Times New Roman" w:cs="Times New Roman"/>
          <w:color w:val="000000" w:themeColor="text1"/>
          <w:sz w:val="24"/>
          <w:szCs w:val="24"/>
          <w:lang w:val="en-GB"/>
        </w:rPr>
        <w:instrText>ADDIN CSL_CITATION {"citationItems":[{"id":"ITEM-1","itemData":{"DOI":"10.1186/s13059-015-0649-6","ISSN":"1465-6906","abstract":"Background: It is not yet known whether DNA methylation levels can be used to accurately predict age across a broad spectrum of human tissues and cell types, nor whether the resulting age prediction is a biologically meaningful measure.","author":[{"dropping-particle":"","family":"Horvath","given":"Steve","non-dropping-particle":"","parse-names":false,"suffix":""}],"container-title":"Genome Biology","id":"ITEM-1","issue":"1","issued":{"date-parts":[["2015"]]},"page":"96","title":"DNA methylation age of human tissues and cell types","type":"article-journal","volume":"16"},"uris":["http://www.mendeley.com/documents/?uuid=7684d742-3cc9-40d4-b39c-8d3e15b5e786"]}],"mendeley":{"formattedCitation":"(5)","plainTextFormattedCitation":"(5)","previouslyFormattedCitation":"(5)"},"properties":{"noteIndex":0},"schema":"https://github.com/citation-style-language/schema/raw/master/csl-citation.json"}</w:instrText>
      </w:r>
      <w:r w:rsidR="00C12122" w:rsidRPr="004360D6">
        <w:rPr>
          <w:rFonts w:ascii="Times New Roman" w:hAnsi="Times New Roman" w:cs="Times New Roman"/>
          <w:color w:val="000000" w:themeColor="text1"/>
          <w:sz w:val="24"/>
          <w:szCs w:val="24"/>
          <w:lang w:val="en-GB"/>
        </w:rPr>
        <w:fldChar w:fldCharType="separate"/>
      </w:r>
      <w:r w:rsidR="00527220" w:rsidRPr="004360D6">
        <w:rPr>
          <w:rFonts w:ascii="Times New Roman" w:hAnsi="Times New Roman" w:cs="Times New Roman"/>
          <w:noProof/>
          <w:color w:val="000000" w:themeColor="text1"/>
          <w:sz w:val="24"/>
          <w:szCs w:val="24"/>
          <w:lang w:val="en-GB"/>
        </w:rPr>
        <w:t>(5)</w:t>
      </w:r>
      <w:r w:rsidR="00C12122" w:rsidRPr="004360D6">
        <w:rPr>
          <w:rFonts w:ascii="Times New Roman" w:hAnsi="Times New Roman" w:cs="Times New Roman"/>
          <w:color w:val="000000" w:themeColor="text1"/>
          <w:sz w:val="24"/>
          <w:szCs w:val="24"/>
          <w:lang w:val="en-GB"/>
        </w:rPr>
        <w:fldChar w:fldCharType="end"/>
      </w:r>
      <w:r w:rsidR="00C12122" w:rsidRPr="004360D6">
        <w:rPr>
          <w:rFonts w:ascii="Times New Roman" w:hAnsi="Times New Roman" w:cs="Times New Roman"/>
          <w:color w:val="000000" w:themeColor="text1"/>
          <w:sz w:val="24"/>
          <w:szCs w:val="24"/>
          <w:lang w:val="en-GB"/>
        </w:rPr>
        <w:t xml:space="preserve">, using the </w:t>
      </w:r>
      <w:proofErr w:type="spellStart"/>
      <w:r w:rsidR="00C12122" w:rsidRPr="004360D6">
        <w:rPr>
          <w:rFonts w:ascii="Times New Roman" w:hAnsi="Times New Roman" w:cs="Times New Roman"/>
          <w:color w:val="000000" w:themeColor="text1"/>
          <w:sz w:val="24"/>
          <w:szCs w:val="24"/>
          <w:lang w:val="en-GB"/>
        </w:rPr>
        <w:t>DNAm</w:t>
      </w:r>
      <w:proofErr w:type="spellEnd"/>
      <w:r w:rsidR="00C12122" w:rsidRPr="004360D6">
        <w:rPr>
          <w:rFonts w:ascii="Times New Roman" w:hAnsi="Times New Roman" w:cs="Times New Roman"/>
          <w:color w:val="000000" w:themeColor="text1"/>
          <w:sz w:val="24"/>
          <w:szCs w:val="24"/>
          <w:lang w:val="en-GB"/>
        </w:rPr>
        <w:t xml:space="preserve"> raw data (with prior removal of probes failing QC). Prior to the age estimation, this algorithm uses BMIQ as data normalization method. For</w:t>
      </w:r>
      <w:r w:rsidR="005A5DDF" w:rsidRPr="004360D6">
        <w:rPr>
          <w:rFonts w:ascii="Times New Roman" w:hAnsi="Times New Roman" w:cs="Times New Roman"/>
          <w:color w:val="000000" w:themeColor="text1"/>
          <w:sz w:val="24"/>
          <w:szCs w:val="24"/>
          <w:lang w:val="en-GB"/>
        </w:rPr>
        <w:t xml:space="preserve"> the “cortex clock” (</w:t>
      </w:r>
      <w:proofErr w:type="spellStart"/>
      <w:r w:rsidR="00C12122" w:rsidRPr="004360D6">
        <w:rPr>
          <w:rFonts w:ascii="Times New Roman" w:hAnsi="Times New Roman" w:cs="Times New Roman"/>
          <w:color w:val="000000" w:themeColor="text1"/>
          <w:sz w:val="24"/>
          <w:szCs w:val="24"/>
          <w:lang w:val="en-GB"/>
        </w:rPr>
        <w:t>CorCl</w:t>
      </w:r>
      <w:proofErr w:type="spellEnd"/>
      <w:r w:rsidR="005A5DDF" w:rsidRPr="004360D6">
        <w:rPr>
          <w:rFonts w:ascii="Times New Roman" w:hAnsi="Times New Roman" w:cs="Times New Roman"/>
          <w:color w:val="000000" w:themeColor="text1"/>
          <w:sz w:val="24"/>
          <w:szCs w:val="24"/>
          <w:lang w:val="en-GB"/>
        </w:rPr>
        <w:t>)</w:t>
      </w:r>
      <w:r w:rsidR="00C12122" w:rsidRPr="004360D6">
        <w:rPr>
          <w:rFonts w:ascii="Times New Roman" w:hAnsi="Times New Roman" w:cs="Times New Roman"/>
          <w:color w:val="000000" w:themeColor="text1"/>
          <w:sz w:val="24"/>
          <w:szCs w:val="24"/>
          <w:lang w:val="en-GB"/>
        </w:rPr>
        <w:t xml:space="preserve">, the normalized data from the processing pipeline described above were used directly in code provided by the authors of ref. </w:t>
      </w:r>
      <w:r w:rsidR="00C12122" w:rsidRPr="004360D6">
        <w:rPr>
          <w:rFonts w:ascii="Times New Roman" w:hAnsi="Times New Roman" w:cs="Times New Roman"/>
          <w:color w:val="000000" w:themeColor="text1"/>
          <w:sz w:val="24"/>
          <w:szCs w:val="24"/>
          <w:lang w:val="en-GB"/>
        </w:rPr>
        <w:fldChar w:fldCharType="begin" w:fldLock="1"/>
      </w:r>
      <w:r w:rsidR="00D819CE" w:rsidRPr="004360D6">
        <w:rPr>
          <w:rFonts w:ascii="Times New Roman" w:hAnsi="Times New Roman" w:cs="Times New Roman"/>
          <w:color w:val="000000" w:themeColor="text1"/>
          <w:sz w:val="24"/>
          <w:szCs w:val="24"/>
          <w:lang w:val="en-GB"/>
        </w:rPr>
        <w:instrText>ADDIN CSL_CITATION {"citationItems":[{"id":"ITEM-1","itemData":{"DOI":"10.1093/brain/awaa334","ISSN":"0006-8950","abstract":"&lt;p&gt;Human DNA methylation data have been used to develop biomarkers of ageing, referred to as ‘epigenetic clocks’, which have been widely used to identify differences between chronological age and biological age in health and disease including neurodegeneration, dementia and other brain phenotypes. Existing DNA methylation clocks have been shown to be highly accurate in blood but are less precise when used in older samples or in tissue types not included in training the model, including brain. We aimed to develop a novel epigenetic clock that performs optimally in human cortex tissue and has the potential to identify phenotypes associated with biological ageing in the brain. We generated an extensive dataset of human cortex DNA methylation data spanning the life course (n = 1397, ages = 1 to 108 years). This dataset was split into ‘training’ and ‘testing’ samples (training: n = 1047; testing: n = 350). DNA methylation age estimators were derived using a transformed version of chronological age on DNA methylation at specific sites using elastic net regression, a supervised machine learning method. The cortical clock was subsequently validated in a novel independent human cortex dataset (n = 1221, ages = 41 to 104 years) and tested for specificity in a large whole blood dataset (n = 1175, ages = 28 to 98 years). We identified a set of 347 DNA methylation sites that, in combination, optimally predict age in the human cortex. The sum of DNA methylation levels at these sites weighted by their regression coefficients provide the cortical DNA methylation clock age estimate. The novel clock dramatically outperformed previously reported clocks in additional cortical datasets. Our findings suggest that previous associations between predicted DNA methylation age and neurodegenerative phenotypes might represent false positives resulting from clocks not robustly calibrated to the tissue being tested and for phenotypes that become manifest in older ages. The age distribution and tissue type of samples included in training datasets need to be considered when building and applying epigenetic clock algorithms to human epidemiological or disease cohorts.&lt;/p&gt;","author":[{"dropping-particle":"","family":"Shireby","given":"Gemma L","non-dropping-particle":"","parse-names":false,"suffix":""},{"dropping-particle":"","family":"Davies","given":"Jonathan P","non-dropping-particle":"","parse-names":false,"suffix":""},{"dropping-particle":"","family":"Francis","given":"Paul T","non-dropping-particle":"","parse-names":false,"suffix":""},{"dropping-particle":"","family":"Burrage","given":"Joe","non-dropping-particle":"","parse-names":false,"suffix":""},{"dropping-particle":"","family":"Walker","given":"Emma M","non-dropping-particle":"","parse-names":false,"suffix":""},{"dropping-particle":"","family":"Neilson","given":"Grant W A","non-dropping-particle":"","parse-names":false,"suffix":""},{"dropping-particle":"","family":"Dahir","given":"Aisha","non-dropping-particle":"","parse-names":false,"suffix":""},{"dropping-particle":"","family":"Thomas","given":"Alan J","non-dropping-particle":"","parse-names":false,"suffix":""},{"dropping-particle":"","family":"Love","given":"Seth","non-dropping-particle":"","parse-names":false,"suffix":""},{"dropping-particle":"","family":"Smith","given":"Rebecca G","non-dropping-particle":"","parse-names":false,"suffix":""},{"dropping-particle":"","family":"Lunnon","given":"Katie","non-dropping-particle":"","parse-names":false,"suffix":""},{"dropping-particle":"","family":"Kumari","given":"Meena","non-dropping-particle":"","parse-names":false,"suffix":""},{"dropping-particle":"","family":"Schalkwyk","given":"Leonard C","non-dropping-particle":"","parse-names":false,"suffix":""},{"dropping-particle":"","family":"Morgan","given":"Kevin","non-dropping-particle":"","parse-names":false,"suffix":""},{"dropping-particle":"","family":"Brookes","given":"Keeley","non-dropping-particle":"","parse-names":false,"suffix":""},{"dropping-particle":"","family":"Hannon","given":"Eilis","non-dropping-particle":"","parse-names":false,"suffix":""},{"dropping-particle":"","family":"Mill","given":"Jonathan","non-dropping-particle":"","parse-names":false,"suffix":""}],"container-title":"Brain","id":"ITEM-1","issue":"12","issued":{"date-parts":[["2020","12"]]},"page":"3763-3775","publisher":"Oxford University Press","title":"Recalibrating the epigenetic clock: implications for assessing biological age in the human cortex","type":"article-journal","volume":"143"},"uris":["http://www.mendeley.com/documents/?uuid=469b72e8-4cc6-44f3-9580-8030beb4bcdc","http://www.mendeley.com/documents/?uuid=5d160d66-15fa-3d49-9edf-8c8be810eec0"]}],"mendeley":{"formattedCitation":"(16)","plainTextFormattedCitation":"(16)","previouslyFormattedCitation":"(16)"},"properties":{"noteIndex":0},"schema":"https://github.com/citation-style-language/schema/raw/master/csl-citation.json"}</w:instrText>
      </w:r>
      <w:r w:rsidR="00C12122" w:rsidRPr="004360D6">
        <w:rPr>
          <w:rFonts w:ascii="Times New Roman" w:hAnsi="Times New Roman" w:cs="Times New Roman"/>
          <w:color w:val="000000" w:themeColor="text1"/>
          <w:sz w:val="24"/>
          <w:szCs w:val="24"/>
          <w:lang w:val="en-GB"/>
        </w:rPr>
        <w:fldChar w:fldCharType="separate"/>
      </w:r>
      <w:r w:rsidR="009B36F3" w:rsidRPr="004360D6">
        <w:rPr>
          <w:rFonts w:ascii="Times New Roman" w:hAnsi="Times New Roman" w:cs="Times New Roman"/>
          <w:noProof/>
          <w:color w:val="000000" w:themeColor="text1"/>
          <w:sz w:val="24"/>
          <w:szCs w:val="24"/>
          <w:lang w:val="en-GB"/>
        </w:rPr>
        <w:t>(16)</w:t>
      </w:r>
      <w:r w:rsidR="00C12122" w:rsidRPr="004360D6">
        <w:rPr>
          <w:rFonts w:ascii="Times New Roman" w:hAnsi="Times New Roman" w:cs="Times New Roman"/>
          <w:color w:val="000000" w:themeColor="text1"/>
          <w:sz w:val="24"/>
          <w:szCs w:val="24"/>
          <w:lang w:val="en-GB"/>
        </w:rPr>
        <w:fldChar w:fldCharType="end"/>
      </w:r>
      <w:r w:rsidR="00637E6B" w:rsidRPr="004360D6">
        <w:rPr>
          <w:rFonts w:ascii="Times New Roman" w:hAnsi="Times New Roman" w:cs="Times New Roman"/>
          <w:color w:val="000000" w:themeColor="text1"/>
          <w:sz w:val="24"/>
          <w:szCs w:val="24"/>
          <w:lang w:val="en-GB"/>
        </w:rPr>
        <w:t xml:space="preserve"> (URL: https://github.com/gemmashireby/CorticalClock)</w:t>
      </w:r>
      <w:r w:rsidR="00C12122" w:rsidRPr="004360D6">
        <w:rPr>
          <w:rFonts w:ascii="Times New Roman" w:hAnsi="Times New Roman" w:cs="Times New Roman"/>
          <w:color w:val="000000" w:themeColor="text1"/>
          <w:sz w:val="24"/>
          <w:szCs w:val="24"/>
          <w:lang w:val="en-GB"/>
        </w:rPr>
        <w:t xml:space="preserve">. Age acceleration was defined as residual from a linear regression of epigenetic age on chronological age. </w:t>
      </w:r>
    </w:p>
    <w:p w14:paraId="78322D62" w14:textId="3F7D01AE" w:rsidR="005C1F37" w:rsidRPr="004360D6" w:rsidRDefault="00E15A0B" w:rsidP="00E15A0B">
      <w:pPr>
        <w:pStyle w:val="Heading2"/>
        <w:rPr>
          <w:lang w:val="en-GB"/>
        </w:rPr>
      </w:pPr>
      <w:r w:rsidRPr="004360D6">
        <w:rPr>
          <w:lang w:val="en-GB"/>
        </w:rPr>
        <w:t>DNA-mRNA correlation analyses</w:t>
      </w:r>
      <w:r w:rsidR="00BE1D7E" w:rsidRPr="004360D6">
        <w:rPr>
          <w:lang w:val="en-GB"/>
        </w:rPr>
        <w:t xml:space="preserve"> and differential gene expression analyses</w:t>
      </w:r>
    </w:p>
    <w:p w14:paraId="38040BBA" w14:textId="5837FBD8" w:rsidR="00E15A0B" w:rsidRPr="004360D6" w:rsidRDefault="00AB0527" w:rsidP="00E15A0B">
      <w:pPr>
        <w:spacing w:line="480" w:lineRule="auto"/>
        <w:jc w:val="both"/>
        <w:rPr>
          <w:rFonts w:ascii="Times New Roman" w:hAnsi="Times New Roman" w:cs="Times New Roman"/>
          <w:sz w:val="24"/>
          <w:szCs w:val="24"/>
          <w:lang w:val="en-GB" w:eastAsia="de-DE"/>
        </w:rPr>
      </w:pPr>
      <w:r w:rsidRPr="004360D6">
        <w:rPr>
          <w:rFonts w:ascii="Times New Roman" w:eastAsia="Calibri" w:hAnsi="Times New Roman" w:cs="Times New Roman"/>
          <w:color w:val="000000" w:themeColor="text1"/>
          <w:sz w:val="24"/>
          <w:szCs w:val="24"/>
          <w:lang w:val="en-GB"/>
        </w:rPr>
        <w:t>The normalized RNA-</w:t>
      </w:r>
      <w:proofErr w:type="spellStart"/>
      <w:r w:rsidRPr="004360D6">
        <w:rPr>
          <w:rFonts w:ascii="Times New Roman" w:eastAsia="Calibri" w:hAnsi="Times New Roman" w:cs="Times New Roman"/>
          <w:color w:val="000000" w:themeColor="text1"/>
          <w:sz w:val="24"/>
          <w:szCs w:val="24"/>
          <w:lang w:val="en-GB"/>
        </w:rPr>
        <w:t>seq</w:t>
      </w:r>
      <w:proofErr w:type="spellEnd"/>
      <w:r w:rsidRPr="004360D6">
        <w:rPr>
          <w:rFonts w:ascii="Times New Roman" w:eastAsia="Calibri" w:hAnsi="Times New Roman" w:cs="Times New Roman"/>
          <w:color w:val="000000" w:themeColor="text1"/>
          <w:sz w:val="24"/>
          <w:szCs w:val="24"/>
          <w:lang w:val="en-GB"/>
        </w:rPr>
        <w:t xml:space="preserve"> data for the selected CpG candidate genes were correlated to their corresponding </w:t>
      </w:r>
      <w:proofErr w:type="spellStart"/>
      <w:r w:rsidRPr="004360D6">
        <w:rPr>
          <w:rFonts w:ascii="Times New Roman" w:eastAsia="Calibri" w:hAnsi="Times New Roman" w:cs="Times New Roman"/>
          <w:color w:val="000000" w:themeColor="text1"/>
          <w:sz w:val="24"/>
          <w:szCs w:val="24"/>
          <w:lang w:val="en-GB"/>
        </w:rPr>
        <w:t>DNAm</w:t>
      </w:r>
      <w:proofErr w:type="spellEnd"/>
      <w:r w:rsidRPr="004360D6">
        <w:rPr>
          <w:rFonts w:ascii="Times New Roman" w:eastAsia="Calibri" w:hAnsi="Times New Roman" w:cs="Times New Roman"/>
          <w:color w:val="000000" w:themeColor="text1"/>
          <w:sz w:val="24"/>
          <w:szCs w:val="24"/>
          <w:lang w:val="en-GB"/>
        </w:rPr>
        <w:t xml:space="preserve"> signal, using the Spearman method in R’s </w:t>
      </w:r>
      <w:proofErr w:type="spellStart"/>
      <w:r w:rsidRPr="004360D6">
        <w:rPr>
          <w:rFonts w:ascii="Times New Roman" w:eastAsia="Calibri" w:hAnsi="Times New Roman" w:cs="Times New Roman" w:hint="cs"/>
          <w:i/>
          <w:iCs/>
          <w:color w:val="000000" w:themeColor="text1"/>
          <w:sz w:val="24"/>
          <w:szCs w:val="24"/>
          <w:lang w:val="en-GB"/>
        </w:rPr>
        <w:t>cor.test</w:t>
      </w:r>
      <w:proofErr w:type="spellEnd"/>
      <w:r w:rsidRPr="004360D6">
        <w:rPr>
          <w:rFonts w:ascii="Times New Roman" w:eastAsia="Calibri" w:hAnsi="Times New Roman" w:cs="Times New Roman"/>
          <w:color w:val="000000" w:themeColor="text1"/>
          <w:sz w:val="24"/>
          <w:szCs w:val="24"/>
          <w:lang w:val="en-GB"/>
        </w:rPr>
        <w:t xml:space="preserve"> function. The resulting </w:t>
      </w:r>
      <w:r w:rsidRPr="004360D6">
        <w:rPr>
          <w:rFonts w:ascii="Times New Roman" w:eastAsia="Calibri" w:hAnsi="Times New Roman" w:cs="Times New Roman"/>
          <w:i/>
          <w:iCs/>
          <w:color w:val="000000" w:themeColor="text1"/>
          <w:sz w:val="24"/>
          <w:szCs w:val="24"/>
          <w:lang w:val="en-GB"/>
        </w:rPr>
        <w:t>p</w:t>
      </w:r>
      <w:r w:rsidRPr="004360D6">
        <w:rPr>
          <w:rFonts w:ascii="Times New Roman" w:eastAsia="Calibri" w:hAnsi="Times New Roman" w:cs="Times New Roman"/>
          <w:color w:val="000000" w:themeColor="text1"/>
          <w:sz w:val="24"/>
          <w:szCs w:val="24"/>
          <w:lang w:val="en-GB"/>
        </w:rPr>
        <w:t xml:space="preserve">-values were corrected for multiple testing using the </w:t>
      </w:r>
      <w:proofErr w:type="spellStart"/>
      <w:r w:rsidRPr="004360D6">
        <w:rPr>
          <w:rFonts w:ascii="Times New Roman" w:eastAsia="Calibri" w:hAnsi="Times New Roman" w:cs="Times New Roman"/>
          <w:color w:val="000000" w:themeColor="text1"/>
          <w:sz w:val="24"/>
          <w:szCs w:val="24"/>
          <w:lang w:val="en-GB"/>
        </w:rPr>
        <w:t>Benjamini</w:t>
      </w:r>
      <w:proofErr w:type="spellEnd"/>
      <w:r w:rsidRPr="004360D6">
        <w:rPr>
          <w:rFonts w:ascii="Times New Roman" w:eastAsia="Calibri" w:hAnsi="Times New Roman" w:cs="Times New Roman"/>
          <w:color w:val="000000" w:themeColor="text1"/>
          <w:sz w:val="24"/>
          <w:szCs w:val="24"/>
          <w:lang w:val="en-GB"/>
        </w:rPr>
        <w:t xml:space="preserve">-Hochberg </w:t>
      </w:r>
      <w:r w:rsidRPr="004360D6">
        <w:rPr>
          <w:rFonts w:ascii="Times New Roman" w:eastAsia="Calibri" w:hAnsi="Times New Roman" w:cs="Times New Roman"/>
          <w:color w:val="000000" w:themeColor="text1"/>
          <w:sz w:val="24"/>
          <w:szCs w:val="24"/>
          <w:lang w:val="en-GB"/>
        </w:rPr>
        <w:lastRenderedPageBreak/>
        <w:t xml:space="preserve">procedure (as implemented in R’s </w:t>
      </w:r>
      <w:proofErr w:type="spellStart"/>
      <w:r w:rsidRPr="004360D6">
        <w:rPr>
          <w:rFonts w:ascii="Times New Roman" w:eastAsia="Calibri" w:hAnsi="Times New Roman" w:cs="Times New Roman" w:hint="cs"/>
          <w:i/>
          <w:iCs/>
          <w:color w:val="000000" w:themeColor="text1"/>
          <w:sz w:val="24"/>
          <w:szCs w:val="24"/>
          <w:lang w:val="en-GB"/>
        </w:rPr>
        <w:t>p.adjust</w:t>
      </w:r>
      <w:proofErr w:type="spellEnd"/>
      <w:r w:rsidRPr="004360D6">
        <w:rPr>
          <w:rFonts w:ascii="Times New Roman" w:eastAsia="Calibri" w:hAnsi="Times New Roman" w:cs="Times New Roman"/>
          <w:color w:val="000000" w:themeColor="text1"/>
          <w:sz w:val="24"/>
          <w:szCs w:val="24"/>
          <w:lang w:val="en-GB"/>
        </w:rPr>
        <w:t xml:space="preserve"> function). </w:t>
      </w:r>
      <w:r w:rsidR="00185503" w:rsidRPr="004360D6">
        <w:rPr>
          <w:rFonts w:ascii="Times New Roman" w:eastAsia="Calibri" w:hAnsi="Times New Roman" w:cs="Times New Roman"/>
          <w:color w:val="000000" w:themeColor="text1"/>
          <w:sz w:val="24"/>
          <w:szCs w:val="24"/>
          <w:lang w:val="en-GB"/>
        </w:rPr>
        <w:t>Prior to the correlation analyses, o</w:t>
      </w:r>
      <w:r w:rsidR="00E15A0B" w:rsidRPr="004360D6">
        <w:rPr>
          <w:rFonts w:ascii="Times New Roman" w:eastAsia="Calibri" w:hAnsi="Times New Roman" w:cs="Times New Roman"/>
          <w:color w:val="000000" w:themeColor="text1"/>
          <w:sz w:val="24"/>
          <w:szCs w:val="24"/>
          <w:lang w:val="en-GB"/>
        </w:rPr>
        <w:t xml:space="preserve">utliers (&gt;1.5 * inter-quartile-range below/above 1st/3rd quartile) were removed. Additionally, linear models were fit (using R’s </w:t>
      </w:r>
      <w:proofErr w:type="spellStart"/>
      <w:r w:rsidR="00E15A0B" w:rsidRPr="004360D6">
        <w:rPr>
          <w:rFonts w:ascii="Times New Roman" w:eastAsia="Calibri" w:hAnsi="Times New Roman" w:cs="Times New Roman" w:hint="cs"/>
          <w:i/>
          <w:iCs/>
          <w:color w:val="000000" w:themeColor="text1"/>
          <w:sz w:val="24"/>
          <w:szCs w:val="24"/>
          <w:lang w:val="en-GB"/>
        </w:rPr>
        <w:t>glm</w:t>
      </w:r>
      <w:proofErr w:type="spellEnd"/>
      <w:r w:rsidR="00E15A0B" w:rsidRPr="004360D6">
        <w:rPr>
          <w:rFonts w:ascii="Times New Roman" w:eastAsia="Calibri" w:hAnsi="Times New Roman" w:cs="Times New Roman"/>
          <w:color w:val="000000" w:themeColor="text1"/>
          <w:sz w:val="24"/>
          <w:szCs w:val="24"/>
          <w:lang w:val="en-GB"/>
        </w:rPr>
        <w:t xml:space="preserve"> function with </w:t>
      </w:r>
      <w:r w:rsidR="00E15A0B" w:rsidRPr="004360D6">
        <w:rPr>
          <w:rFonts w:ascii="Times New Roman" w:eastAsia="Calibri" w:hAnsi="Times New Roman" w:cs="Times New Roman" w:hint="cs"/>
          <w:color w:val="000000" w:themeColor="text1"/>
          <w:sz w:val="24"/>
          <w:szCs w:val="24"/>
          <w:lang w:val="en-GB"/>
        </w:rPr>
        <w:t>family</w:t>
      </w:r>
      <w:r w:rsidR="00E15A0B" w:rsidRPr="004360D6">
        <w:rPr>
          <w:rFonts w:ascii="Times New Roman" w:eastAsia="Calibri" w:hAnsi="Times New Roman" w:cs="Times New Roman"/>
          <w:color w:val="000000" w:themeColor="text1"/>
          <w:sz w:val="24"/>
          <w:szCs w:val="24"/>
          <w:lang w:val="en-GB"/>
        </w:rPr>
        <w:t xml:space="preserve"> </w:t>
      </w:r>
      <w:r w:rsidR="00E15A0B" w:rsidRPr="004360D6">
        <w:rPr>
          <w:rFonts w:ascii="Times New Roman" w:eastAsia="Calibri" w:hAnsi="Times New Roman" w:cs="Times New Roman" w:hint="cs"/>
          <w:color w:val="000000" w:themeColor="text1"/>
          <w:sz w:val="24"/>
          <w:szCs w:val="24"/>
          <w:lang w:val="en-GB"/>
        </w:rPr>
        <w:t>=</w:t>
      </w:r>
      <w:r w:rsidR="00E15A0B" w:rsidRPr="004360D6">
        <w:rPr>
          <w:rFonts w:ascii="Times New Roman" w:eastAsia="Calibri" w:hAnsi="Times New Roman" w:cs="Times New Roman"/>
          <w:color w:val="000000" w:themeColor="text1"/>
          <w:sz w:val="24"/>
          <w:szCs w:val="24"/>
          <w:lang w:val="en-GB"/>
        </w:rPr>
        <w:t xml:space="preserve"> </w:t>
      </w:r>
      <w:r w:rsidR="00E15A0B" w:rsidRPr="004360D6">
        <w:rPr>
          <w:rFonts w:ascii="Times New Roman" w:eastAsia="Calibri" w:hAnsi="Times New Roman" w:cs="Times New Roman" w:hint="cs"/>
          <w:color w:val="000000" w:themeColor="text1"/>
          <w:sz w:val="24"/>
          <w:szCs w:val="24"/>
          <w:lang w:val="en-GB"/>
        </w:rPr>
        <w:t>“gaussian”</w:t>
      </w:r>
      <w:r w:rsidR="00E15A0B" w:rsidRPr="004360D6">
        <w:rPr>
          <w:rFonts w:ascii="Times New Roman" w:eastAsia="Calibri" w:hAnsi="Times New Roman" w:cs="Times New Roman"/>
          <w:color w:val="000000" w:themeColor="text1"/>
          <w:sz w:val="24"/>
          <w:szCs w:val="24"/>
          <w:lang w:val="en-GB"/>
        </w:rPr>
        <w:t xml:space="preserve">) to predict the (log-transformed) gene expression estimates from the corresponding </w:t>
      </w:r>
      <w:proofErr w:type="spellStart"/>
      <w:r w:rsidR="00E15A0B" w:rsidRPr="004360D6">
        <w:rPr>
          <w:rFonts w:ascii="Times New Roman" w:eastAsia="Calibri" w:hAnsi="Times New Roman" w:cs="Times New Roman"/>
          <w:color w:val="000000" w:themeColor="text1"/>
          <w:sz w:val="24"/>
          <w:szCs w:val="24"/>
          <w:lang w:val="en-GB"/>
        </w:rPr>
        <w:t>DNAm</w:t>
      </w:r>
      <w:proofErr w:type="spellEnd"/>
      <w:r w:rsidR="00E15A0B" w:rsidRPr="004360D6">
        <w:rPr>
          <w:rFonts w:ascii="Times New Roman" w:eastAsia="Calibri" w:hAnsi="Times New Roman" w:cs="Times New Roman"/>
          <w:color w:val="000000" w:themeColor="text1"/>
          <w:sz w:val="24"/>
          <w:szCs w:val="24"/>
          <w:lang w:val="en-GB"/>
        </w:rPr>
        <w:t xml:space="preserve"> values. The following potential confounders were included as co-variables in these models: age at death, sex, RNA integrity (RIN) and post-mortem interval (PMI). All continuous variables were scaled and centred before fitting the model. Finally, additional models were fit adding disease status (AD case vs. control) or </w:t>
      </w:r>
      <w:proofErr w:type="spellStart"/>
      <w:r w:rsidR="00E15A0B" w:rsidRPr="004360D6">
        <w:rPr>
          <w:rFonts w:ascii="Times New Roman" w:eastAsia="Calibri" w:hAnsi="Times New Roman" w:cs="Times New Roman"/>
          <w:color w:val="000000" w:themeColor="text1"/>
          <w:sz w:val="24"/>
          <w:szCs w:val="24"/>
          <w:lang w:val="en-GB"/>
        </w:rPr>
        <w:t>Braak</w:t>
      </w:r>
      <w:proofErr w:type="spellEnd"/>
      <w:r w:rsidR="00E15A0B" w:rsidRPr="004360D6">
        <w:rPr>
          <w:rFonts w:ascii="Times New Roman" w:eastAsia="Calibri" w:hAnsi="Times New Roman" w:cs="Times New Roman"/>
          <w:color w:val="000000" w:themeColor="text1"/>
          <w:sz w:val="24"/>
          <w:szCs w:val="24"/>
          <w:lang w:val="en-GB"/>
        </w:rPr>
        <w:t xml:space="preserve"> stage (as a continuous variable), respectively. The corresponding F-statistic was used to assess the significance of the (additional) amount of gene expression variance by the predictors of interest. As for the correlation analysis above, multiple-testing was addressed by false-discovery-rate (FDR) estimation as per </w:t>
      </w:r>
      <w:proofErr w:type="spellStart"/>
      <w:r w:rsidR="00E15A0B" w:rsidRPr="004360D6">
        <w:rPr>
          <w:rFonts w:ascii="Times New Roman" w:eastAsia="Calibri" w:hAnsi="Times New Roman" w:cs="Times New Roman"/>
          <w:color w:val="000000" w:themeColor="text1"/>
          <w:sz w:val="24"/>
          <w:szCs w:val="24"/>
          <w:lang w:val="en-GB"/>
        </w:rPr>
        <w:t>Benjamini</w:t>
      </w:r>
      <w:proofErr w:type="spellEnd"/>
      <w:r w:rsidR="00E15A0B" w:rsidRPr="004360D6">
        <w:rPr>
          <w:rFonts w:ascii="Times New Roman" w:eastAsia="Calibri" w:hAnsi="Times New Roman" w:cs="Times New Roman"/>
          <w:color w:val="000000" w:themeColor="text1"/>
          <w:sz w:val="24"/>
          <w:szCs w:val="24"/>
          <w:lang w:val="en-GB"/>
        </w:rPr>
        <w:t>-Hochberg.</w:t>
      </w:r>
      <w:r w:rsidR="00E15A0B" w:rsidRPr="004360D6">
        <w:rPr>
          <w:rFonts w:ascii="Times New Roman" w:hAnsi="Times New Roman" w:cs="Times New Roman"/>
          <w:sz w:val="24"/>
          <w:szCs w:val="24"/>
          <w:lang w:val="en-GB" w:eastAsia="de-DE"/>
        </w:rPr>
        <w:t xml:space="preserve"> </w:t>
      </w:r>
    </w:p>
    <w:p w14:paraId="4A946CEA" w14:textId="04241B26" w:rsidR="00E15A0B" w:rsidRPr="004360D6" w:rsidRDefault="00E15A0B" w:rsidP="00E15A0B">
      <w:pPr>
        <w:rPr>
          <w:lang w:val="en-GB"/>
        </w:rPr>
        <w:sectPr w:rsidR="00E15A0B" w:rsidRPr="004360D6">
          <w:footerReference w:type="default" r:id="rId8"/>
          <w:pgSz w:w="11906" w:h="16838"/>
          <w:pgMar w:top="1417" w:right="1417" w:bottom="1134" w:left="1417" w:header="708" w:footer="708" w:gutter="0"/>
          <w:cols w:space="708"/>
          <w:docGrid w:linePitch="360"/>
        </w:sectPr>
      </w:pPr>
    </w:p>
    <w:p w14:paraId="1C436506" w14:textId="1B6CD542" w:rsidR="00407A5E" w:rsidRPr="004360D6" w:rsidRDefault="00407A5E" w:rsidP="00407A5E">
      <w:pPr>
        <w:pStyle w:val="Heading1"/>
        <w:jc w:val="both"/>
        <w:rPr>
          <w:rFonts w:cs="Times New Roman"/>
          <w:b w:val="0"/>
          <w:bCs/>
          <w:szCs w:val="24"/>
          <w:lang w:val="en-GB"/>
        </w:rPr>
      </w:pPr>
      <w:r w:rsidRPr="004360D6">
        <w:rPr>
          <w:rFonts w:cs="Times New Roman"/>
          <w:bCs/>
          <w:szCs w:val="24"/>
          <w:lang w:val="en-GB"/>
        </w:rPr>
        <w:lastRenderedPageBreak/>
        <w:t>Supplementary Figures</w:t>
      </w:r>
    </w:p>
    <w:p w14:paraId="6087634E" w14:textId="77777777" w:rsidR="00407A5E" w:rsidRPr="004360D6" w:rsidRDefault="00407A5E" w:rsidP="00407A5E">
      <w:pPr>
        <w:keepNext/>
        <w:spacing w:line="240" w:lineRule="auto"/>
      </w:pPr>
      <w:r w:rsidRPr="004360D6">
        <w:rPr>
          <w:rFonts w:ascii="Times New Roman" w:hAnsi="Times New Roman" w:cs="Times New Roman"/>
          <w:noProof/>
          <w:color w:val="000000" w:themeColor="text1"/>
          <w:sz w:val="24"/>
          <w:szCs w:val="24"/>
          <w:lang w:val="en-US"/>
        </w:rPr>
        <w:drawing>
          <wp:inline distT="0" distB="0" distL="0" distR="0" wp14:anchorId="35AEF6B1" wp14:editId="143AADA9">
            <wp:extent cx="4086225" cy="4086225"/>
            <wp:effectExtent l="0" t="0" r="9525" b="9525"/>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86225" cy="4086225"/>
                    </a:xfrm>
                    <a:prstGeom prst="rect">
                      <a:avLst/>
                    </a:prstGeom>
                  </pic:spPr>
                </pic:pic>
              </a:graphicData>
            </a:graphic>
          </wp:inline>
        </w:drawing>
      </w:r>
      <w:r w:rsidRPr="004360D6">
        <w:rPr>
          <w:rFonts w:ascii="Times New Roman" w:hAnsi="Times New Roman" w:cs="Times New Roman"/>
          <w:noProof/>
          <w:color w:val="000000" w:themeColor="text1"/>
          <w:sz w:val="24"/>
          <w:szCs w:val="24"/>
          <w:lang w:val="en-US"/>
        </w:rPr>
        <w:drawing>
          <wp:inline distT="0" distB="0" distL="0" distR="0" wp14:anchorId="2A24D934" wp14:editId="62AD6B31">
            <wp:extent cx="4067175" cy="4067175"/>
            <wp:effectExtent l="0" t="0" r="9525" b="952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067175" cy="4067175"/>
                    </a:xfrm>
                    <a:prstGeom prst="rect">
                      <a:avLst/>
                    </a:prstGeom>
                  </pic:spPr>
                </pic:pic>
              </a:graphicData>
            </a:graphic>
          </wp:inline>
        </w:drawing>
      </w:r>
    </w:p>
    <w:p w14:paraId="44F99628" w14:textId="77777777" w:rsidR="00407A5E" w:rsidRPr="004360D6" w:rsidRDefault="00407A5E" w:rsidP="00407A5E">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S1: QQ-plots for the results of the AD case-control EWAS (A, λ=1.0005), and the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EWAS (B, λ=1.0175) in the Oxford datasets.</w:t>
      </w:r>
    </w:p>
    <w:p w14:paraId="360248CF" w14:textId="77777777" w:rsidR="00407A5E" w:rsidRPr="004360D6" w:rsidRDefault="00407A5E" w:rsidP="00407A5E">
      <w:pPr>
        <w:spacing w:line="240" w:lineRule="auto"/>
        <w:rPr>
          <w:rFonts w:ascii="Times New Roman" w:hAnsi="Times New Roman" w:cs="Times New Roman"/>
          <w:color w:val="000000" w:themeColor="text1"/>
          <w:sz w:val="24"/>
          <w:szCs w:val="24"/>
          <w:lang w:val="en-GB"/>
        </w:rPr>
      </w:pPr>
    </w:p>
    <w:p w14:paraId="10B00398" w14:textId="77777777" w:rsidR="00407A5E" w:rsidRPr="004360D6" w:rsidRDefault="00407A5E" w:rsidP="00407A5E">
      <w:pPr>
        <w:keepNext/>
        <w:spacing w:line="240" w:lineRule="auto"/>
      </w:pPr>
      <w:r w:rsidRPr="004360D6">
        <w:rPr>
          <w:rFonts w:ascii="Times New Roman" w:hAnsi="Times New Roman" w:cs="Times New Roman"/>
          <w:noProof/>
          <w:color w:val="000000" w:themeColor="text1"/>
          <w:sz w:val="24"/>
          <w:szCs w:val="24"/>
          <w:lang w:val="en-US"/>
        </w:rPr>
        <w:lastRenderedPageBreak/>
        <w:drawing>
          <wp:inline distT="0" distB="0" distL="0" distR="0" wp14:anchorId="31F625B2" wp14:editId="7FB8B156">
            <wp:extent cx="8439150" cy="4219575"/>
            <wp:effectExtent l="0" t="0" r="0" b="9525"/>
            <wp:docPr id="2" name="Picture 2"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8442192" cy="4221096"/>
                    </a:xfrm>
                    <a:prstGeom prst="rect">
                      <a:avLst/>
                    </a:prstGeom>
                  </pic:spPr>
                </pic:pic>
              </a:graphicData>
            </a:graphic>
          </wp:inline>
        </w:drawing>
      </w:r>
    </w:p>
    <w:p w14:paraId="69B9C18D" w14:textId="77777777" w:rsidR="00B6385E" w:rsidRPr="004360D6" w:rsidRDefault="00407A5E" w:rsidP="00407A5E">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S2: Manhattan plot for the results of the AD case-control EWAS in the Oxford dataset; the red line indicates the experiment-wide significance threshold of 7.51E-08, whereas the purple line indicates the suggestive significance threshold of 1.00E-05. </w:t>
      </w:r>
      <w:proofErr w:type="spellStart"/>
      <w:r w:rsidRPr="004360D6">
        <w:rPr>
          <w:rFonts w:ascii="Times New Roman" w:hAnsi="Times New Roman" w:cs="Times New Roman"/>
          <w:color w:val="000000" w:themeColor="text1"/>
          <w:sz w:val="24"/>
          <w:szCs w:val="24"/>
          <w:lang w:val="en-GB"/>
        </w:rPr>
        <w:t>CpGs</w:t>
      </w:r>
      <w:proofErr w:type="spellEnd"/>
      <w:r w:rsidRPr="004360D6">
        <w:rPr>
          <w:rFonts w:ascii="Times New Roman" w:hAnsi="Times New Roman" w:cs="Times New Roman"/>
          <w:color w:val="000000" w:themeColor="text1"/>
          <w:sz w:val="24"/>
          <w:szCs w:val="24"/>
          <w:lang w:val="en-GB"/>
        </w:rPr>
        <w:t xml:space="preserve"> with suggestively significant association are marked in purple and annotated with the gene name according to the Illumina manifest (v1.0 B5). NB that three </w:t>
      </w:r>
      <w:proofErr w:type="spellStart"/>
      <w:r w:rsidRPr="004360D6">
        <w:rPr>
          <w:rFonts w:ascii="Times New Roman" w:hAnsi="Times New Roman" w:cs="Times New Roman"/>
          <w:color w:val="000000" w:themeColor="text1"/>
          <w:sz w:val="24"/>
          <w:szCs w:val="24"/>
          <w:lang w:val="en-GB"/>
        </w:rPr>
        <w:t>CpGs</w:t>
      </w:r>
      <w:proofErr w:type="spellEnd"/>
      <w:r w:rsidRPr="004360D6">
        <w:rPr>
          <w:rFonts w:ascii="Times New Roman" w:hAnsi="Times New Roman" w:cs="Times New Roman"/>
          <w:color w:val="000000" w:themeColor="text1"/>
          <w:sz w:val="24"/>
          <w:szCs w:val="24"/>
          <w:lang w:val="en-GB"/>
        </w:rPr>
        <w:t xml:space="preserve"> (on chr. 8</w:t>
      </w:r>
      <w:r w:rsidR="00B6385E" w:rsidRPr="004360D6">
        <w:rPr>
          <w:rFonts w:ascii="Times New Roman" w:hAnsi="Times New Roman" w:cs="Times New Roman"/>
          <w:color w:val="000000" w:themeColor="text1"/>
          <w:sz w:val="24"/>
          <w:szCs w:val="24"/>
          <w:lang w:val="en-GB"/>
        </w:rPr>
        <w:t xml:space="preserve"> </w:t>
      </w:r>
      <w:r w:rsidR="00FD0C8F" w:rsidRPr="004360D6">
        <w:rPr>
          <w:rFonts w:ascii="Times New Roman" w:hAnsi="Times New Roman" w:cs="Times New Roman"/>
          <w:color w:val="000000" w:themeColor="text1"/>
          <w:sz w:val="24"/>
          <w:szCs w:val="24"/>
          <w:lang w:val="en-GB"/>
        </w:rPr>
        <w:t>a</w:t>
      </w:r>
      <w:r w:rsidRPr="004360D6">
        <w:rPr>
          <w:rFonts w:ascii="Times New Roman" w:hAnsi="Times New Roman" w:cs="Times New Roman"/>
          <w:color w:val="000000" w:themeColor="text1"/>
          <w:sz w:val="24"/>
          <w:szCs w:val="24"/>
          <w:lang w:val="en-GB"/>
        </w:rPr>
        <w:t>nd chr. 14 were not annotated to any genes).</w:t>
      </w:r>
      <w:r w:rsidR="00B6385E" w:rsidRPr="004360D6">
        <w:rPr>
          <w:rFonts w:ascii="Times New Roman" w:hAnsi="Times New Roman" w:cs="Times New Roman"/>
          <w:color w:val="000000" w:themeColor="text1"/>
          <w:sz w:val="24"/>
          <w:szCs w:val="24"/>
          <w:lang w:val="en-GB"/>
        </w:rPr>
        <w:br w:type="page"/>
      </w:r>
    </w:p>
    <w:p w14:paraId="4B86A241" w14:textId="48D3358A" w:rsidR="00407A5E" w:rsidRPr="004360D6" w:rsidRDefault="00407A5E" w:rsidP="00407A5E">
      <w:pPr>
        <w:pStyle w:val="Caption"/>
        <w:rPr>
          <w:lang w:val="en-GB"/>
        </w:rPr>
      </w:pPr>
      <w:r w:rsidRPr="004360D6">
        <w:rPr>
          <w:noProof/>
          <w:lang w:val="en-US"/>
        </w:rPr>
        <w:lastRenderedPageBreak/>
        <w:drawing>
          <wp:inline distT="0" distB="0" distL="0" distR="0" wp14:anchorId="63F6ECEA" wp14:editId="12EBB7C9">
            <wp:extent cx="9072245" cy="4536122"/>
            <wp:effectExtent l="0" t="0" r="0" b="0"/>
            <wp:docPr id="7" name="Picture 7"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pplicati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9072245" cy="4536122"/>
                    </a:xfrm>
                    <a:prstGeom prst="rect">
                      <a:avLst/>
                    </a:prstGeom>
                  </pic:spPr>
                </pic:pic>
              </a:graphicData>
            </a:graphic>
          </wp:inline>
        </w:drawing>
      </w:r>
    </w:p>
    <w:p w14:paraId="070B6EC2" w14:textId="77777777" w:rsidR="00407A5E" w:rsidRPr="004360D6" w:rsidRDefault="00407A5E" w:rsidP="00407A5E">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S3:</w:t>
      </w:r>
      <w:r w:rsidRPr="004360D6">
        <w:rPr>
          <w:lang w:val="en-GB"/>
        </w:rPr>
        <w:t xml:space="preserve"> </w:t>
      </w:r>
      <w:r w:rsidRPr="004360D6">
        <w:rPr>
          <w:rFonts w:ascii="Times New Roman" w:hAnsi="Times New Roman" w:cs="Times New Roman"/>
          <w:color w:val="000000" w:themeColor="text1"/>
          <w:sz w:val="24"/>
          <w:szCs w:val="24"/>
          <w:lang w:val="en-GB"/>
        </w:rPr>
        <w:t xml:space="preserve">Manhattan plot for the results of the AD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EWAS in the Oxford dataset; the red line indicates the experiment-wide significance threshold of 7.51E-8, whereas the purple line indicates the suggestive significance threshold of 1.00E-05. </w:t>
      </w:r>
      <w:proofErr w:type="spellStart"/>
      <w:r w:rsidRPr="004360D6">
        <w:rPr>
          <w:rFonts w:ascii="Times New Roman" w:hAnsi="Times New Roman" w:cs="Times New Roman"/>
          <w:color w:val="000000" w:themeColor="text1"/>
          <w:sz w:val="24"/>
          <w:szCs w:val="24"/>
          <w:lang w:val="en-GB"/>
        </w:rPr>
        <w:t>CpGs</w:t>
      </w:r>
      <w:proofErr w:type="spellEnd"/>
      <w:r w:rsidRPr="004360D6">
        <w:rPr>
          <w:rFonts w:ascii="Times New Roman" w:hAnsi="Times New Roman" w:cs="Times New Roman"/>
          <w:color w:val="000000" w:themeColor="text1"/>
          <w:sz w:val="24"/>
          <w:szCs w:val="24"/>
          <w:lang w:val="en-GB"/>
        </w:rPr>
        <w:t xml:space="preserve"> with suggestively significant association are marked in purple and annotated with the gene name according to the Illumina manifest (v1.0 B5). NB that one CpG (on chr. 14 was not annotated to any genes).</w:t>
      </w:r>
    </w:p>
    <w:p w14:paraId="5CA4C577" w14:textId="77777777" w:rsidR="00407A5E" w:rsidRPr="004360D6" w:rsidRDefault="00407A5E" w:rsidP="00407A5E">
      <w:pPr>
        <w:rPr>
          <w:lang w:val="en-GB"/>
        </w:rPr>
      </w:pPr>
    </w:p>
    <w:p w14:paraId="383860E4" w14:textId="77777777" w:rsidR="00407A5E" w:rsidRPr="004360D6" w:rsidRDefault="00407A5E" w:rsidP="00407A5E">
      <w:pPr>
        <w:keepNext/>
      </w:pPr>
      <w:r w:rsidRPr="004360D6">
        <w:rPr>
          <w:noProof/>
          <w:lang w:val="en-US"/>
        </w:rPr>
        <w:lastRenderedPageBreak/>
        <w:drawing>
          <wp:inline distT="0" distB="0" distL="0" distR="0" wp14:anchorId="77F64746" wp14:editId="3E193D8B">
            <wp:extent cx="4162425" cy="4162425"/>
            <wp:effectExtent l="0" t="0" r="9525" b="952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162461" cy="4162461"/>
                    </a:xfrm>
                    <a:prstGeom prst="rect">
                      <a:avLst/>
                    </a:prstGeom>
                  </pic:spPr>
                </pic:pic>
              </a:graphicData>
            </a:graphic>
          </wp:inline>
        </w:drawing>
      </w:r>
      <w:r w:rsidRPr="004360D6">
        <w:rPr>
          <w:noProof/>
          <w:lang w:val="en-US"/>
        </w:rPr>
        <w:drawing>
          <wp:inline distT="0" distB="0" distL="0" distR="0" wp14:anchorId="695AD3BD" wp14:editId="5C79D61F">
            <wp:extent cx="4219575" cy="4219575"/>
            <wp:effectExtent l="0" t="0" r="9525" b="952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19611" cy="4219611"/>
                    </a:xfrm>
                    <a:prstGeom prst="rect">
                      <a:avLst/>
                    </a:prstGeom>
                  </pic:spPr>
                </pic:pic>
              </a:graphicData>
            </a:graphic>
          </wp:inline>
        </w:drawing>
      </w:r>
    </w:p>
    <w:p w14:paraId="65E9CB90" w14:textId="77777777" w:rsidR="00407A5E" w:rsidRPr="004360D6" w:rsidRDefault="00407A5E" w:rsidP="00407A5E">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S4: QQ-plots for the results of the AD case-control meta-EWAS (A, λ=1.16), and the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meta-EWAS (B, λ =1.24) with fixed-effect models across three datasets (London-1, London-2, Oxford).</w:t>
      </w:r>
    </w:p>
    <w:p w14:paraId="5533511E" w14:textId="77777777" w:rsidR="00407A5E" w:rsidRPr="004360D6" w:rsidRDefault="00407A5E" w:rsidP="00407A5E">
      <w:pPr>
        <w:keepNext/>
      </w:pPr>
      <w:r w:rsidRPr="004360D6">
        <w:rPr>
          <w:noProof/>
          <w:lang w:val="en-US"/>
        </w:rPr>
        <w:lastRenderedPageBreak/>
        <w:drawing>
          <wp:inline distT="0" distB="0" distL="0" distR="0" wp14:anchorId="491842A5" wp14:editId="42C1968C">
            <wp:extent cx="4162461" cy="4162461"/>
            <wp:effectExtent l="0" t="0" r="9525" b="9525"/>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5"/>
                    <a:stretch>
                      <a:fillRect/>
                    </a:stretch>
                  </pic:blipFill>
                  <pic:spPr>
                    <a:xfrm>
                      <a:off x="0" y="0"/>
                      <a:ext cx="4162461" cy="4162461"/>
                    </a:xfrm>
                    <a:prstGeom prst="rect">
                      <a:avLst/>
                    </a:prstGeom>
                  </pic:spPr>
                </pic:pic>
              </a:graphicData>
            </a:graphic>
          </wp:inline>
        </w:drawing>
      </w:r>
      <w:r w:rsidRPr="004360D6">
        <w:rPr>
          <w:noProof/>
          <w:lang w:val="en-US"/>
        </w:rPr>
        <w:drawing>
          <wp:inline distT="0" distB="0" distL="0" distR="0" wp14:anchorId="17B95433" wp14:editId="3BDFEC1D">
            <wp:extent cx="4219611" cy="4219611"/>
            <wp:effectExtent l="0" t="0" r="9525" b="9525"/>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16"/>
                    <a:stretch>
                      <a:fillRect/>
                    </a:stretch>
                  </pic:blipFill>
                  <pic:spPr>
                    <a:xfrm>
                      <a:off x="0" y="0"/>
                      <a:ext cx="4219611" cy="4219611"/>
                    </a:xfrm>
                    <a:prstGeom prst="rect">
                      <a:avLst/>
                    </a:prstGeom>
                  </pic:spPr>
                </pic:pic>
              </a:graphicData>
            </a:graphic>
          </wp:inline>
        </w:drawing>
      </w:r>
    </w:p>
    <w:p w14:paraId="2CBBC4C4" w14:textId="6C4456C0" w:rsidR="006501E7" w:rsidRPr="004360D6" w:rsidRDefault="00407A5E" w:rsidP="00407A5E">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S5: QQ-plots for the results of the AD case-control meta</w:t>
      </w:r>
      <w:r w:rsidR="00637E6B" w:rsidRPr="004360D6">
        <w:rPr>
          <w:rFonts w:ascii="Times New Roman" w:hAnsi="Times New Roman" w:cs="Times New Roman"/>
          <w:color w:val="000000" w:themeColor="text1"/>
          <w:sz w:val="24"/>
          <w:szCs w:val="24"/>
          <w:lang w:val="en-GB"/>
        </w:rPr>
        <w:t>-</w:t>
      </w:r>
      <w:r w:rsidRPr="004360D6">
        <w:rPr>
          <w:rFonts w:ascii="Times New Roman" w:hAnsi="Times New Roman" w:cs="Times New Roman"/>
          <w:color w:val="000000" w:themeColor="text1"/>
          <w:sz w:val="24"/>
          <w:szCs w:val="24"/>
          <w:lang w:val="en-GB"/>
        </w:rPr>
        <w:t xml:space="preserve">EWAS (A, λ=0.92), and the </w:t>
      </w:r>
      <w:proofErr w:type="spellStart"/>
      <w:r w:rsidRPr="004360D6">
        <w:rPr>
          <w:rFonts w:ascii="Times New Roman" w:hAnsi="Times New Roman" w:cs="Times New Roman"/>
          <w:color w:val="000000" w:themeColor="text1"/>
          <w:sz w:val="24"/>
          <w:szCs w:val="24"/>
          <w:lang w:val="en-GB"/>
        </w:rPr>
        <w:t>Braak</w:t>
      </w:r>
      <w:proofErr w:type="spellEnd"/>
      <w:r w:rsidRPr="004360D6">
        <w:rPr>
          <w:rFonts w:ascii="Times New Roman" w:hAnsi="Times New Roman" w:cs="Times New Roman"/>
          <w:color w:val="000000" w:themeColor="text1"/>
          <w:sz w:val="24"/>
          <w:szCs w:val="24"/>
          <w:lang w:val="en-GB"/>
        </w:rPr>
        <w:t xml:space="preserve"> stage meta-EWAS (B, λ =1.00) with random-effect models across three datasets (London-1, London-2, Oxford).</w:t>
      </w:r>
    </w:p>
    <w:p w14:paraId="3533D635" w14:textId="77777777" w:rsidR="006501E7" w:rsidRPr="004360D6" w:rsidRDefault="006501E7">
      <w:pPr>
        <w:rPr>
          <w:rFonts w:ascii="Times New Roman" w:hAnsi="Times New Roman" w:cs="Times New Roman"/>
          <w:i/>
          <w:iCs/>
          <w:color w:val="000000" w:themeColor="text1"/>
          <w:sz w:val="24"/>
          <w:szCs w:val="24"/>
          <w:lang w:val="en-GB"/>
        </w:rPr>
      </w:pPr>
      <w:r w:rsidRPr="004360D6">
        <w:rPr>
          <w:rFonts w:ascii="Times New Roman" w:hAnsi="Times New Roman" w:cs="Times New Roman"/>
          <w:color w:val="000000" w:themeColor="text1"/>
          <w:sz w:val="24"/>
          <w:szCs w:val="24"/>
          <w:lang w:val="en-GB"/>
        </w:rPr>
        <w:br w:type="page"/>
      </w:r>
    </w:p>
    <w:p w14:paraId="1D4676D3" w14:textId="6BDC4854" w:rsidR="006501E7" w:rsidRPr="004360D6" w:rsidRDefault="00473C8A" w:rsidP="00407A5E">
      <w:pPr>
        <w:pStyle w:val="Caption"/>
        <w:rPr>
          <w:i w:val="0"/>
          <w:iCs w:val="0"/>
          <w:lang w:val="en-GB"/>
        </w:rPr>
      </w:pPr>
      <w:r w:rsidRPr="004360D6">
        <w:rPr>
          <w:i w:val="0"/>
          <w:iCs w:val="0"/>
          <w:color w:val="000000" w:themeColor="text1"/>
          <w:sz w:val="52"/>
          <w:szCs w:val="52"/>
          <w:lang w:val="en-GB"/>
        </w:rPr>
        <w:lastRenderedPageBreak/>
        <w:t xml:space="preserve">    </w:t>
      </w:r>
      <w:r w:rsidR="006501E7" w:rsidRPr="004360D6">
        <w:rPr>
          <w:i w:val="0"/>
          <w:iCs w:val="0"/>
          <w:color w:val="000000" w:themeColor="text1"/>
          <w:sz w:val="52"/>
          <w:szCs w:val="52"/>
          <w:lang w:val="en-GB"/>
        </w:rPr>
        <w:t>A</w:t>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Pr="004360D6">
        <w:rPr>
          <w:i w:val="0"/>
          <w:iCs w:val="0"/>
          <w:color w:val="000000" w:themeColor="text1"/>
          <w:sz w:val="52"/>
          <w:szCs w:val="52"/>
          <w:lang w:val="en-GB"/>
        </w:rPr>
        <w:t xml:space="preserve"> </w:t>
      </w:r>
      <w:r w:rsidR="006501E7" w:rsidRPr="004360D6">
        <w:rPr>
          <w:i w:val="0"/>
          <w:iCs w:val="0"/>
          <w:color w:val="000000" w:themeColor="text1"/>
          <w:sz w:val="52"/>
          <w:szCs w:val="52"/>
          <w:lang w:val="en-GB"/>
        </w:rPr>
        <w:t>B</w:t>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r>
      <w:r w:rsidR="006501E7" w:rsidRPr="004360D6">
        <w:rPr>
          <w:i w:val="0"/>
          <w:iCs w:val="0"/>
          <w:color w:val="000000" w:themeColor="text1"/>
          <w:sz w:val="52"/>
          <w:szCs w:val="52"/>
          <w:lang w:val="en-GB"/>
        </w:rPr>
        <w:tab/>
        <w:t xml:space="preserve">   </w:t>
      </w:r>
      <w:r w:rsidRPr="004360D6">
        <w:rPr>
          <w:i w:val="0"/>
          <w:iCs w:val="0"/>
          <w:color w:val="000000" w:themeColor="text1"/>
          <w:sz w:val="52"/>
          <w:szCs w:val="52"/>
          <w:lang w:val="en-GB"/>
        </w:rPr>
        <w:t xml:space="preserve">  </w:t>
      </w:r>
      <w:r w:rsidR="006501E7" w:rsidRPr="004360D6">
        <w:rPr>
          <w:i w:val="0"/>
          <w:iCs w:val="0"/>
          <w:color w:val="000000" w:themeColor="text1"/>
          <w:sz w:val="52"/>
          <w:szCs w:val="52"/>
          <w:lang w:val="en-GB"/>
        </w:rPr>
        <w:t>C</w:t>
      </w:r>
    </w:p>
    <w:p w14:paraId="01C6B043" w14:textId="652D7DF8" w:rsidR="00407A5E" w:rsidRPr="004360D6" w:rsidRDefault="006501E7" w:rsidP="00407A5E">
      <w:pPr>
        <w:pStyle w:val="Caption"/>
        <w:rPr>
          <w:i w:val="0"/>
          <w:iCs w:val="0"/>
          <w:lang w:val="en-GB"/>
        </w:rPr>
      </w:pPr>
      <w:r w:rsidRPr="004360D6">
        <w:rPr>
          <w:i w:val="0"/>
          <w:iCs w:val="0"/>
          <w:noProof/>
          <w:lang w:val="en-US"/>
        </w:rPr>
        <w:drawing>
          <wp:inline distT="0" distB="0" distL="0" distR="0" wp14:anchorId="16874403" wp14:editId="0CE7C0B3">
            <wp:extent cx="2846615" cy="284661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857421" cy="2857421"/>
                    </a:xfrm>
                    <a:prstGeom prst="rect">
                      <a:avLst/>
                    </a:prstGeom>
                  </pic:spPr>
                </pic:pic>
              </a:graphicData>
            </a:graphic>
          </wp:inline>
        </w:drawing>
      </w:r>
      <w:r w:rsidRPr="004360D6">
        <w:rPr>
          <w:i w:val="0"/>
          <w:iCs w:val="0"/>
          <w:lang w:val="en-GB"/>
        </w:rPr>
        <w:t xml:space="preserve">    </w:t>
      </w:r>
      <w:r w:rsidRPr="004360D6">
        <w:rPr>
          <w:i w:val="0"/>
          <w:iCs w:val="0"/>
          <w:noProof/>
          <w:lang w:val="en-US"/>
        </w:rPr>
        <w:drawing>
          <wp:inline distT="0" distB="0" distL="0" distR="0" wp14:anchorId="3E81BFDB" wp14:editId="5EB07F34">
            <wp:extent cx="2856365" cy="2856365"/>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2856365" cy="2856365"/>
                    </a:xfrm>
                    <a:prstGeom prst="rect">
                      <a:avLst/>
                    </a:prstGeom>
                  </pic:spPr>
                </pic:pic>
              </a:graphicData>
            </a:graphic>
          </wp:inline>
        </w:drawing>
      </w:r>
      <w:r w:rsidRPr="004360D6">
        <w:rPr>
          <w:i w:val="0"/>
          <w:iCs w:val="0"/>
          <w:lang w:val="en-GB"/>
        </w:rPr>
        <w:t xml:space="preserve">    </w:t>
      </w:r>
      <w:r w:rsidRPr="004360D6">
        <w:rPr>
          <w:noProof/>
          <w:lang w:val="en-US"/>
        </w:rPr>
        <w:drawing>
          <wp:inline distT="0" distB="0" distL="0" distR="0" wp14:anchorId="045D4559" wp14:editId="034DF2D4">
            <wp:extent cx="2830286" cy="2830286"/>
            <wp:effectExtent l="0" t="0" r="8255" b="825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41338" cy="2841338"/>
                    </a:xfrm>
                    <a:prstGeom prst="rect">
                      <a:avLst/>
                    </a:prstGeom>
                  </pic:spPr>
                </pic:pic>
              </a:graphicData>
            </a:graphic>
          </wp:inline>
        </w:drawing>
      </w:r>
    </w:p>
    <w:p w14:paraId="3A785704" w14:textId="77777777" w:rsidR="00407A5E" w:rsidRPr="004360D6" w:rsidRDefault="00407A5E" w:rsidP="00407A5E">
      <w:pPr>
        <w:rPr>
          <w:lang w:val="en-GB"/>
        </w:rPr>
      </w:pPr>
    </w:p>
    <w:p w14:paraId="218FFE85" w14:textId="49A8810F" w:rsidR="00473C8A" w:rsidRPr="004360D6" w:rsidRDefault="00473C8A" w:rsidP="00473C8A">
      <w:pPr>
        <w:pStyle w:val="Caption"/>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t xml:space="preserve">S6: Scree plots for the results of a principal component analysis (PCA) on </w:t>
      </w:r>
      <w:proofErr w:type="spellStart"/>
      <w:r w:rsidRPr="004360D6">
        <w:rPr>
          <w:rFonts w:ascii="Times New Roman" w:hAnsi="Times New Roman" w:cs="Times New Roman"/>
          <w:color w:val="000000" w:themeColor="text1"/>
          <w:sz w:val="24"/>
          <w:szCs w:val="24"/>
          <w:lang w:val="en-GB"/>
        </w:rPr>
        <w:t>DNAm</w:t>
      </w:r>
      <w:proofErr w:type="spellEnd"/>
      <w:r w:rsidRPr="004360D6">
        <w:rPr>
          <w:rFonts w:ascii="Times New Roman" w:hAnsi="Times New Roman" w:cs="Times New Roman"/>
          <w:color w:val="000000" w:themeColor="text1"/>
          <w:sz w:val="24"/>
          <w:szCs w:val="24"/>
          <w:lang w:val="en-GB"/>
        </w:rPr>
        <w:t xml:space="preserve"> using binned </w:t>
      </w:r>
      <w:proofErr w:type="spellStart"/>
      <w:r w:rsidRPr="004360D6">
        <w:rPr>
          <w:rFonts w:ascii="Times New Roman" w:hAnsi="Times New Roman" w:cs="Times New Roman"/>
          <w:color w:val="000000" w:themeColor="text1"/>
          <w:sz w:val="24"/>
          <w:szCs w:val="24"/>
          <w:lang w:val="en-GB"/>
        </w:rPr>
        <w:t>CpGs</w:t>
      </w:r>
      <w:proofErr w:type="spellEnd"/>
      <w:r w:rsidRPr="004360D6">
        <w:rPr>
          <w:rFonts w:ascii="Times New Roman" w:hAnsi="Times New Roman" w:cs="Times New Roman"/>
          <w:color w:val="000000" w:themeColor="text1"/>
          <w:sz w:val="24"/>
          <w:szCs w:val="24"/>
          <w:lang w:val="en-GB"/>
        </w:rPr>
        <w:t xml:space="preserve"> in the Oxford (A</w:t>
      </w:r>
      <w:r w:rsidR="00687642" w:rsidRPr="004360D6">
        <w:rPr>
          <w:rFonts w:ascii="Times New Roman" w:hAnsi="Times New Roman" w:cs="Times New Roman"/>
          <w:color w:val="000000" w:themeColor="text1"/>
          <w:sz w:val="24"/>
          <w:szCs w:val="24"/>
          <w:lang w:val="en-GB"/>
        </w:rPr>
        <w:t>, n=149 samples</w:t>
      </w:r>
      <w:r w:rsidRPr="004360D6">
        <w:rPr>
          <w:rFonts w:ascii="Times New Roman" w:hAnsi="Times New Roman" w:cs="Times New Roman"/>
          <w:color w:val="000000" w:themeColor="text1"/>
          <w:sz w:val="24"/>
          <w:szCs w:val="24"/>
          <w:lang w:val="en-GB"/>
        </w:rPr>
        <w:t>), London-1 (B</w:t>
      </w:r>
      <w:r w:rsidR="00687642" w:rsidRPr="004360D6">
        <w:rPr>
          <w:rFonts w:ascii="Times New Roman" w:hAnsi="Times New Roman" w:cs="Times New Roman"/>
          <w:color w:val="000000" w:themeColor="text1"/>
          <w:sz w:val="24"/>
          <w:szCs w:val="24"/>
          <w:lang w:val="en-GB"/>
        </w:rPr>
        <w:t>, n=104</w:t>
      </w:r>
      <w:r w:rsidR="00586720" w:rsidRPr="004360D6">
        <w:rPr>
          <w:rFonts w:ascii="Times New Roman" w:hAnsi="Times New Roman" w:cs="Times New Roman"/>
          <w:color w:val="000000" w:themeColor="text1"/>
          <w:sz w:val="24"/>
          <w:szCs w:val="24"/>
          <w:lang w:val="en-GB"/>
        </w:rPr>
        <w:t xml:space="preserve"> samples</w:t>
      </w:r>
      <w:r w:rsidRPr="004360D6">
        <w:rPr>
          <w:rFonts w:ascii="Times New Roman" w:hAnsi="Times New Roman" w:cs="Times New Roman"/>
          <w:color w:val="000000" w:themeColor="text1"/>
          <w:sz w:val="24"/>
          <w:szCs w:val="24"/>
          <w:lang w:val="en-GB"/>
        </w:rPr>
        <w:t>) and London-2 (C</w:t>
      </w:r>
      <w:r w:rsidR="00687642" w:rsidRPr="004360D6">
        <w:rPr>
          <w:rFonts w:ascii="Times New Roman" w:hAnsi="Times New Roman" w:cs="Times New Roman"/>
          <w:color w:val="000000" w:themeColor="text1"/>
          <w:sz w:val="24"/>
          <w:szCs w:val="24"/>
          <w:lang w:val="en-GB"/>
        </w:rPr>
        <w:t>, n=92 samples</w:t>
      </w:r>
      <w:r w:rsidRPr="004360D6">
        <w:rPr>
          <w:rFonts w:ascii="Times New Roman" w:hAnsi="Times New Roman" w:cs="Times New Roman"/>
          <w:color w:val="000000" w:themeColor="text1"/>
          <w:sz w:val="24"/>
          <w:szCs w:val="24"/>
          <w:lang w:val="en-GB"/>
        </w:rPr>
        <w:t xml:space="preserve">) datasets. For the main EWAS analyses reported in this paper we selected n=13, n=13, n=15 PCs for the Oxford, London-1, and London-2, datasets, respectively, to account for known and unknown confounders of </w:t>
      </w:r>
      <w:proofErr w:type="spellStart"/>
      <w:r w:rsidRPr="004360D6">
        <w:rPr>
          <w:rFonts w:ascii="Times New Roman" w:hAnsi="Times New Roman" w:cs="Times New Roman"/>
          <w:color w:val="000000" w:themeColor="text1"/>
          <w:sz w:val="24"/>
          <w:szCs w:val="24"/>
          <w:lang w:val="en-GB"/>
        </w:rPr>
        <w:t>DNAm</w:t>
      </w:r>
      <w:proofErr w:type="spellEnd"/>
      <w:r w:rsidRPr="004360D6">
        <w:rPr>
          <w:rFonts w:ascii="Times New Roman" w:hAnsi="Times New Roman" w:cs="Times New Roman"/>
          <w:color w:val="000000" w:themeColor="text1"/>
          <w:sz w:val="24"/>
          <w:szCs w:val="24"/>
          <w:lang w:val="en-GB"/>
        </w:rPr>
        <w:t xml:space="preserve"> in these samples.</w:t>
      </w:r>
    </w:p>
    <w:p w14:paraId="268A21E7" w14:textId="7FC7C18E" w:rsidR="00407A5E" w:rsidRPr="004360D6" w:rsidRDefault="00407A5E" w:rsidP="00B50E45">
      <w:pPr>
        <w:spacing w:line="480" w:lineRule="auto"/>
        <w:rPr>
          <w:lang w:val="en-GB"/>
        </w:rPr>
      </w:pPr>
    </w:p>
    <w:p w14:paraId="44C0C07C" w14:textId="77777777" w:rsidR="00B50E45" w:rsidRPr="004360D6" w:rsidRDefault="00B50E45" w:rsidP="00A91279">
      <w:pPr>
        <w:spacing w:line="480" w:lineRule="auto"/>
        <w:rPr>
          <w:rFonts w:ascii="Times New Roman" w:hAnsi="Times New Roman" w:cs="Times New Roman"/>
          <w:color w:val="000000" w:themeColor="text1"/>
          <w:sz w:val="24"/>
          <w:szCs w:val="24"/>
          <w:lang w:val="en-GB"/>
        </w:rPr>
      </w:pPr>
    </w:p>
    <w:p w14:paraId="5CD0269C" w14:textId="77777777" w:rsidR="0088144A" w:rsidRPr="004360D6" w:rsidRDefault="0088144A" w:rsidP="00E24CE8">
      <w:pPr>
        <w:pStyle w:val="Heading1"/>
        <w:rPr>
          <w:lang w:val="en-GB"/>
        </w:rPr>
        <w:sectPr w:rsidR="0088144A" w:rsidRPr="004360D6" w:rsidSect="00F73EE7">
          <w:pgSz w:w="16838" w:h="11906" w:orient="landscape"/>
          <w:pgMar w:top="1417" w:right="1134" w:bottom="1417" w:left="1417" w:header="708" w:footer="708" w:gutter="0"/>
          <w:cols w:space="708"/>
          <w:docGrid w:linePitch="360"/>
        </w:sectPr>
      </w:pPr>
    </w:p>
    <w:p w14:paraId="584B0B09" w14:textId="55C6CEA1" w:rsidR="00F761A2" w:rsidRPr="004360D6" w:rsidRDefault="00E24CE8" w:rsidP="00E24CE8">
      <w:pPr>
        <w:pStyle w:val="Heading1"/>
        <w:rPr>
          <w:lang w:val="en-GB"/>
        </w:rPr>
      </w:pPr>
      <w:r w:rsidRPr="004360D6">
        <w:rPr>
          <w:lang w:val="en-GB"/>
        </w:rPr>
        <w:lastRenderedPageBreak/>
        <w:t>References</w:t>
      </w:r>
    </w:p>
    <w:p w14:paraId="52AF6671" w14:textId="1A85447F" w:rsidR="00D819CE" w:rsidRPr="004360D6" w:rsidRDefault="00E24CE8"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color w:val="000000" w:themeColor="text1"/>
          <w:sz w:val="24"/>
          <w:szCs w:val="24"/>
          <w:lang w:val="en-GB"/>
        </w:rPr>
        <w:fldChar w:fldCharType="begin" w:fldLock="1"/>
      </w:r>
      <w:r w:rsidRPr="004360D6">
        <w:rPr>
          <w:rFonts w:ascii="Times New Roman" w:hAnsi="Times New Roman" w:cs="Times New Roman"/>
          <w:color w:val="000000" w:themeColor="text1"/>
          <w:sz w:val="24"/>
          <w:szCs w:val="24"/>
          <w:lang w:val="en-GB"/>
        </w:rPr>
        <w:instrText xml:space="preserve">ADDIN Mendeley Bibliography CSL_BIBLIOGRAPHY </w:instrText>
      </w:r>
      <w:r w:rsidRPr="004360D6">
        <w:rPr>
          <w:rFonts w:ascii="Times New Roman" w:hAnsi="Times New Roman" w:cs="Times New Roman"/>
          <w:color w:val="000000" w:themeColor="text1"/>
          <w:sz w:val="24"/>
          <w:szCs w:val="24"/>
          <w:lang w:val="en-GB"/>
        </w:rPr>
        <w:fldChar w:fldCharType="separate"/>
      </w:r>
      <w:r w:rsidR="00D819CE" w:rsidRPr="004360D6">
        <w:rPr>
          <w:rFonts w:ascii="Times New Roman" w:hAnsi="Times New Roman" w:cs="Times New Roman"/>
          <w:noProof/>
          <w:sz w:val="24"/>
          <w:szCs w:val="24"/>
          <w:lang w:val="en-US"/>
        </w:rPr>
        <w:t xml:space="preserve">1. Pidsley R, Zotenko E, Peters TJ, Lawrence MG, Risbridger GP, Molloy P, </w:t>
      </w:r>
      <w:r w:rsidR="00D819CE" w:rsidRPr="004360D6">
        <w:rPr>
          <w:rFonts w:ascii="Times New Roman" w:hAnsi="Times New Roman" w:cs="Times New Roman"/>
          <w:i/>
          <w:iCs/>
          <w:noProof/>
          <w:sz w:val="24"/>
          <w:szCs w:val="24"/>
          <w:lang w:val="en-US"/>
        </w:rPr>
        <w:t>et al.</w:t>
      </w:r>
      <w:r w:rsidR="00D819CE" w:rsidRPr="004360D6">
        <w:rPr>
          <w:rFonts w:ascii="Times New Roman" w:hAnsi="Times New Roman" w:cs="Times New Roman"/>
          <w:noProof/>
          <w:sz w:val="24"/>
          <w:szCs w:val="24"/>
          <w:lang w:val="en-US"/>
        </w:rPr>
        <w:t xml:space="preserve"> (2016): Critical evaluation of the Illumina MethylationEPIC BeadChip microarray for whole-genome DNA methylation profiling. </w:t>
      </w:r>
      <w:r w:rsidR="00D819CE" w:rsidRPr="004360D6">
        <w:rPr>
          <w:rFonts w:ascii="Times New Roman" w:hAnsi="Times New Roman" w:cs="Times New Roman"/>
          <w:i/>
          <w:iCs/>
          <w:noProof/>
          <w:sz w:val="24"/>
          <w:szCs w:val="24"/>
          <w:lang w:val="en-US"/>
        </w:rPr>
        <w:t>Genome Biol</w:t>
      </w:r>
      <w:r w:rsidR="00D819CE" w:rsidRPr="004360D6">
        <w:rPr>
          <w:rFonts w:ascii="Times New Roman" w:hAnsi="Times New Roman" w:cs="Times New Roman"/>
          <w:noProof/>
          <w:sz w:val="24"/>
          <w:szCs w:val="24"/>
          <w:lang w:val="en-US"/>
        </w:rPr>
        <w:t xml:space="preserve"> 17: 1–17.</w:t>
      </w:r>
    </w:p>
    <w:p w14:paraId="2DF9DF0F"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2. Shu C, Zhang X, Aouizerat BE, Xu K (2020): Comparison of methylation capture sequencing and Infinium MethylationEPIC array in peripheral blood mononuclear cells. </w:t>
      </w:r>
      <w:r w:rsidRPr="004360D6">
        <w:rPr>
          <w:rFonts w:ascii="Times New Roman" w:hAnsi="Times New Roman" w:cs="Times New Roman"/>
          <w:i/>
          <w:iCs/>
          <w:noProof/>
          <w:sz w:val="24"/>
          <w:szCs w:val="24"/>
          <w:lang w:val="en-US"/>
        </w:rPr>
        <w:t>Epigenetics and Chromatin</w:t>
      </w:r>
      <w:r w:rsidRPr="004360D6">
        <w:rPr>
          <w:rFonts w:ascii="Times New Roman" w:hAnsi="Times New Roman" w:cs="Times New Roman"/>
          <w:noProof/>
          <w:sz w:val="24"/>
          <w:szCs w:val="24"/>
          <w:lang w:val="en-US"/>
        </w:rPr>
        <w:t xml:space="preserve"> 13: 1–15.</w:t>
      </w:r>
    </w:p>
    <w:p w14:paraId="65EF0C67"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3. Kling T, Wenger A, Beck S, Carén H (2017): Validation of the MethylationEPIC BeadChip for fresh-frozen and formalin-fixed paraffin-embedded tumours. </w:t>
      </w:r>
      <w:r w:rsidRPr="004360D6">
        <w:rPr>
          <w:rFonts w:ascii="Times New Roman" w:hAnsi="Times New Roman" w:cs="Times New Roman"/>
          <w:i/>
          <w:iCs/>
          <w:noProof/>
          <w:sz w:val="24"/>
          <w:szCs w:val="24"/>
          <w:lang w:val="en-US"/>
        </w:rPr>
        <w:t>Clin Epigenetics</w:t>
      </w:r>
      <w:r w:rsidRPr="004360D6">
        <w:rPr>
          <w:rFonts w:ascii="Times New Roman" w:hAnsi="Times New Roman" w:cs="Times New Roman"/>
          <w:noProof/>
          <w:sz w:val="24"/>
          <w:szCs w:val="24"/>
          <w:lang w:val="en-US"/>
        </w:rPr>
        <w:t xml:space="preserve"> 9: 1–6.</w:t>
      </w:r>
    </w:p>
    <w:p w14:paraId="1EBBAFF9"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4. Gorrie-Stone TJ, Smart MC, Saffari A, Malki K, Hannon E, Burrage J,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(2019): Bigmelon: tools for analysing large DNA methylation datasets. </w:t>
      </w:r>
      <w:r w:rsidRPr="004360D6">
        <w:rPr>
          <w:rFonts w:ascii="Times New Roman" w:hAnsi="Times New Roman" w:cs="Times New Roman"/>
          <w:i/>
          <w:iCs/>
          <w:noProof/>
          <w:sz w:val="24"/>
          <w:szCs w:val="24"/>
          <w:lang w:val="en-US"/>
        </w:rPr>
        <w:t>Bioinformatics</w:t>
      </w:r>
      <w:r w:rsidRPr="004360D6">
        <w:rPr>
          <w:rFonts w:ascii="Times New Roman" w:hAnsi="Times New Roman" w:cs="Times New Roman"/>
          <w:noProof/>
          <w:sz w:val="24"/>
          <w:szCs w:val="24"/>
          <w:lang w:val="en-US"/>
        </w:rPr>
        <w:t xml:space="preserve"> 35: 981–986.</w:t>
      </w:r>
    </w:p>
    <w:p w14:paraId="215AB428"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rPr>
      </w:pPr>
      <w:r w:rsidRPr="004360D6">
        <w:rPr>
          <w:rFonts w:ascii="Times New Roman" w:hAnsi="Times New Roman" w:cs="Times New Roman"/>
          <w:noProof/>
          <w:sz w:val="24"/>
          <w:szCs w:val="24"/>
          <w:lang w:val="en-US"/>
        </w:rPr>
        <w:t xml:space="preserve">5. Horvath S (2015): DNA methylation age of human tissues and cell types. </w:t>
      </w:r>
      <w:r w:rsidRPr="004360D6">
        <w:rPr>
          <w:rFonts w:ascii="Times New Roman" w:hAnsi="Times New Roman" w:cs="Times New Roman"/>
          <w:i/>
          <w:iCs/>
          <w:noProof/>
          <w:sz w:val="24"/>
          <w:szCs w:val="24"/>
        </w:rPr>
        <w:t>Genome Biol</w:t>
      </w:r>
      <w:r w:rsidRPr="004360D6">
        <w:rPr>
          <w:rFonts w:ascii="Times New Roman" w:hAnsi="Times New Roman" w:cs="Times New Roman"/>
          <w:noProof/>
          <w:sz w:val="24"/>
          <w:szCs w:val="24"/>
        </w:rPr>
        <w:t xml:space="preserve"> 16: 96.</w:t>
      </w:r>
    </w:p>
    <w:p w14:paraId="2FBE2E0F"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rPr>
        <w:t xml:space="preserve">6. Nordlund J, Bäcklin CL, Wahlberg P, Busche S, Berglund EC, Eloranta ML, </w:t>
      </w:r>
      <w:r w:rsidRPr="004360D6">
        <w:rPr>
          <w:rFonts w:ascii="Times New Roman" w:hAnsi="Times New Roman" w:cs="Times New Roman"/>
          <w:i/>
          <w:iCs/>
          <w:noProof/>
          <w:sz w:val="24"/>
          <w:szCs w:val="24"/>
        </w:rPr>
        <w:t>et al.</w:t>
      </w:r>
      <w:r w:rsidRPr="004360D6">
        <w:rPr>
          <w:rFonts w:ascii="Times New Roman" w:hAnsi="Times New Roman" w:cs="Times New Roman"/>
          <w:noProof/>
          <w:sz w:val="24"/>
          <w:szCs w:val="24"/>
        </w:rPr>
        <w:t xml:space="preserve"> </w:t>
      </w:r>
      <w:r w:rsidRPr="004360D6">
        <w:rPr>
          <w:rFonts w:ascii="Times New Roman" w:hAnsi="Times New Roman" w:cs="Times New Roman"/>
          <w:noProof/>
          <w:sz w:val="24"/>
          <w:szCs w:val="24"/>
          <w:lang w:val="en-US"/>
        </w:rPr>
        <w:t xml:space="preserve">(2013): Genome-wide signatures of differential DNA methylation in pediatric acute lymphoblastic leukemia. </w:t>
      </w:r>
      <w:r w:rsidRPr="004360D6">
        <w:rPr>
          <w:rFonts w:ascii="Times New Roman" w:hAnsi="Times New Roman" w:cs="Times New Roman"/>
          <w:i/>
          <w:iCs/>
          <w:noProof/>
          <w:sz w:val="24"/>
          <w:szCs w:val="24"/>
          <w:lang w:val="en-US"/>
        </w:rPr>
        <w:t>Genome Biol</w:t>
      </w:r>
      <w:r w:rsidRPr="004360D6">
        <w:rPr>
          <w:rFonts w:ascii="Times New Roman" w:hAnsi="Times New Roman" w:cs="Times New Roman"/>
          <w:noProof/>
          <w:sz w:val="24"/>
          <w:szCs w:val="24"/>
          <w:lang w:val="en-US"/>
        </w:rPr>
        <w:t xml:space="preserve"> 14. https://doi.org/10.1186/gb-2013-14-9-r105</w:t>
      </w:r>
    </w:p>
    <w:p w14:paraId="2DF9D2E3"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7. Zhou W, Laird PW, Shen H (2017): Comprehensive characterization, annotation and innovative use of Infinium DNA methylation BeadChip probes. </w:t>
      </w:r>
      <w:r w:rsidRPr="004360D6">
        <w:rPr>
          <w:rFonts w:ascii="Times New Roman" w:hAnsi="Times New Roman" w:cs="Times New Roman"/>
          <w:i/>
          <w:iCs/>
          <w:noProof/>
          <w:sz w:val="24"/>
          <w:szCs w:val="24"/>
          <w:lang w:val="en-US"/>
        </w:rPr>
        <w:t>Nucleic Acids Res</w:t>
      </w:r>
      <w:r w:rsidRPr="004360D6">
        <w:rPr>
          <w:rFonts w:ascii="Times New Roman" w:hAnsi="Times New Roman" w:cs="Times New Roman"/>
          <w:noProof/>
          <w:sz w:val="24"/>
          <w:szCs w:val="24"/>
          <w:lang w:val="en-US"/>
        </w:rPr>
        <w:t xml:space="preserve"> 45: e22.</w:t>
      </w:r>
    </w:p>
    <w:p w14:paraId="641C1558"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8. Howe KL, Achuthan P, Allen J, Allen J, Alvarez-Jarreta J, Ridwan Amode M,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(2021): Ensembl 2021. </w:t>
      </w:r>
      <w:r w:rsidRPr="004360D6">
        <w:rPr>
          <w:rFonts w:ascii="Times New Roman" w:hAnsi="Times New Roman" w:cs="Times New Roman"/>
          <w:i/>
          <w:iCs/>
          <w:noProof/>
          <w:sz w:val="24"/>
          <w:szCs w:val="24"/>
          <w:lang w:val="en-US"/>
        </w:rPr>
        <w:t>Nucleic Acids Res</w:t>
      </w:r>
      <w:r w:rsidRPr="004360D6">
        <w:rPr>
          <w:rFonts w:ascii="Times New Roman" w:hAnsi="Times New Roman" w:cs="Times New Roman"/>
          <w:noProof/>
          <w:sz w:val="24"/>
          <w:szCs w:val="24"/>
          <w:lang w:val="en-US"/>
        </w:rPr>
        <w:t xml:space="preserve"> 49: D884–D891.</w:t>
      </w:r>
    </w:p>
    <w:p w14:paraId="246BCABB"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9. Bray NL, Pimentel H, Melsted P, Pachter L (2016): Near-optimal probabilistic RNA-seq quantification. </w:t>
      </w:r>
      <w:r w:rsidRPr="004360D6">
        <w:rPr>
          <w:rFonts w:ascii="Times New Roman" w:hAnsi="Times New Roman" w:cs="Times New Roman"/>
          <w:i/>
          <w:iCs/>
          <w:noProof/>
          <w:sz w:val="24"/>
          <w:szCs w:val="24"/>
          <w:lang w:val="en-US"/>
        </w:rPr>
        <w:t>Nat Biotechnol</w:t>
      </w:r>
      <w:r w:rsidRPr="004360D6">
        <w:rPr>
          <w:rFonts w:ascii="Times New Roman" w:hAnsi="Times New Roman" w:cs="Times New Roman"/>
          <w:noProof/>
          <w:sz w:val="24"/>
          <w:szCs w:val="24"/>
          <w:lang w:val="en-US"/>
        </w:rPr>
        <w:t xml:space="preserve"> 34: 525–527.</w:t>
      </w:r>
    </w:p>
    <w:p w14:paraId="564D21C7"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10. Love MI, Huber W, Anders S (2014): Moderated estimation of fold change and dispersion for RNA-seq data with DESeq2. </w:t>
      </w:r>
      <w:r w:rsidRPr="004360D6">
        <w:rPr>
          <w:rFonts w:ascii="Times New Roman" w:hAnsi="Times New Roman" w:cs="Times New Roman"/>
          <w:i/>
          <w:iCs/>
          <w:noProof/>
          <w:sz w:val="24"/>
          <w:szCs w:val="24"/>
          <w:lang w:val="en-US"/>
        </w:rPr>
        <w:t>Genome Biol</w:t>
      </w:r>
      <w:r w:rsidRPr="004360D6">
        <w:rPr>
          <w:rFonts w:ascii="Times New Roman" w:hAnsi="Times New Roman" w:cs="Times New Roman"/>
          <w:noProof/>
          <w:sz w:val="24"/>
          <w:szCs w:val="24"/>
          <w:lang w:val="en-US"/>
        </w:rPr>
        <w:t xml:space="preserve"> 15: 550.</w:t>
      </w:r>
    </w:p>
    <w:p w14:paraId="6815B1D2"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11. Teschendorff AE, Menon U, Gentry-Maharaj A, Ramus SJ, Gayther SA, Apostolidou S,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(2009): An Epigenetic Signature in Peripheral Blood Predicts Active Ovarian Cancer. </w:t>
      </w:r>
      <w:r w:rsidRPr="004360D6">
        <w:rPr>
          <w:rFonts w:ascii="Times New Roman" w:hAnsi="Times New Roman" w:cs="Times New Roman"/>
          <w:i/>
          <w:iCs/>
          <w:noProof/>
          <w:sz w:val="24"/>
          <w:szCs w:val="24"/>
          <w:lang w:val="en-US"/>
        </w:rPr>
        <w:t>PLoS One</w:t>
      </w:r>
      <w:r w:rsidRPr="004360D6">
        <w:rPr>
          <w:rFonts w:ascii="Times New Roman" w:hAnsi="Times New Roman" w:cs="Times New Roman"/>
          <w:noProof/>
          <w:sz w:val="24"/>
          <w:szCs w:val="24"/>
          <w:lang w:val="en-US"/>
        </w:rPr>
        <w:t xml:space="preserve"> 4: e8274.</w:t>
      </w:r>
    </w:p>
    <w:p w14:paraId="2353C006"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12. Ray MA, Tong X, Lockett GA, Zhang H, Karmaus WJJ (2016): An Efficient Approach to Screening Epigenome-Wide Data. </w:t>
      </w:r>
      <w:r w:rsidRPr="004360D6">
        <w:rPr>
          <w:rFonts w:ascii="Times New Roman" w:hAnsi="Times New Roman" w:cs="Times New Roman"/>
          <w:i/>
          <w:iCs/>
          <w:noProof/>
          <w:sz w:val="24"/>
          <w:szCs w:val="24"/>
          <w:lang w:val="en-US"/>
        </w:rPr>
        <w:t>Biomed Res Int</w:t>
      </w:r>
      <w:r w:rsidRPr="004360D6">
        <w:rPr>
          <w:rFonts w:ascii="Times New Roman" w:hAnsi="Times New Roman" w:cs="Times New Roman"/>
          <w:noProof/>
          <w:sz w:val="24"/>
          <w:szCs w:val="24"/>
          <w:lang w:val="en-US"/>
        </w:rPr>
        <w:t xml:space="preserve"> 2016. https://doi.org/10.1155/2016/2615348</w:t>
      </w:r>
    </w:p>
    <w:p w14:paraId="5EFA6DE2"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13. Hong S, Prokopenko D, Dobricic V, Kilpert F, Bos I, Vos SJB,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(2020): Genome-wide association study of Alzheimer’s disease CSF biomarkers in the EMIF-AD Multimodal Biomarker Discovery dataset. </w:t>
      </w:r>
      <w:r w:rsidRPr="004360D6">
        <w:rPr>
          <w:rFonts w:ascii="Times New Roman" w:hAnsi="Times New Roman" w:cs="Times New Roman"/>
          <w:i/>
          <w:iCs/>
          <w:noProof/>
          <w:sz w:val="24"/>
          <w:szCs w:val="24"/>
          <w:lang w:val="en-US"/>
        </w:rPr>
        <w:t>Transl Psychiatry</w:t>
      </w:r>
      <w:r w:rsidRPr="004360D6">
        <w:rPr>
          <w:rFonts w:ascii="Times New Roman" w:hAnsi="Times New Roman" w:cs="Times New Roman"/>
          <w:noProof/>
          <w:sz w:val="24"/>
          <w:szCs w:val="24"/>
          <w:lang w:val="en-US"/>
        </w:rPr>
        <w:t xml:space="preserve"> 10: 1–12.</w:t>
      </w:r>
    </w:p>
    <w:p w14:paraId="485670C9"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14. Lunnon K, Smith R, Hannon E, De Jager PL, Srivastava G, Volta M,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(2014): Methylomic profiling implicates cortical deregulation of ANK1 in Alzheimer’s disease. </w:t>
      </w:r>
      <w:r w:rsidRPr="004360D6">
        <w:rPr>
          <w:rFonts w:ascii="Times New Roman" w:hAnsi="Times New Roman" w:cs="Times New Roman"/>
          <w:i/>
          <w:iCs/>
          <w:noProof/>
          <w:sz w:val="24"/>
          <w:szCs w:val="24"/>
          <w:lang w:val="en-US"/>
        </w:rPr>
        <w:t>Nat Neurosci</w:t>
      </w:r>
      <w:r w:rsidRPr="004360D6">
        <w:rPr>
          <w:rFonts w:ascii="Times New Roman" w:hAnsi="Times New Roman" w:cs="Times New Roman"/>
          <w:noProof/>
          <w:sz w:val="24"/>
          <w:szCs w:val="24"/>
          <w:lang w:val="en-US"/>
        </w:rPr>
        <w:t xml:space="preserve"> 17: 1164–1170.</w:t>
      </w:r>
    </w:p>
    <w:p w14:paraId="3731A843"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15. Smith AR, Smith RG, Pishva E, Hannon E, Roubroeks JAY, Burrage J,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(2019): Parallel profiling of DNA methylation and hydroxymethylation highlights neuropathology-associated epigenetic variation in Alzheimer’s disease. </w:t>
      </w:r>
      <w:r w:rsidRPr="004360D6">
        <w:rPr>
          <w:rFonts w:ascii="Times New Roman" w:hAnsi="Times New Roman" w:cs="Times New Roman"/>
          <w:i/>
          <w:iCs/>
          <w:noProof/>
          <w:sz w:val="24"/>
          <w:szCs w:val="24"/>
          <w:lang w:val="en-US"/>
        </w:rPr>
        <w:t>Clin Epigenetics</w:t>
      </w:r>
      <w:r w:rsidRPr="004360D6">
        <w:rPr>
          <w:rFonts w:ascii="Times New Roman" w:hAnsi="Times New Roman" w:cs="Times New Roman"/>
          <w:noProof/>
          <w:sz w:val="24"/>
          <w:szCs w:val="24"/>
          <w:lang w:val="en-US"/>
        </w:rPr>
        <w:t xml:space="preserve"> </w:t>
      </w:r>
      <w:r w:rsidRPr="004360D6">
        <w:rPr>
          <w:rFonts w:ascii="Times New Roman" w:hAnsi="Times New Roman" w:cs="Times New Roman"/>
          <w:noProof/>
          <w:sz w:val="24"/>
          <w:szCs w:val="24"/>
          <w:lang w:val="en-US"/>
        </w:rPr>
        <w:lastRenderedPageBreak/>
        <w:t>11: 1–13.</w:t>
      </w:r>
    </w:p>
    <w:p w14:paraId="0710D2A2"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16. Shireby GL, Davies JP, Francis PT, Burrage J, Walker EM, Neilson GWA,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(2020): Recalibrating the epigenetic clock: implications for assessing biological age in the human cortex. </w:t>
      </w:r>
      <w:r w:rsidRPr="004360D6">
        <w:rPr>
          <w:rFonts w:ascii="Times New Roman" w:hAnsi="Times New Roman" w:cs="Times New Roman"/>
          <w:i/>
          <w:iCs/>
          <w:noProof/>
          <w:sz w:val="24"/>
          <w:szCs w:val="24"/>
          <w:lang w:val="en-US"/>
        </w:rPr>
        <w:t>Brain</w:t>
      </w:r>
      <w:r w:rsidRPr="004360D6">
        <w:rPr>
          <w:rFonts w:ascii="Times New Roman" w:hAnsi="Times New Roman" w:cs="Times New Roman"/>
          <w:noProof/>
          <w:sz w:val="24"/>
          <w:szCs w:val="24"/>
          <w:lang w:val="en-US"/>
        </w:rPr>
        <w:t xml:space="preserve"> 143: 3763–3775.</w:t>
      </w:r>
    </w:p>
    <w:p w14:paraId="2B6D3E7C"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17. Hannum G, Guinney J, Zhao L, Zhang L, Hughes G, Sadda S,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(2013): Genome-wide Methylation Profiles Reveal Quantitative Views of Human Aging Rates. </w:t>
      </w:r>
      <w:r w:rsidRPr="004360D6">
        <w:rPr>
          <w:rFonts w:ascii="Times New Roman" w:hAnsi="Times New Roman" w:cs="Times New Roman"/>
          <w:i/>
          <w:iCs/>
          <w:noProof/>
          <w:sz w:val="24"/>
          <w:szCs w:val="24"/>
          <w:lang w:val="en-US"/>
        </w:rPr>
        <w:t>Mol Cell</w:t>
      </w:r>
      <w:r w:rsidRPr="004360D6">
        <w:rPr>
          <w:rFonts w:ascii="Times New Roman" w:hAnsi="Times New Roman" w:cs="Times New Roman"/>
          <w:noProof/>
          <w:sz w:val="24"/>
          <w:szCs w:val="24"/>
          <w:lang w:val="en-US"/>
        </w:rPr>
        <w:t xml:space="preserve"> 49: 359–367.</w:t>
      </w:r>
    </w:p>
    <w:p w14:paraId="1902E647"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4360D6">
        <w:rPr>
          <w:rFonts w:ascii="Times New Roman" w:hAnsi="Times New Roman" w:cs="Times New Roman"/>
          <w:noProof/>
          <w:sz w:val="24"/>
          <w:szCs w:val="24"/>
          <w:lang w:val="en-US"/>
        </w:rPr>
        <w:t xml:space="preserve">18. Levine ME, Lu AT, Quach A, Chen BH, Assimes TL, Bandinelli S,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(2018): An epigenetic biomarker of aging for lifespan and healthspan. </w:t>
      </w:r>
      <w:r w:rsidRPr="004360D6">
        <w:rPr>
          <w:rFonts w:ascii="Times New Roman" w:hAnsi="Times New Roman" w:cs="Times New Roman"/>
          <w:i/>
          <w:iCs/>
          <w:noProof/>
          <w:sz w:val="24"/>
          <w:szCs w:val="24"/>
          <w:lang w:val="en-US"/>
        </w:rPr>
        <w:t>bioRxiv</w:t>
      </w:r>
      <w:r w:rsidRPr="004360D6">
        <w:rPr>
          <w:rFonts w:ascii="Times New Roman" w:hAnsi="Times New Roman" w:cs="Times New Roman"/>
          <w:noProof/>
          <w:sz w:val="24"/>
          <w:szCs w:val="24"/>
          <w:lang w:val="en-US"/>
        </w:rPr>
        <w:t xml:space="preserve"> 10: 573–591.</w:t>
      </w:r>
    </w:p>
    <w:p w14:paraId="1F48F35C" w14:textId="77777777" w:rsidR="00D819CE" w:rsidRPr="004360D6" w:rsidRDefault="00D819CE" w:rsidP="00D819CE">
      <w:pPr>
        <w:widowControl w:val="0"/>
        <w:autoSpaceDE w:val="0"/>
        <w:autoSpaceDN w:val="0"/>
        <w:adjustRightInd w:val="0"/>
        <w:spacing w:line="240" w:lineRule="auto"/>
        <w:ind w:left="480" w:hanging="480"/>
        <w:rPr>
          <w:rFonts w:ascii="Times New Roman" w:hAnsi="Times New Roman" w:cs="Times New Roman"/>
          <w:noProof/>
          <w:sz w:val="24"/>
        </w:rPr>
      </w:pPr>
      <w:r w:rsidRPr="004360D6">
        <w:rPr>
          <w:rFonts w:ascii="Times New Roman" w:hAnsi="Times New Roman" w:cs="Times New Roman"/>
          <w:noProof/>
          <w:sz w:val="24"/>
          <w:szCs w:val="24"/>
          <w:lang w:val="en-US"/>
        </w:rPr>
        <w:t xml:space="preserve">19. Lu AT, Quach A, Wilson JG, Reiner AP, Aviv A, Raj K, </w:t>
      </w:r>
      <w:r w:rsidRPr="004360D6">
        <w:rPr>
          <w:rFonts w:ascii="Times New Roman" w:hAnsi="Times New Roman" w:cs="Times New Roman"/>
          <w:i/>
          <w:iCs/>
          <w:noProof/>
          <w:sz w:val="24"/>
          <w:szCs w:val="24"/>
          <w:lang w:val="en-US"/>
        </w:rPr>
        <w:t>et al.</w:t>
      </w:r>
      <w:r w:rsidRPr="004360D6">
        <w:rPr>
          <w:rFonts w:ascii="Times New Roman" w:hAnsi="Times New Roman" w:cs="Times New Roman"/>
          <w:noProof/>
          <w:sz w:val="24"/>
          <w:szCs w:val="24"/>
          <w:lang w:val="en-US"/>
        </w:rPr>
        <w:t xml:space="preserve"> (2019): DNA methylation GrimAge strongly predicts lifespan and healthspan. </w:t>
      </w:r>
      <w:r w:rsidRPr="004360D6">
        <w:rPr>
          <w:rFonts w:ascii="Times New Roman" w:hAnsi="Times New Roman" w:cs="Times New Roman"/>
          <w:i/>
          <w:iCs/>
          <w:noProof/>
          <w:sz w:val="24"/>
          <w:szCs w:val="24"/>
        </w:rPr>
        <w:t>Aging (Albany NY)</w:t>
      </w:r>
      <w:r w:rsidRPr="004360D6">
        <w:rPr>
          <w:rFonts w:ascii="Times New Roman" w:hAnsi="Times New Roman" w:cs="Times New Roman"/>
          <w:noProof/>
          <w:sz w:val="24"/>
          <w:szCs w:val="24"/>
        </w:rPr>
        <w:t xml:space="preserve"> 11: 303–327.</w:t>
      </w:r>
    </w:p>
    <w:p w14:paraId="7C5FD09D" w14:textId="6B2CBDFC" w:rsidR="00F761A2" w:rsidRPr="000B4A16" w:rsidRDefault="00E24CE8" w:rsidP="00AB49CD">
      <w:pPr>
        <w:spacing w:line="480" w:lineRule="auto"/>
        <w:jc w:val="both"/>
        <w:rPr>
          <w:rFonts w:ascii="Times New Roman" w:hAnsi="Times New Roman" w:cs="Times New Roman"/>
          <w:color w:val="000000" w:themeColor="text1"/>
          <w:sz w:val="24"/>
          <w:szCs w:val="24"/>
          <w:lang w:val="en-GB"/>
        </w:rPr>
      </w:pPr>
      <w:r w:rsidRPr="004360D6">
        <w:rPr>
          <w:rFonts w:ascii="Times New Roman" w:hAnsi="Times New Roman" w:cs="Times New Roman"/>
          <w:color w:val="000000" w:themeColor="text1"/>
          <w:sz w:val="24"/>
          <w:szCs w:val="24"/>
          <w:lang w:val="en-GB"/>
        </w:rPr>
        <w:fldChar w:fldCharType="end"/>
      </w:r>
    </w:p>
    <w:p w14:paraId="08E8DC23" w14:textId="77777777" w:rsidR="00A32431" w:rsidRDefault="00000000"/>
    <w:sectPr w:rsidR="00A32431" w:rsidSect="0088144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A8B80" w14:textId="77777777" w:rsidR="0031194F" w:rsidRDefault="0031194F" w:rsidP="000611FF">
      <w:pPr>
        <w:spacing w:after="0" w:line="240" w:lineRule="auto"/>
      </w:pPr>
      <w:r>
        <w:separator/>
      </w:r>
    </w:p>
  </w:endnote>
  <w:endnote w:type="continuationSeparator" w:id="0">
    <w:p w14:paraId="1D4B7557" w14:textId="77777777" w:rsidR="0031194F" w:rsidRDefault="0031194F" w:rsidP="0006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A94" w14:textId="72DB2EB3" w:rsidR="000611FF" w:rsidRPr="000611FF" w:rsidRDefault="000611FF">
    <w:pPr>
      <w:pStyle w:val="Footer"/>
      <w:rPr>
        <w:lang w:val="en-US"/>
      </w:rPr>
    </w:pPr>
    <w:r>
      <w:rPr>
        <w:lang w:val="en-US"/>
      </w:rPr>
      <w:t xml:space="preserve">Page </w:t>
    </w:r>
    <w:r w:rsidRPr="000611FF">
      <w:rPr>
        <w:lang w:val="en-US"/>
      </w:rPr>
      <w:fldChar w:fldCharType="begin"/>
    </w:r>
    <w:r w:rsidRPr="000611FF">
      <w:rPr>
        <w:lang w:val="en-US"/>
      </w:rPr>
      <w:instrText xml:space="preserve"> PAGE   \* MERGEFORMAT </w:instrText>
    </w:r>
    <w:r w:rsidRPr="000611FF">
      <w:rPr>
        <w:lang w:val="en-US"/>
      </w:rPr>
      <w:fldChar w:fldCharType="separate"/>
    </w:r>
    <w:r w:rsidR="00D71741">
      <w:rPr>
        <w:noProof/>
        <w:lang w:val="en-US"/>
      </w:rPr>
      <w:t>1</w:t>
    </w:r>
    <w:r w:rsidRPr="000611FF">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8C5A" w14:textId="77777777" w:rsidR="0031194F" w:rsidRDefault="0031194F" w:rsidP="000611FF">
      <w:pPr>
        <w:spacing w:after="0" w:line="240" w:lineRule="auto"/>
      </w:pPr>
      <w:r>
        <w:separator/>
      </w:r>
    </w:p>
  </w:footnote>
  <w:footnote w:type="continuationSeparator" w:id="0">
    <w:p w14:paraId="64B8E3B7" w14:textId="77777777" w:rsidR="0031194F" w:rsidRDefault="0031194F" w:rsidP="00061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C4FC9"/>
    <w:multiLevelType w:val="hybridMultilevel"/>
    <w:tmpl w:val="51B05700"/>
    <w:lvl w:ilvl="0" w:tplc="E318B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02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D80"/>
    <w:rsid w:val="00042366"/>
    <w:rsid w:val="000611FF"/>
    <w:rsid w:val="00096B3C"/>
    <w:rsid w:val="000A224E"/>
    <w:rsid w:val="000D5011"/>
    <w:rsid w:val="00100B46"/>
    <w:rsid w:val="001336EA"/>
    <w:rsid w:val="001558BA"/>
    <w:rsid w:val="00177463"/>
    <w:rsid w:val="00185503"/>
    <w:rsid w:val="00197C6C"/>
    <w:rsid w:val="00201311"/>
    <w:rsid w:val="00207C20"/>
    <w:rsid w:val="00246393"/>
    <w:rsid w:val="00264D80"/>
    <w:rsid w:val="00293787"/>
    <w:rsid w:val="00295FA3"/>
    <w:rsid w:val="002D4B8A"/>
    <w:rsid w:val="002D7169"/>
    <w:rsid w:val="002E22B1"/>
    <w:rsid w:val="00310093"/>
    <w:rsid w:val="0031194F"/>
    <w:rsid w:val="0031544D"/>
    <w:rsid w:val="00394D13"/>
    <w:rsid w:val="003C2DB4"/>
    <w:rsid w:val="003D3088"/>
    <w:rsid w:val="00407A5E"/>
    <w:rsid w:val="00424902"/>
    <w:rsid w:val="004360D6"/>
    <w:rsid w:val="00473C8A"/>
    <w:rsid w:val="00481E5A"/>
    <w:rsid w:val="004A1E8E"/>
    <w:rsid w:val="004C2003"/>
    <w:rsid w:val="004F324D"/>
    <w:rsid w:val="00527220"/>
    <w:rsid w:val="00537960"/>
    <w:rsid w:val="005426DA"/>
    <w:rsid w:val="005436BC"/>
    <w:rsid w:val="00584ECA"/>
    <w:rsid w:val="00586720"/>
    <w:rsid w:val="005A5DDF"/>
    <w:rsid w:val="005C1F37"/>
    <w:rsid w:val="005D223E"/>
    <w:rsid w:val="005D4139"/>
    <w:rsid w:val="005F6E46"/>
    <w:rsid w:val="00600766"/>
    <w:rsid w:val="00622539"/>
    <w:rsid w:val="0063733A"/>
    <w:rsid w:val="00637E6B"/>
    <w:rsid w:val="006501E7"/>
    <w:rsid w:val="00687642"/>
    <w:rsid w:val="006978FF"/>
    <w:rsid w:val="00713674"/>
    <w:rsid w:val="00726F8A"/>
    <w:rsid w:val="007355AE"/>
    <w:rsid w:val="007476A0"/>
    <w:rsid w:val="00795E3D"/>
    <w:rsid w:val="00800F2B"/>
    <w:rsid w:val="00802539"/>
    <w:rsid w:val="00817C0B"/>
    <w:rsid w:val="00827988"/>
    <w:rsid w:val="00833EC5"/>
    <w:rsid w:val="0085079A"/>
    <w:rsid w:val="0085481E"/>
    <w:rsid w:val="0088144A"/>
    <w:rsid w:val="008B7FE3"/>
    <w:rsid w:val="008C3258"/>
    <w:rsid w:val="008C7D04"/>
    <w:rsid w:val="008E20C4"/>
    <w:rsid w:val="00947666"/>
    <w:rsid w:val="009B36F3"/>
    <w:rsid w:val="009C750A"/>
    <w:rsid w:val="009F3D1A"/>
    <w:rsid w:val="00A33D82"/>
    <w:rsid w:val="00A46691"/>
    <w:rsid w:val="00A52203"/>
    <w:rsid w:val="00A82051"/>
    <w:rsid w:val="00A869A6"/>
    <w:rsid w:val="00A91279"/>
    <w:rsid w:val="00AA161A"/>
    <w:rsid w:val="00AB0527"/>
    <w:rsid w:val="00AB49CD"/>
    <w:rsid w:val="00B155CD"/>
    <w:rsid w:val="00B50E45"/>
    <w:rsid w:val="00B6385E"/>
    <w:rsid w:val="00BD4092"/>
    <w:rsid w:val="00BE1D7E"/>
    <w:rsid w:val="00BF1EC2"/>
    <w:rsid w:val="00BF472F"/>
    <w:rsid w:val="00C079E1"/>
    <w:rsid w:val="00C12122"/>
    <w:rsid w:val="00C23EB7"/>
    <w:rsid w:val="00C26744"/>
    <w:rsid w:val="00CA64F7"/>
    <w:rsid w:val="00CC0B8C"/>
    <w:rsid w:val="00D0269C"/>
    <w:rsid w:val="00D11717"/>
    <w:rsid w:val="00D2700A"/>
    <w:rsid w:val="00D71741"/>
    <w:rsid w:val="00D8129C"/>
    <w:rsid w:val="00D819CE"/>
    <w:rsid w:val="00D9232E"/>
    <w:rsid w:val="00E15A0B"/>
    <w:rsid w:val="00E24CE8"/>
    <w:rsid w:val="00E34AC0"/>
    <w:rsid w:val="00E50097"/>
    <w:rsid w:val="00E641E5"/>
    <w:rsid w:val="00E761D2"/>
    <w:rsid w:val="00E775E6"/>
    <w:rsid w:val="00E77955"/>
    <w:rsid w:val="00E81421"/>
    <w:rsid w:val="00E95AFA"/>
    <w:rsid w:val="00EA7921"/>
    <w:rsid w:val="00EE319B"/>
    <w:rsid w:val="00EE3417"/>
    <w:rsid w:val="00F002B5"/>
    <w:rsid w:val="00F27AF1"/>
    <w:rsid w:val="00F56741"/>
    <w:rsid w:val="00F73EE7"/>
    <w:rsid w:val="00F761A2"/>
    <w:rsid w:val="00F81DAE"/>
    <w:rsid w:val="00FB2CB6"/>
    <w:rsid w:val="00FD0C8F"/>
    <w:rsid w:val="00FD7575"/>
    <w:rsid w:val="00FE163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F6D9"/>
  <w15:docId w15:val="{8B9CC68F-B907-41AE-B066-8D14DF25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9CD"/>
  </w:style>
  <w:style w:type="paragraph" w:styleId="Heading1">
    <w:name w:val="heading 1"/>
    <w:basedOn w:val="Normal"/>
    <w:next w:val="Normal"/>
    <w:link w:val="Heading1Char"/>
    <w:uiPriority w:val="9"/>
    <w:qFormat/>
    <w:rsid w:val="00A52203"/>
    <w:pPr>
      <w:keepNext/>
      <w:keepLines/>
      <w:spacing w:before="240" w:after="0" w:line="480" w:lineRule="auto"/>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52203"/>
    <w:pPr>
      <w:keepNext/>
      <w:keepLines/>
      <w:spacing w:before="40" w:after="0" w:line="480" w:lineRule="auto"/>
      <w:outlineLvl w:val="1"/>
    </w:pPr>
    <w:rPr>
      <w:rFonts w:ascii="Times New Roman" w:eastAsiaTheme="majorEastAsia" w:hAnsi="Times New Roman" w:cstheme="majorBidi"/>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2203"/>
    <w:rPr>
      <w:rFonts w:ascii="Times New Roman" w:eastAsiaTheme="majorEastAsia" w:hAnsi="Times New Roman" w:cstheme="majorBidi"/>
      <w:i/>
      <w:color w:val="000000" w:themeColor="text1"/>
      <w:sz w:val="24"/>
      <w:szCs w:val="26"/>
    </w:rPr>
  </w:style>
  <w:style w:type="paragraph" w:styleId="ListParagraph">
    <w:name w:val="List Paragraph"/>
    <w:basedOn w:val="Normal"/>
    <w:uiPriority w:val="34"/>
    <w:qFormat/>
    <w:rsid w:val="00AB49CD"/>
    <w:pPr>
      <w:ind w:left="720"/>
      <w:contextualSpacing/>
    </w:pPr>
  </w:style>
  <w:style w:type="character" w:customStyle="1" w:styleId="Heading1Char">
    <w:name w:val="Heading 1 Char"/>
    <w:basedOn w:val="DefaultParagraphFont"/>
    <w:link w:val="Heading1"/>
    <w:uiPriority w:val="9"/>
    <w:rsid w:val="00A52203"/>
    <w:rPr>
      <w:rFonts w:ascii="Times New Roman" w:eastAsiaTheme="majorEastAsia" w:hAnsi="Times New Roman" w:cstheme="majorBidi"/>
      <w:b/>
      <w:color w:val="000000" w:themeColor="text1"/>
      <w:sz w:val="24"/>
      <w:szCs w:val="32"/>
    </w:rPr>
  </w:style>
  <w:style w:type="paragraph" w:styleId="Title">
    <w:name w:val="Title"/>
    <w:basedOn w:val="Normal"/>
    <w:next w:val="Normal"/>
    <w:link w:val="TitleChar"/>
    <w:uiPriority w:val="10"/>
    <w:qFormat/>
    <w:rsid w:val="00E761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1D2"/>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407A5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8129C"/>
    <w:rPr>
      <w:sz w:val="16"/>
      <w:szCs w:val="16"/>
    </w:rPr>
  </w:style>
  <w:style w:type="paragraph" w:styleId="CommentText">
    <w:name w:val="annotation text"/>
    <w:basedOn w:val="Normal"/>
    <w:link w:val="CommentTextChar"/>
    <w:uiPriority w:val="99"/>
    <w:unhideWhenUsed/>
    <w:rsid w:val="00D8129C"/>
    <w:pPr>
      <w:spacing w:line="240" w:lineRule="auto"/>
    </w:pPr>
    <w:rPr>
      <w:sz w:val="20"/>
      <w:szCs w:val="20"/>
    </w:rPr>
  </w:style>
  <w:style w:type="character" w:customStyle="1" w:styleId="CommentTextChar">
    <w:name w:val="Comment Text Char"/>
    <w:basedOn w:val="DefaultParagraphFont"/>
    <w:link w:val="CommentText"/>
    <w:uiPriority w:val="99"/>
    <w:rsid w:val="00D8129C"/>
    <w:rPr>
      <w:sz w:val="20"/>
      <w:szCs w:val="20"/>
    </w:rPr>
  </w:style>
  <w:style w:type="paragraph" w:styleId="CommentSubject">
    <w:name w:val="annotation subject"/>
    <w:basedOn w:val="CommentText"/>
    <w:next w:val="CommentText"/>
    <w:link w:val="CommentSubjectChar"/>
    <w:uiPriority w:val="99"/>
    <w:semiHidden/>
    <w:unhideWhenUsed/>
    <w:rsid w:val="00D8129C"/>
    <w:rPr>
      <w:b/>
      <w:bCs/>
    </w:rPr>
  </w:style>
  <w:style w:type="character" w:customStyle="1" w:styleId="CommentSubjectChar">
    <w:name w:val="Comment Subject Char"/>
    <w:basedOn w:val="CommentTextChar"/>
    <w:link w:val="CommentSubject"/>
    <w:uiPriority w:val="99"/>
    <w:semiHidden/>
    <w:rsid w:val="00D8129C"/>
    <w:rPr>
      <w:b/>
      <w:bCs/>
      <w:sz w:val="20"/>
      <w:szCs w:val="20"/>
    </w:rPr>
  </w:style>
  <w:style w:type="character" w:styleId="Hyperlink">
    <w:name w:val="Hyperlink"/>
    <w:basedOn w:val="DefaultParagraphFont"/>
    <w:uiPriority w:val="99"/>
    <w:unhideWhenUsed/>
    <w:rsid w:val="00C12122"/>
    <w:rPr>
      <w:color w:val="0000FF"/>
      <w:u w:val="single"/>
    </w:rPr>
  </w:style>
  <w:style w:type="paragraph" w:styleId="Header">
    <w:name w:val="header"/>
    <w:basedOn w:val="Normal"/>
    <w:link w:val="HeaderChar"/>
    <w:uiPriority w:val="99"/>
    <w:unhideWhenUsed/>
    <w:rsid w:val="00061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1FF"/>
  </w:style>
  <w:style w:type="paragraph" w:styleId="Footer">
    <w:name w:val="footer"/>
    <w:basedOn w:val="Normal"/>
    <w:link w:val="FooterChar"/>
    <w:uiPriority w:val="99"/>
    <w:unhideWhenUsed/>
    <w:rsid w:val="00061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1FF"/>
  </w:style>
  <w:style w:type="paragraph" w:styleId="Revision">
    <w:name w:val="Revision"/>
    <w:hidden/>
    <w:uiPriority w:val="99"/>
    <w:semiHidden/>
    <w:rsid w:val="00E34AC0"/>
    <w:pPr>
      <w:spacing w:after="0" w:line="240" w:lineRule="auto"/>
    </w:pPr>
  </w:style>
  <w:style w:type="paragraph" w:styleId="BalloonText">
    <w:name w:val="Balloon Text"/>
    <w:basedOn w:val="Normal"/>
    <w:link w:val="BalloonTextChar"/>
    <w:uiPriority w:val="99"/>
    <w:semiHidden/>
    <w:unhideWhenUsed/>
    <w:rsid w:val="00D71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CDEEA-738F-4ED1-9DB9-4A19CBA4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14888</Words>
  <Characters>84862</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Sommerer</dc:creator>
  <cp:keywords/>
  <dc:description/>
  <cp:lastModifiedBy>Lars Bertram</cp:lastModifiedBy>
  <cp:revision>4</cp:revision>
  <dcterms:created xsi:type="dcterms:W3CDTF">2023-03-23T09:48:00Z</dcterms:created>
  <dcterms:modified xsi:type="dcterms:W3CDTF">2023-05-04T10:19:00Z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9ad4a67d-f7bd-3549-a0c9-515699a24574</vt:lpwstr>
  </property>
  <property fmtid="{D5CDD505-2E9C-101B-9397-08002B2CF9AE}" pid="4" name="Mendeley Citation Style_1">
    <vt:lpwstr>http://www.zotero.org/styles/biological-psychiatry</vt:lpwstr>
  </property>
  <property fmtid="{D5CDD505-2E9C-101B-9397-08002B2CF9AE}" pid="5" name="Mendeley Recent Style Id 0_1">
    <vt:lpwstr>http://csl.mendeley.com/styles/642031461/american-chemical-society-custom</vt:lpwstr>
  </property>
  <property fmtid="{D5CDD505-2E9C-101B-9397-08002B2CF9AE}" pid="6" name="Mendeley Recent Style Name 0_1">
    <vt:lpwstr>American Chemical Society - Yasmine Sommerer</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http://www.zotero.org/styles/biological-psychiatry</vt:lpwstr>
  </property>
  <property fmtid="{D5CDD505-2E9C-101B-9397-08002B2CF9AE}" pid="12" name="Mendeley Recent Style Name 3_1">
    <vt:lpwstr>Biological Psychiatry</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http://www.zotero.org/styles/molecular-neurodegeneration</vt:lpwstr>
  </property>
  <property fmtid="{D5CDD505-2E9C-101B-9397-08002B2CF9AE}" pid="22" name="Mendeley Recent Style Name 8_1">
    <vt:lpwstr>Molecular Neurodegeneration</vt:lpwstr>
  </property>
  <property fmtid="{D5CDD505-2E9C-101B-9397-08002B2CF9AE}" pid="23" name="Mendeley Recent Style Id 9_1">
    <vt:lpwstr>http://www.zotero.org/styles/nature-communications</vt:lpwstr>
  </property>
  <property fmtid="{D5CDD505-2E9C-101B-9397-08002B2CF9AE}" pid="24" name="Mendeley Recent Style Name 9_1">
    <vt:lpwstr>Nature Communications</vt:lpwstr>
  </property>
</Properties>
</file>