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62C1F" w14:textId="77777777" w:rsidR="00382360" w:rsidRPr="00AE6E1F" w:rsidRDefault="00382360" w:rsidP="000019F7">
      <w:pPr>
        <w:spacing w:line="360" w:lineRule="auto"/>
        <w:jc w:val="center"/>
        <w:rPr>
          <w:b/>
          <w:sz w:val="32"/>
          <w:szCs w:val="28"/>
          <w:u w:val="single"/>
          <w:lang w:val="en-GB"/>
        </w:rPr>
      </w:pPr>
      <w:r w:rsidRPr="00AE6E1F">
        <w:rPr>
          <w:b/>
          <w:sz w:val="32"/>
          <w:szCs w:val="28"/>
          <w:u w:val="single"/>
          <w:lang w:val="en-GB"/>
        </w:rPr>
        <w:t>Supplementary Material</w:t>
      </w:r>
    </w:p>
    <w:p w14:paraId="78988CE9" w14:textId="00D5DFB4" w:rsidR="009660CC" w:rsidRDefault="009660CC">
      <w:pPr>
        <w:spacing w:after="200" w:line="252" w:lineRule="auto"/>
        <w:rPr>
          <w:b/>
          <w:lang w:val="en-GB"/>
        </w:rPr>
      </w:pPr>
    </w:p>
    <w:p w14:paraId="45A6DB24" w14:textId="3DFF6BDA" w:rsidR="004A05D4" w:rsidRPr="00382360" w:rsidRDefault="002B37BD" w:rsidP="004C6CBE">
      <w:pPr>
        <w:tabs>
          <w:tab w:val="left" w:pos="2060"/>
        </w:tabs>
        <w:spacing w:line="480" w:lineRule="auto"/>
        <w:jc w:val="both"/>
        <w:rPr>
          <w:b/>
          <w:lang w:val="en-GB"/>
        </w:rPr>
      </w:pPr>
      <w:r>
        <w:rPr>
          <w:b/>
          <w:u w:val="single"/>
          <w:lang w:val="en-GB"/>
        </w:rPr>
        <w:t xml:space="preserve">Supplementary </w:t>
      </w:r>
      <w:r w:rsidR="003C63B9" w:rsidRPr="004C6CBE">
        <w:rPr>
          <w:b/>
          <w:u w:val="single"/>
          <w:lang w:val="en-GB"/>
        </w:rPr>
        <w:t>Table 1</w:t>
      </w:r>
      <w:r w:rsidR="003C63B9" w:rsidRPr="003C63B9">
        <w:rPr>
          <w:b/>
          <w:lang w:val="en-GB"/>
        </w:rPr>
        <w:t>:</w:t>
      </w:r>
      <w:r w:rsidR="00382360">
        <w:rPr>
          <w:b/>
          <w:lang w:val="en-GB"/>
        </w:rPr>
        <w:t xml:space="preserve"> </w:t>
      </w:r>
      <w:r w:rsidR="00AE6E1F">
        <w:rPr>
          <w:b/>
          <w:lang w:val="en-GB"/>
        </w:rPr>
        <w:t>Neuropsychological tests used for cognitive diagnosis</w:t>
      </w:r>
      <w:r w:rsidR="003C63B9" w:rsidRPr="003C63B9">
        <w:rPr>
          <w:b/>
          <w:lang w:val="en-GB"/>
        </w:rPr>
        <w:t>.</w:t>
      </w:r>
    </w:p>
    <w:tbl>
      <w:tblPr>
        <w:tblStyle w:val="Grilledutableau"/>
        <w:tblW w:w="9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3845"/>
        <w:gridCol w:w="3112"/>
      </w:tblGrid>
      <w:tr w:rsidR="00AE6E1F" w:rsidRPr="009427E0" w14:paraId="465FE08E" w14:textId="77777777" w:rsidTr="000B7D63">
        <w:trPr>
          <w:trHeight w:val="423"/>
        </w:trPr>
        <w:tc>
          <w:tcPr>
            <w:tcW w:w="2137" w:type="dxa"/>
            <w:tcBorders>
              <w:top w:val="single" w:sz="12" w:space="0" w:color="auto"/>
              <w:bottom w:val="single" w:sz="12" w:space="0" w:color="auto"/>
            </w:tcBorders>
            <w:vAlign w:val="center"/>
          </w:tcPr>
          <w:p w14:paraId="7F938DEA" w14:textId="0F8CBB0D" w:rsidR="00AE6E1F" w:rsidRPr="009427E0" w:rsidRDefault="00AE6E1F" w:rsidP="00E77687">
            <w:pPr>
              <w:tabs>
                <w:tab w:val="left" w:pos="2060"/>
              </w:tabs>
              <w:spacing w:line="276" w:lineRule="auto"/>
              <w:jc w:val="center"/>
              <w:rPr>
                <w:b/>
                <w:bCs/>
                <w:sz w:val="20"/>
                <w:szCs w:val="20"/>
                <w:lang w:val="en-GB"/>
              </w:rPr>
            </w:pPr>
            <w:r w:rsidRPr="009427E0">
              <w:rPr>
                <w:b/>
                <w:bCs/>
                <w:sz w:val="20"/>
                <w:szCs w:val="20"/>
                <w:lang w:val="en-GB"/>
              </w:rPr>
              <w:t>Cognitive domain</w:t>
            </w:r>
          </w:p>
        </w:tc>
        <w:tc>
          <w:tcPr>
            <w:tcW w:w="3845" w:type="dxa"/>
            <w:tcBorders>
              <w:top w:val="single" w:sz="12" w:space="0" w:color="auto"/>
              <w:bottom w:val="single" w:sz="12" w:space="0" w:color="auto"/>
            </w:tcBorders>
            <w:vAlign w:val="center"/>
          </w:tcPr>
          <w:p w14:paraId="5AB856F2" w14:textId="3CF31CDF" w:rsidR="00AE6E1F" w:rsidRPr="009427E0" w:rsidRDefault="00AE6E1F" w:rsidP="00E77687">
            <w:pPr>
              <w:tabs>
                <w:tab w:val="left" w:pos="2060"/>
              </w:tabs>
              <w:spacing w:line="276" w:lineRule="auto"/>
              <w:jc w:val="center"/>
              <w:rPr>
                <w:b/>
                <w:bCs/>
                <w:sz w:val="20"/>
                <w:szCs w:val="20"/>
                <w:lang w:val="en-GB"/>
              </w:rPr>
            </w:pPr>
            <w:r w:rsidRPr="009427E0">
              <w:rPr>
                <w:b/>
                <w:bCs/>
                <w:sz w:val="20"/>
                <w:szCs w:val="20"/>
                <w:lang w:val="en-GB"/>
              </w:rPr>
              <w:t xml:space="preserve">Core </w:t>
            </w:r>
            <w:r w:rsidR="00FC24D6" w:rsidRPr="009427E0">
              <w:rPr>
                <w:b/>
                <w:bCs/>
                <w:sz w:val="20"/>
                <w:szCs w:val="20"/>
                <w:lang w:val="en-GB"/>
              </w:rPr>
              <w:t>cognitive</w:t>
            </w:r>
            <w:r w:rsidRPr="009427E0">
              <w:rPr>
                <w:b/>
                <w:bCs/>
                <w:sz w:val="20"/>
                <w:szCs w:val="20"/>
                <w:lang w:val="en-GB"/>
              </w:rPr>
              <w:t xml:space="preserve"> tests</w:t>
            </w:r>
          </w:p>
        </w:tc>
        <w:tc>
          <w:tcPr>
            <w:tcW w:w="3112" w:type="dxa"/>
            <w:tcBorders>
              <w:top w:val="single" w:sz="12" w:space="0" w:color="auto"/>
              <w:bottom w:val="single" w:sz="12" w:space="0" w:color="auto"/>
            </w:tcBorders>
            <w:vAlign w:val="center"/>
          </w:tcPr>
          <w:p w14:paraId="6CEC7560" w14:textId="111D49D7" w:rsidR="00AE6E1F" w:rsidRPr="009427E0" w:rsidRDefault="00AE6E1F" w:rsidP="00E77687">
            <w:pPr>
              <w:tabs>
                <w:tab w:val="left" w:pos="2060"/>
              </w:tabs>
              <w:spacing w:line="276" w:lineRule="auto"/>
              <w:jc w:val="center"/>
              <w:rPr>
                <w:b/>
                <w:bCs/>
                <w:sz w:val="20"/>
                <w:szCs w:val="20"/>
                <w:lang w:val="en-GB"/>
              </w:rPr>
            </w:pPr>
            <w:r w:rsidRPr="009427E0">
              <w:rPr>
                <w:b/>
                <w:bCs/>
                <w:sz w:val="20"/>
                <w:szCs w:val="20"/>
                <w:lang w:val="en-GB"/>
              </w:rPr>
              <w:t xml:space="preserve">Additional </w:t>
            </w:r>
            <w:r w:rsidR="00FC24D6" w:rsidRPr="009427E0">
              <w:rPr>
                <w:b/>
                <w:bCs/>
                <w:sz w:val="20"/>
                <w:szCs w:val="20"/>
                <w:lang w:val="en-GB"/>
              </w:rPr>
              <w:t xml:space="preserve">cognitive </w:t>
            </w:r>
            <w:r w:rsidRPr="009427E0">
              <w:rPr>
                <w:b/>
                <w:bCs/>
                <w:sz w:val="20"/>
                <w:szCs w:val="20"/>
                <w:lang w:val="en-GB"/>
              </w:rPr>
              <w:t>tests</w:t>
            </w:r>
          </w:p>
        </w:tc>
      </w:tr>
      <w:tr w:rsidR="00AE6E1F" w:rsidRPr="009427E0" w14:paraId="5E5A04AE" w14:textId="77777777" w:rsidTr="000B7D63">
        <w:trPr>
          <w:trHeight w:val="295"/>
        </w:trPr>
        <w:tc>
          <w:tcPr>
            <w:tcW w:w="2137" w:type="dxa"/>
            <w:tcBorders>
              <w:top w:val="single" w:sz="12" w:space="0" w:color="auto"/>
              <w:bottom w:val="single" w:sz="6" w:space="0" w:color="auto"/>
            </w:tcBorders>
            <w:vAlign w:val="center"/>
          </w:tcPr>
          <w:p w14:paraId="67368B04" w14:textId="24FF8F04" w:rsidR="00AE6E1F" w:rsidRPr="009427E0" w:rsidRDefault="00AE6E1F" w:rsidP="00E77687">
            <w:pPr>
              <w:tabs>
                <w:tab w:val="left" w:pos="2060"/>
              </w:tabs>
              <w:spacing w:line="276" w:lineRule="auto"/>
              <w:rPr>
                <w:b/>
                <w:bCs/>
                <w:i/>
                <w:iCs/>
                <w:color w:val="000000" w:themeColor="text1"/>
                <w:sz w:val="20"/>
                <w:szCs w:val="20"/>
                <w:lang w:val="en-GB"/>
              </w:rPr>
            </w:pPr>
            <w:r w:rsidRPr="009427E0">
              <w:rPr>
                <w:b/>
                <w:bCs/>
                <w:i/>
                <w:iCs/>
                <w:color w:val="000000" w:themeColor="text1"/>
                <w:sz w:val="20"/>
                <w:szCs w:val="20"/>
                <w:lang w:val="en-GB"/>
              </w:rPr>
              <w:t>Global cognitive functioning</w:t>
            </w:r>
          </w:p>
        </w:tc>
        <w:tc>
          <w:tcPr>
            <w:tcW w:w="3845" w:type="dxa"/>
            <w:tcBorders>
              <w:top w:val="single" w:sz="12" w:space="0" w:color="auto"/>
              <w:bottom w:val="single" w:sz="6" w:space="0" w:color="auto"/>
            </w:tcBorders>
            <w:vAlign w:val="center"/>
          </w:tcPr>
          <w:p w14:paraId="327FF3B8" w14:textId="7A35D56C" w:rsidR="00AE6E1F" w:rsidRPr="009427E0" w:rsidRDefault="00A9503C" w:rsidP="007B0463">
            <w:pPr>
              <w:tabs>
                <w:tab w:val="left" w:pos="2060"/>
              </w:tabs>
              <w:spacing w:line="276" w:lineRule="auto"/>
              <w:rPr>
                <w:color w:val="000000" w:themeColor="text1"/>
                <w:sz w:val="20"/>
                <w:szCs w:val="20"/>
                <w:lang w:val="en-GB"/>
              </w:rPr>
            </w:pPr>
            <w:r w:rsidRPr="009427E0">
              <w:rPr>
                <w:color w:val="000000" w:themeColor="text1"/>
                <w:sz w:val="20"/>
                <w:szCs w:val="20"/>
                <w:lang w:val="en-GB"/>
              </w:rPr>
              <w:t>MoCA</w:t>
            </w:r>
            <w:r w:rsidR="009A02A4" w:rsidRPr="009427E0">
              <w:rPr>
                <w:color w:val="000000" w:themeColor="text1"/>
                <w:sz w:val="20"/>
                <w:szCs w:val="20"/>
                <w:vertAlign w:val="superscript"/>
                <w:lang w:val="en-GB"/>
              </w:rPr>
              <w:t>1</w:t>
            </w:r>
          </w:p>
        </w:tc>
        <w:tc>
          <w:tcPr>
            <w:tcW w:w="3112" w:type="dxa"/>
            <w:tcBorders>
              <w:top w:val="single" w:sz="12" w:space="0" w:color="auto"/>
              <w:bottom w:val="single" w:sz="6" w:space="0" w:color="auto"/>
            </w:tcBorders>
            <w:vAlign w:val="center"/>
          </w:tcPr>
          <w:p w14:paraId="71B59675" w14:textId="09572562" w:rsidR="00AE6E1F" w:rsidRPr="009427E0" w:rsidRDefault="00A9503C" w:rsidP="007B0463">
            <w:pPr>
              <w:tabs>
                <w:tab w:val="left" w:pos="2060"/>
              </w:tabs>
              <w:spacing w:line="276" w:lineRule="auto"/>
              <w:rPr>
                <w:color w:val="000000" w:themeColor="text1"/>
                <w:sz w:val="20"/>
                <w:szCs w:val="20"/>
                <w:lang w:val="en-GB"/>
              </w:rPr>
            </w:pPr>
            <w:r w:rsidRPr="009427E0">
              <w:rPr>
                <w:color w:val="000000" w:themeColor="text1"/>
                <w:sz w:val="20"/>
                <w:szCs w:val="20"/>
                <w:lang w:val="en-GB"/>
              </w:rPr>
              <w:t>MMSE</w:t>
            </w:r>
          </w:p>
        </w:tc>
      </w:tr>
      <w:tr w:rsidR="00AE6E1F" w:rsidRPr="009427E0" w14:paraId="56AFE481" w14:textId="77777777" w:rsidTr="000B7D63">
        <w:trPr>
          <w:trHeight w:val="61"/>
        </w:trPr>
        <w:tc>
          <w:tcPr>
            <w:tcW w:w="2137" w:type="dxa"/>
            <w:tcBorders>
              <w:top w:val="single" w:sz="6" w:space="0" w:color="auto"/>
              <w:bottom w:val="single" w:sz="6" w:space="0" w:color="auto"/>
            </w:tcBorders>
            <w:vAlign w:val="center"/>
          </w:tcPr>
          <w:p w14:paraId="3E7282EB" w14:textId="1E2A6AEC" w:rsidR="00AE6E1F" w:rsidRPr="009427E0" w:rsidRDefault="00AE6E1F" w:rsidP="00E77687">
            <w:pPr>
              <w:tabs>
                <w:tab w:val="left" w:pos="2060"/>
              </w:tabs>
              <w:spacing w:line="276" w:lineRule="auto"/>
              <w:rPr>
                <w:b/>
                <w:bCs/>
                <w:i/>
                <w:iCs/>
                <w:color w:val="000000" w:themeColor="text1"/>
                <w:sz w:val="20"/>
                <w:szCs w:val="20"/>
                <w:lang w:val="en-GB"/>
              </w:rPr>
            </w:pPr>
            <w:r w:rsidRPr="009427E0">
              <w:rPr>
                <w:b/>
                <w:bCs/>
                <w:i/>
                <w:iCs/>
                <w:color w:val="000000" w:themeColor="text1"/>
                <w:sz w:val="20"/>
                <w:szCs w:val="20"/>
                <w:lang w:val="en-GB"/>
              </w:rPr>
              <w:t>Attention and processing speed</w:t>
            </w:r>
          </w:p>
        </w:tc>
        <w:tc>
          <w:tcPr>
            <w:tcW w:w="3845" w:type="dxa"/>
            <w:tcBorders>
              <w:top w:val="single" w:sz="6" w:space="0" w:color="auto"/>
              <w:bottom w:val="single" w:sz="6" w:space="0" w:color="auto"/>
            </w:tcBorders>
            <w:vAlign w:val="center"/>
          </w:tcPr>
          <w:p w14:paraId="47CA21D5" w14:textId="77777777" w:rsidR="00B57855" w:rsidRPr="009427E0" w:rsidRDefault="00B57855" w:rsidP="007B0463">
            <w:pPr>
              <w:tabs>
                <w:tab w:val="left" w:pos="2060"/>
              </w:tabs>
              <w:spacing w:line="276" w:lineRule="auto"/>
              <w:rPr>
                <w:color w:val="000000" w:themeColor="text1"/>
                <w:sz w:val="20"/>
                <w:szCs w:val="20"/>
                <w:lang w:val="en-US"/>
              </w:rPr>
            </w:pPr>
            <w:r w:rsidRPr="009427E0">
              <w:rPr>
                <w:color w:val="000000" w:themeColor="text1"/>
                <w:sz w:val="20"/>
                <w:szCs w:val="20"/>
                <w:lang w:val="en-US"/>
              </w:rPr>
              <w:t>D-KEFS Stroop test:</w:t>
            </w:r>
          </w:p>
          <w:p w14:paraId="03AD8B92" w14:textId="57007660" w:rsidR="00361C2F" w:rsidRPr="009427E0" w:rsidRDefault="00AE6E1F" w:rsidP="007B0463">
            <w:pPr>
              <w:pStyle w:val="Paragraphedeliste"/>
              <w:numPr>
                <w:ilvl w:val="0"/>
                <w:numId w:val="3"/>
              </w:numPr>
              <w:tabs>
                <w:tab w:val="left" w:pos="2060"/>
              </w:tabs>
              <w:spacing w:line="276" w:lineRule="auto"/>
              <w:ind w:left="454" w:hanging="227"/>
              <w:rPr>
                <w:i/>
                <w:iCs/>
                <w:color w:val="000000" w:themeColor="text1"/>
                <w:sz w:val="20"/>
                <w:szCs w:val="20"/>
                <w:lang w:val="en-US"/>
              </w:rPr>
            </w:pPr>
            <w:r w:rsidRPr="009427E0">
              <w:rPr>
                <w:i/>
                <w:iCs/>
                <w:color w:val="000000" w:themeColor="text1"/>
                <w:sz w:val="20"/>
                <w:szCs w:val="20"/>
                <w:lang w:val="en-GB"/>
              </w:rPr>
              <w:t>time to perform D1</w:t>
            </w:r>
          </w:p>
          <w:p w14:paraId="5AF4F2A6" w14:textId="58DEC9FA" w:rsidR="00B57855" w:rsidRPr="009427E0" w:rsidRDefault="00361C2F" w:rsidP="007B0463">
            <w:pPr>
              <w:pStyle w:val="Paragraphedeliste"/>
              <w:numPr>
                <w:ilvl w:val="0"/>
                <w:numId w:val="3"/>
              </w:numPr>
              <w:tabs>
                <w:tab w:val="left" w:pos="2060"/>
              </w:tabs>
              <w:spacing w:line="276" w:lineRule="auto"/>
              <w:ind w:left="454" w:hanging="227"/>
              <w:rPr>
                <w:i/>
                <w:iCs/>
                <w:color w:val="000000" w:themeColor="text1"/>
                <w:sz w:val="20"/>
                <w:szCs w:val="20"/>
                <w:lang w:val="en-GB"/>
              </w:rPr>
            </w:pPr>
            <w:r w:rsidRPr="009427E0">
              <w:rPr>
                <w:i/>
                <w:iCs/>
                <w:color w:val="000000" w:themeColor="text1"/>
                <w:sz w:val="20"/>
                <w:szCs w:val="20"/>
                <w:lang w:val="en-GB"/>
              </w:rPr>
              <w:t>time to perform D2</w:t>
            </w:r>
          </w:p>
          <w:p w14:paraId="2FD59CF6" w14:textId="5F04FF24" w:rsidR="00B57855" w:rsidRPr="009427E0" w:rsidRDefault="00B57855" w:rsidP="007B0463">
            <w:pPr>
              <w:tabs>
                <w:tab w:val="left" w:pos="2060"/>
              </w:tabs>
              <w:spacing w:line="276" w:lineRule="auto"/>
              <w:rPr>
                <w:color w:val="000000" w:themeColor="text1"/>
                <w:sz w:val="20"/>
                <w:szCs w:val="20"/>
                <w:lang w:val="en-US"/>
              </w:rPr>
            </w:pPr>
            <w:r w:rsidRPr="009427E0">
              <w:rPr>
                <w:color w:val="000000" w:themeColor="text1"/>
                <w:sz w:val="20"/>
                <w:szCs w:val="20"/>
                <w:lang w:val="en-US"/>
              </w:rPr>
              <w:t>WAIS-III or IV</w:t>
            </w:r>
            <w:r w:rsidR="009427E0" w:rsidRPr="009427E0">
              <w:rPr>
                <w:color w:val="000000" w:themeColor="text1"/>
                <w:sz w:val="20"/>
                <w:szCs w:val="20"/>
                <w:lang w:val="en-US"/>
              </w:rPr>
              <w:t xml:space="preserve"> Coding</w:t>
            </w:r>
            <w:r w:rsidR="00833F69" w:rsidRPr="009427E0">
              <w:rPr>
                <w:color w:val="000000" w:themeColor="text1"/>
                <w:sz w:val="20"/>
                <w:szCs w:val="20"/>
                <w:lang w:val="en-US"/>
              </w:rPr>
              <w:t>.</w:t>
            </w:r>
            <w:r w:rsidRPr="009427E0">
              <w:rPr>
                <w:color w:val="000000" w:themeColor="text1"/>
                <w:sz w:val="20"/>
                <w:szCs w:val="20"/>
                <w:lang w:val="en-US"/>
              </w:rPr>
              <w:t xml:space="preserve"> </w:t>
            </w:r>
          </w:p>
          <w:p w14:paraId="4A1546F0" w14:textId="53C64137" w:rsidR="00AE6E1F" w:rsidRPr="009427E0" w:rsidRDefault="00AE6E1F" w:rsidP="007B0463">
            <w:pPr>
              <w:tabs>
                <w:tab w:val="left" w:pos="2060"/>
              </w:tabs>
              <w:spacing w:line="276" w:lineRule="auto"/>
              <w:rPr>
                <w:color w:val="000000" w:themeColor="text1"/>
                <w:sz w:val="20"/>
                <w:szCs w:val="20"/>
                <w:lang w:val="en-GB"/>
              </w:rPr>
            </w:pPr>
            <w:r w:rsidRPr="009427E0">
              <w:rPr>
                <w:color w:val="000000" w:themeColor="text1"/>
                <w:sz w:val="20"/>
                <w:szCs w:val="20"/>
                <w:lang w:val="en-GB"/>
              </w:rPr>
              <w:t>T</w:t>
            </w:r>
            <w:r w:rsidR="00B57855" w:rsidRPr="009427E0">
              <w:rPr>
                <w:color w:val="000000" w:themeColor="text1"/>
                <w:sz w:val="20"/>
                <w:szCs w:val="20"/>
                <w:lang w:val="en-GB"/>
              </w:rPr>
              <w:t>rail Making Test</w:t>
            </w:r>
            <w:r w:rsidRPr="009427E0">
              <w:rPr>
                <w:color w:val="000000" w:themeColor="text1"/>
                <w:sz w:val="20"/>
                <w:szCs w:val="20"/>
                <w:lang w:val="en-GB"/>
              </w:rPr>
              <w:t xml:space="preserve">: </w:t>
            </w:r>
            <w:r w:rsidRPr="009427E0">
              <w:rPr>
                <w:i/>
                <w:iCs/>
                <w:color w:val="000000" w:themeColor="text1"/>
                <w:sz w:val="20"/>
                <w:szCs w:val="20"/>
                <w:lang w:val="en-GB"/>
              </w:rPr>
              <w:t>time to perform A.</w:t>
            </w:r>
          </w:p>
        </w:tc>
        <w:tc>
          <w:tcPr>
            <w:tcW w:w="3112" w:type="dxa"/>
            <w:tcBorders>
              <w:top w:val="single" w:sz="6" w:space="0" w:color="auto"/>
              <w:bottom w:val="single" w:sz="6" w:space="0" w:color="auto"/>
            </w:tcBorders>
            <w:vAlign w:val="center"/>
          </w:tcPr>
          <w:p w14:paraId="2565DE84" w14:textId="77777777" w:rsidR="00B57855" w:rsidRPr="009427E0" w:rsidRDefault="00AE6E1F" w:rsidP="007B0463">
            <w:pPr>
              <w:autoSpaceDE w:val="0"/>
              <w:autoSpaceDN w:val="0"/>
              <w:adjustRightInd w:val="0"/>
              <w:spacing w:line="276" w:lineRule="auto"/>
              <w:rPr>
                <w:color w:val="000000" w:themeColor="text1"/>
                <w:sz w:val="20"/>
                <w:szCs w:val="20"/>
                <w:lang w:val="fr-CA"/>
              </w:rPr>
            </w:pPr>
            <w:r w:rsidRPr="009427E0">
              <w:rPr>
                <w:color w:val="000000" w:themeColor="text1"/>
                <w:sz w:val="20"/>
                <w:szCs w:val="20"/>
                <w:lang w:val="fr-CA"/>
              </w:rPr>
              <w:t>CPT</w:t>
            </w:r>
            <w:r w:rsidR="00B57855" w:rsidRPr="009427E0">
              <w:rPr>
                <w:color w:val="000000" w:themeColor="text1"/>
                <w:sz w:val="20"/>
                <w:szCs w:val="20"/>
                <w:lang w:val="fr-CA"/>
              </w:rPr>
              <w:t> :</w:t>
            </w:r>
          </w:p>
          <w:p w14:paraId="497D89DA" w14:textId="5DBCFEEA" w:rsidR="00B57855" w:rsidRPr="009427E0" w:rsidRDefault="00AE6E1F" w:rsidP="007B0463">
            <w:pPr>
              <w:pStyle w:val="Paragraphedeliste"/>
              <w:numPr>
                <w:ilvl w:val="0"/>
                <w:numId w:val="5"/>
              </w:numPr>
              <w:autoSpaceDE w:val="0"/>
              <w:autoSpaceDN w:val="0"/>
              <w:adjustRightInd w:val="0"/>
              <w:spacing w:line="276" w:lineRule="auto"/>
              <w:ind w:left="454" w:hanging="227"/>
              <w:rPr>
                <w:color w:val="000000" w:themeColor="text1"/>
                <w:sz w:val="20"/>
                <w:szCs w:val="20"/>
                <w:lang w:val="fr-CA"/>
              </w:rPr>
            </w:pPr>
            <w:r w:rsidRPr="009427E0">
              <w:rPr>
                <w:color w:val="000000" w:themeColor="text1"/>
                <w:sz w:val="20"/>
                <w:szCs w:val="20"/>
                <w:lang w:val="fr-CA"/>
              </w:rPr>
              <w:t>Omission</w:t>
            </w:r>
            <w:r w:rsidR="00FD6004" w:rsidRPr="009427E0">
              <w:rPr>
                <w:color w:val="000000" w:themeColor="text1"/>
                <w:sz w:val="20"/>
                <w:szCs w:val="20"/>
                <w:lang w:val="fr-CA"/>
              </w:rPr>
              <w:t xml:space="preserve"> </w:t>
            </w:r>
            <w:proofErr w:type="spellStart"/>
            <w:r w:rsidR="00FD6004" w:rsidRPr="009427E0">
              <w:rPr>
                <w:color w:val="000000" w:themeColor="text1"/>
                <w:sz w:val="20"/>
                <w:szCs w:val="20"/>
                <w:lang w:val="fr-CA"/>
              </w:rPr>
              <w:t>errors</w:t>
            </w:r>
            <w:proofErr w:type="spellEnd"/>
          </w:p>
          <w:p w14:paraId="5F15782A" w14:textId="29404279" w:rsidR="00B57855" w:rsidRPr="009427E0" w:rsidRDefault="00AE6E1F" w:rsidP="007B0463">
            <w:pPr>
              <w:pStyle w:val="Paragraphedeliste"/>
              <w:numPr>
                <w:ilvl w:val="0"/>
                <w:numId w:val="5"/>
              </w:numPr>
              <w:autoSpaceDE w:val="0"/>
              <w:autoSpaceDN w:val="0"/>
              <w:adjustRightInd w:val="0"/>
              <w:spacing w:line="276" w:lineRule="auto"/>
              <w:ind w:left="454" w:hanging="227"/>
              <w:rPr>
                <w:color w:val="000000" w:themeColor="text1"/>
                <w:sz w:val="20"/>
                <w:szCs w:val="20"/>
                <w:lang w:val="fr-CA"/>
              </w:rPr>
            </w:pPr>
            <w:proofErr w:type="spellStart"/>
            <w:r w:rsidRPr="009427E0">
              <w:rPr>
                <w:color w:val="000000" w:themeColor="text1"/>
                <w:sz w:val="20"/>
                <w:szCs w:val="20"/>
                <w:lang w:val="fr-CA"/>
              </w:rPr>
              <w:t>Varia</w:t>
            </w:r>
            <w:r w:rsidR="007B5DB9" w:rsidRPr="009427E0">
              <w:rPr>
                <w:color w:val="000000" w:themeColor="text1"/>
                <w:sz w:val="20"/>
                <w:szCs w:val="20"/>
                <w:lang w:val="fr-CA"/>
              </w:rPr>
              <w:t>bility</w:t>
            </w:r>
            <w:proofErr w:type="spellEnd"/>
            <w:r w:rsidR="00FD6004" w:rsidRPr="009427E0">
              <w:rPr>
                <w:color w:val="000000" w:themeColor="text1"/>
                <w:sz w:val="20"/>
                <w:szCs w:val="20"/>
                <w:lang w:val="fr-CA"/>
              </w:rPr>
              <w:t xml:space="preserve"> in </w:t>
            </w:r>
            <w:proofErr w:type="spellStart"/>
            <w:r w:rsidR="00FD6004" w:rsidRPr="009427E0">
              <w:rPr>
                <w:color w:val="000000" w:themeColor="text1"/>
                <w:sz w:val="20"/>
                <w:szCs w:val="20"/>
                <w:lang w:val="fr-CA"/>
              </w:rPr>
              <w:t>reaction</w:t>
            </w:r>
            <w:proofErr w:type="spellEnd"/>
            <w:r w:rsidR="00FD6004" w:rsidRPr="009427E0">
              <w:rPr>
                <w:color w:val="000000" w:themeColor="text1"/>
                <w:sz w:val="20"/>
                <w:szCs w:val="20"/>
                <w:lang w:val="fr-CA"/>
              </w:rPr>
              <w:t xml:space="preserve"> time</w:t>
            </w:r>
          </w:p>
          <w:p w14:paraId="530A2D56" w14:textId="62D4E6AC" w:rsidR="00B57855" w:rsidRPr="009427E0" w:rsidRDefault="009427E0"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 xml:space="preserve">WAIS-III </w:t>
            </w:r>
            <w:r w:rsidR="00B57855" w:rsidRPr="009427E0">
              <w:rPr>
                <w:color w:val="000000" w:themeColor="text1"/>
                <w:sz w:val="20"/>
                <w:szCs w:val="20"/>
                <w:lang w:val="en-US"/>
              </w:rPr>
              <w:t xml:space="preserve">Digit span forward: </w:t>
            </w:r>
            <w:r w:rsidRPr="009427E0">
              <w:rPr>
                <w:i/>
                <w:iCs/>
                <w:color w:val="000000" w:themeColor="text1"/>
                <w:sz w:val="20"/>
                <w:szCs w:val="20"/>
                <w:lang w:val="en-US"/>
              </w:rPr>
              <w:t>longest sequence</w:t>
            </w:r>
            <w:r w:rsidR="00833F69" w:rsidRPr="009427E0">
              <w:rPr>
                <w:i/>
                <w:iCs/>
                <w:color w:val="000000" w:themeColor="text1"/>
                <w:sz w:val="20"/>
                <w:szCs w:val="20"/>
                <w:lang w:val="en-US"/>
              </w:rPr>
              <w:t>.</w:t>
            </w:r>
          </w:p>
          <w:p w14:paraId="2D4F4FA9" w14:textId="28A2203D" w:rsidR="00AE6E1F" w:rsidRPr="009427E0" w:rsidRDefault="007B5DB9"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 xml:space="preserve">Bell’s test: </w:t>
            </w:r>
            <w:r w:rsidR="00AE6E1F" w:rsidRPr="009427E0">
              <w:rPr>
                <w:i/>
                <w:iCs/>
                <w:color w:val="000000" w:themeColor="text1"/>
                <w:sz w:val="20"/>
                <w:szCs w:val="20"/>
                <w:lang w:val="en-US"/>
              </w:rPr>
              <w:t>omission</w:t>
            </w:r>
            <w:r w:rsidRPr="009427E0">
              <w:rPr>
                <w:i/>
                <w:iCs/>
                <w:color w:val="000000" w:themeColor="text1"/>
                <w:sz w:val="20"/>
                <w:szCs w:val="20"/>
                <w:lang w:val="en-US"/>
              </w:rPr>
              <w:t>s.</w:t>
            </w:r>
          </w:p>
        </w:tc>
      </w:tr>
      <w:tr w:rsidR="00AE6E1F" w:rsidRPr="00D4172D" w14:paraId="687277B6" w14:textId="77777777" w:rsidTr="000B7D63">
        <w:trPr>
          <w:trHeight w:val="61"/>
        </w:trPr>
        <w:tc>
          <w:tcPr>
            <w:tcW w:w="2137" w:type="dxa"/>
            <w:tcBorders>
              <w:top w:val="single" w:sz="6" w:space="0" w:color="auto"/>
              <w:bottom w:val="single" w:sz="6" w:space="0" w:color="auto"/>
            </w:tcBorders>
            <w:vAlign w:val="center"/>
          </w:tcPr>
          <w:p w14:paraId="34DE0819" w14:textId="24E30D8B" w:rsidR="00AE6E1F" w:rsidRPr="009427E0" w:rsidRDefault="00AE6E1F" w:rsidP="00E77687">
            <w:pPr>
              <w:tabs>
                <w:tab w:val="left" w:pos="2060"/>
              </w:tabs>
              <w:spacing w:line="276" w:lineRule="auto"/>
              <w:rPr>
                <w:b/>
                <w:bCs/>
                <w:i/>
                <w:iCs/>
                <w:color w:val="000000" w:themeColor="text1"/>
                <w:sz w:val="20"/>
                <w:szCs w:val="20"/>
                <w:lang w:val="en-GB"/>
              </w:rPr>
            </w:pPr>
            <w:r w:rsidRPr="009427E0">
              <w:rPr>
                <w:b/>
                <w:bCs/>
                <w:i/>
                <w:iCs/>
                <w:color w:val="000000" w:themeColor="text1"/>
                <w:sz w:val="20"/>
                <w:szCs w:val="20"/>
                <w:lang w:val="en-GB"/>
              </w:rPr>
              <w:t>Executive functioning</w:t>
            </w:r>
          </w:p>
        </w:tc>
        <w:tc>
          <w:tcPr>
            <w:tcW w:w="3845" w:type="dxa"/>
            <w:tcBorders>
              <w:top w:val="single" w:sz="6" w:space="0" w:color="auto"/>
              <w:bottom w:val="single" w:sz="6" w:space="0" w:color="auto"/>
            </w:tcBorders>
            <w:vAlign w:val="center"/>
          </w:tcPr>
          <w:p w14:paraId="6C9B6C27" w14:textId="3FEC3C7F" w:rsidR="00B57855" w:rsidRPr="009427E0" w:rsidRDefault="00B57855" w:rsidP="007B0463">
            <w:pPr>
              <w:tabs>
                <w:tab w:val="left" w:pos="2060"/>
              </w:tabs>
              <w:spacing w:line="276" w:lineRule="auto"/>
              <w:rPr>
                <w:i/>
                <w:iCs/>
                <w:color w:val="000000" w:themeColor="text1"/>
                <w:sz w:val="20"/>
                <w:szCs w:val="20"/>
                <w:lang w:val="en-GB"/>
              </w:rPr>
            </w:pPr>
            <w:r w:rsidRPr="009427E0">
              <w:rPr>
                <w:color w:val="000000" w:themeColor="text1"/>
                <w:sz w:val="20"/>
                <w:szCs w:val="20"/>
                <w:lang w:val="en-GB"/>
              </w:rPr>
              <w:t>Trail Making Test</w:t>
            </w:r>
            <w:r w:rsidR="00AE6E1F" w:rsidRPr="009427E0">
              <w:rPr>
                <w:color w:val="000000" w:themeColor="text1"/>
                <w:sz w:val="20"/>
                <w:szCs w:val="20"/>
                <w:lang w:val="en-GB"/>
              </w:rPr>
              <w:t xml:space="preserve">: </w:t>
            </w:r>
            <w:r w:rsidR="00AE6E1F" w:rsidRPr="009427E0">
              <w:rPr>
                <w:i/>
                <w:iCs/>
                <w:color w:val="000000" w:themeColor="text1"/>
                <w:sz w:val="20"/>
                <w:szCs w:val="20"/>
                <w:lang w:val="en-GB"/>
              </w:rPr>
              <w:t>time to perform B-A</w:t>
            </w:r>
            <w:r w:rsidR="00833F69" w:rsidRPr="009427E0">
              <w:rPr>
                <w:i/>
                <w:iCs/>
                <w:color w:val="000000" w:themeColor="text1"/>
                <w:sz w:val="20"/>
                <w:szCs w:val="20"/>
                <w:lang w:val="en-GB"/>
              </w:rPr>
              <w:t>.</w:t>
            </w:r>
          </w:p>
          <w:p w14:paraId="21910EFA" w14:textId="77777777" w:rsidR="00B57855" w:rsidRPr="009427E0" w:rsidRDefault="00B57855" w:rsidP="007B0463">
            <w:pPr>
              <w:tabs>
                <w:tab w:val="left" w:pos="2060"/>
              </w:tabs>
              <w:spacing w:line="276" w:lineRule="auto"/>
              <w:rPr>
                <w:color w:val="000000" w:themeColor="text1"/>
                <w:sz w:val="20"/>
                <w:szCs w:val="20"/>
                <w:lang w:val="en-US"/>
              </w:rPr>
            </w:pPr>
            <w:r w:rsidRPr="009427E0">
              <w:rPr>
                <w:color w:val="000000" w:themeColor="text1"/>
                <w:sz w:val="20"/>
                <w:szCs w:val="20"/>
                <w:lang w:val="en-US"/>
              </w:rPr>
              <w:t>D-KEFS Stroop test:</w:t>
            </w:r>
          </w:p>
          <w:p w14:paraId="5AE4835E" w14:textId="77777777" w:rsidR="00B57855" w:rsidRPr="009427E0" w:rsidRDefault="00AE6E1F" w:rsidP="007B0463">
            <w:pPr>
              <w:pStyle w:val="Paragraphedeliste"/>
              <w:numPr>
                <w:ilvl w:val="0"/>
                <w:numId w:val="4"/>
              </w:numPr>
              <w:tabs>
                <w:tab w:val="left" w:pos="2060"/>
              </w:tabs>
              <w:spacing w:line="276" w:lineRule="auto"/>
              <w:ind w:left="454" w:hanging="227"/>
              <w:rPr>
                <w:i/>
                <w:iCs/>
                <w:color w:val="000000" w:themeColor="text1"/>
                <w:sz w:val="20"/>
                <w:szCs w:val="20"/>
                <w:lang w:val="en-GB"/>
              </w:rPr>
            </w:pPr>
            <w:r w:rsidRPr="009427E0">
              <w:rPr>
                <w:i/>
                <w:iCs/>
                <w:color w:val="000000" w:themeColor="text1"/>
                <w:sz w:val="20"/>
                <w:szCs w:val="20"/>
                <w:lang w:val="en-GB"/>
              </w:rPr>
              <w:t>time to perform D3</w:t>
            </w:r>
            <w:r w:rsidR="008127C6" w:rsidRPr="009427E0">
              <w:rPr>
                <w:i/>
                <w:iCs/>
                <w:color w:val="000000" w:themeColor="text1"/>
                <w:sz w:val="20"/>
                <w:szCs w:val="20"/>
                <w:lang w:val="en-GB"/>
              </w:rPr>
              <w:t>-1</w:t>
            </w:r>
            <w:r w:rsidRPr="009427E0">
              <w:rPr>
                <w:i/>
                <w:iCs/>
                <w:color w:val="000000" w:themeColor="text1"/>
                <w:sz w:val="20"/>
                <w:szCs w:val="20"/>
                <w:lang w:val="en-GB"/>
              </w:rPr>
              <w:t xml:space="preserve"> </w:t>
            </w:r>
          </w:p>
          <w:p w14:paraId="44E97BC0" w14:textId="37420AA9" w:rsidR="00AE6E1F" w:rsidRPr="009427E0" w:rsidRDefault="00361C2F" w:rsidP="007B0463">
            <w:pPr>
              <w:pStyle w:val="Paragraphedeliste"/>
              <w:numPr>
                <w:ilvl w:val="0"/>
                <w:numId w:val="4"/>
              </w:numPr>
              <w:tabs>
                <w:tab w:val="left" w:pos="2060"/>
              </w:tabs>
              <w:spacing w:line="276" w:lineRule="auto"/>
              <w:ind w:left="454" w:hanging="227"/>
              <w:rPr>
                <w:color w:val="000000" w:themeColor="text1"/>
                <w:sz w:val="20"/>
                <w:szCs w:val="20"/>
                <w:lang w:val="en-GB"/>
              </w:rPr>
            </w:pPr>
            <w:r w:rsidRPr="009427E0">
              <w:rPr>
                <w:i/>
                <w:iCs/>
                <w:color w:val="000000" w:themeColor="text1"/>
                <w:sz w:val="20"/>
                <w:szCs w:val="20"/>
                <w:lang w:val="en-GB"/>
              </w:rPr>
              <w:t xml:space="preserve">time to perform </w:t>
            </w:r>
            <w:r w:rsidR="00AE6E1F" w:rsidRPr="009427E0">
              <w:rPr>
                <w:i/>
                <w:iCs/>
                <w:color w:val="000000" w:themeColor="text1"/>
                <w:sz w:val="20"/>
                <w:szCs w:val="20"/>
                <w:lang w:val="en-GB"/>
              </w:rPr>
              <w:t>D4-3</w:t>
            </w:r>
          </w:p>
        </w:tc>
        <w:tc>
          <w:tcPr>
            <w:tcW w:w="3112" w:type="dxa"/>
            <w:tcBorders>
              <w:top w:val="single" w:sz="6" w:space="0" w:color="auto"/>
              <w:bottom w:val="single" w:sz="6" w:space="0" w:color="auto"/>
            </w:tcBorders>
            <w:vAlign w:val="center"/>
          </w:tcPr>
          <w:p w14:paraId="46F257AC" w14:textId="77777777" w:rsidR="00B57855" w:rsidRPr="009427E0" w:rsidRDefault="00AE6E1F" w:rsidP="007B0463">
            <w:pPr>
              <w:tabs>
                <w:tab w:val="left" w:pos="2060"/>
              </w:tabs>
              <w:spacing w:line="276" w:lineRule="auto"/>
              <w:rPr>
                <w:color w:val="000000" w:themeColor="text1"/>
                <w:sz w:val="20"/>
                <w:szCs w:val="20"/>
                <w:lang w:val="en-GB"/>
              </w:rPr>
            </w:pPr>
            <w:r w:rsidRPr="009427E0">
              <w:rPr>
                <w:color w:val="000000" w:themeColor="text1"/>
                <w:sz w:val="20"/>
                <w:szCs w:val="20"/>
                <w:lang w:val="en-GB"/>
              </w:rPr>
              <w:t>Tower of London</w:t>
            </w:r>
          </w:p>
          <w:p w14:paraId="478A180C" w14:textId="77777777" w:rsidR="00B57855" w:rsidRPr="009427E0" w:rsidRDefault="00B57855" w:rsidP="007B0463">
            <w:pPr>
              <w:pStyle w:val="Paragraphedeliste"/>
              <w:numPr>
                <w:ilvl w:val="0"/>
                <w:numId w:val="6"/>
              </w:numPr>
              <w:tabs>
                <w:tab w:val="left" w:pos="2060"/>
              </w:tabs>
              <w:spacing w:line="276" w:lineRule="auto"/>
              <w:ind w:left="454" w:hanging="227"/>
              <w:rPr>
                <w:i/>
                <w:iCs/>
                <w:color w:val="000000" w:themeColor="text1"/>
                <w:sz w:val="20"/>
                <w:szCs w:val="20"/>
                <w:lang w:val="en-GB"/>
              </w:rPr>
            </w:pPr>
            <w:r w:rsidRPr="009427E0">
              <w:rPr>
                <w:i/>
                <w:iCs/>
                <w:color w:val="000000" w:themeColor="text1"/>
                <w:sz w:val="20"/>
                <w:szCs w:val="20"/>
                <w:lang w:val="en-GB"/>
              </w:rPr>
              <w:t xml:space="preserve">number of </w:t>
            </w:r>
            <w:r w:rsidR="00AE6E1F" w:rsidRPr="009427E0">
              <w:rPr>
                <w:i/>
                <w:iCs/>
                <w:color w:val="000000" w:themeColor="text1"/>
                <w:sz w:val="20"/>
                <w:szCs w:val="20"/>
                <w:lang w:val="en-GB"/>
              </w:rPr>
              <w:t>movement</w:t>
            </w:r>
            <w:r w:rsidRPr="009427E0">
              <w:rPr>
                <w:i/>
                <w:iCs/>
                <w:color w:val="000000" w:themeColor="text1"/>
                <w:sz w:val="20"/>
                <w:szCs w:val="20"/>
                <w:lang w:val="en-GB"/>
              </w:rPr>
              <w:t>s</w:t>
            </w:r>
          </w:p>
          <w:p w14:paraId="1CEA3C55" w14:textId="1E653310" w:rsidR="00B57855" w:rsidRPr="009427E0" w:rsidRDefault="00AE6E1F" w:rsidP="007B0463">
            <w:pPr>
              <w:pStyle w:val="Paragraphedeliste"/>
              <w:numPr>
                <w:ilvl w:val="0"/>
                <w:numId w:val="6"/>
              </w:numPr>
              <w:tabs>
                <w:tab w:val="left" w:pos="2060"/>
              </w:tabs>
              <w:spacing w:line="276" w:lineRule="auto"/>
              <w:ind w:left="454" w:hanging="227"/>
              <w:rPr>
                <w:i/>
                <w:iCs/>
                <w:color w:val="000000" w:themeColor="text1"/>
                <w:sz w:val="20"/>
                <w:szCs w:val="20"/>
                <w:lang w:val="en-GB"/>
              </w:rPr>
            </w:pPr>
            <w:r w:rsidRPr="009427E0">
              <w:rPr>
                <w:i/>
                <w:iCs/>
                <w:color w:val="000000" w:themeColor="text1"/>
                <w:sz w:val="20"/>
                <w:szCs w:val="20"/>
                <w:lang w:val="en-GB"/>
              </w:rPr>
              <w:t>total time</w:t>
            </w:r>
          </w:p>
          <w:p w14:paraId="3B40A33A" w14:textId="0A2EDE7F" w:rsidR="00B57855" w:rsidRPr="009427E0" w:rsidRDefault="00AE6E1F" w:rsidP="007B0463">
            <w:pPr>
              <w:tabs>
                <w:tab w:val="left" w:pos="2060"/>
              </w:tabs>
              <w:spacing w:line="276" w:lineRule="auto"/>
              <w:rPr>
                <w:color w:val="000000" w:themeColor="text1"/>
                <w:sz w:val="20"/>
                <w:szCs w:val="20"/>
                <w:lang w:val="en-GB"/>
              </w:rPr>
            </w:pPr>
            <w:r w:rsidRPr="009427E0">
              <w:rPr>
                <w:color w:val="000000" w:themeColor="text1"/>
                <w:sz w:val="20"/>
                <w:szCs w:val="20"/>
                <w:lang w:val="en-GB"/>
              </w:rPr>
              <w:t>CPT: commission</w:t>
            </w:r>
            <w:r w:rsidR="00FD6004" w:rsidRPr="009427E0">
              <w:rPr>
                <w:color w:val="000000" w:themeColor="text1"/>
                <w:sz w:val="20"/>
                <w:szCs w:val="20"/>
                <w:lang w:val="en-GB"/>
              </w:rPr>
              <w:t xml:space="preserve"> errors</w:t>
            </w:r>
          </w:p>
          <w:p w14:paraId="4C3D5854" w14:textId="54AE5489" w:rsidR="00AE6E1F" w:rsidRPr="009427E0" w:rsidRDefault="009427E0" w:rsidP="007B0463">
            <w:pPr>
              <w:tabs>
                <w:tab w:val="left" w:pos="2060"/>
              </w:tabs>
              <w:spacing w:line="276" w:lineRule="auto"/>
              <w:rPr>
                <w:color w:val="000000" w:themeColor="text1"/>
                <w:sz w:val="20"/>
                <w:szCs w:val="20"/>
                <w:lang w:val="en-US"/>
              </w:rPr>
            </w:pPr>
            <w:r w:rsidRPr="009427E0">
              <w:rPr>
                <w:color w:val="000000" w:themeColor="text1"/>
                <w:sz w:val="20"/>
                <w:szCs w:val="20"/>
                <w:lang w:val="en-US"/>
              </w:rPr>
              <w:t xml:space="preserve">WAIS-III </w:t>
            </w:r>
            <w:r w:rsidR="00B57855" w:rsidRPr="009427E0">
              <w:rPr>
                <w:color w:val="000000" w:themeColor="text1"/>
                <w:sz w:val="20"/>
                <w:szCs w:val="20"/>
                <w:lang w:val="en-US"/>
              </w:rPr>
              <w:t xml:space="preserve">Digit span backwards: </w:t>
            </w:r>
            <w:r w:rsidRPr="009427E0">
              <w:rPr>
                <w:i/>
                <w:iCs/>
                <w:color w:val="000000" w:themeColor="text1"/>
                <w:sz w:val="20"/>
                <w:szCs w:val="20"/>
                <w:lang w:val="en-US"/>
              </w:rPr>
              <w:t>longest sequence</w:t>
            </w:r>
            <w:r w:rsidR="00833F69" w:rsidRPr="009427E0">
              <w:rPr>
                <w:i/>
                <w:iCs/>
                <w:color w:val="000000" w:themeColor="text1"/>
                <w:sz w:val="20"/>
                <w:szCs w:val="20"/>
                <w:lang w:val="en-US"/>
              </w:rPr>
              <w:t>.</w:t>
            </w:r>
          </w:p>
        </w:tc>
      </w:tr>
      <w:tr w:rsidR="00AE6E1F" w:rsidRPr="009427E0" w14:paraId="7D6494A2" w14:textId="77777777" w:rsidTr="000B7D63">
        <w:trPr>
          <w:trHeight w:val="2695"/>
        </w:trPr>
        <w:tc>
          <w:tcPr>
            <w:tcW w:w="2137" w:type="dxa"/>
            <w:tcBorders>
              <w:top w:val="single" w:sz="6" w:space="0" w:color="auto"/>
              <w:bottom w:val="single" w:sz="6" w:space="0" w:color="auto"/>
            </w:tcBorders>
            <w:vAlign w:val="center"/>
          </w:tcPr>
          <w:p w14:paraId="0A678239" w14:textId="4D03935C" w:rsidR="00AE6E1F" w:rsidRPr="009427E0" w:rsidRDefault="00AE6E1F" w:rsidP="00E77687">
            <w:pPr>
              <w:tabs>
                <w:tab w:val="left" w:pos="2060"/>
              </w:tabs>
              <w:spacing w:line="276" w:lineRule="auto"/>
              <w:rPr>
                <w:b/>
                <w:bCs/>
                <w:i/>
                <w:iCs/>
                <w:color w:val="000000" w:themeColor="text1"/>
                <w:sz w:val="20"/>
                <w:szCs w:val="20"/>
                <w:lang w:val="en-GB"/>
              </w:rPr>
            </w:pPr>
            <w:r w:rsidRPr="009427E0">
              <w:rPr>
                <w:b/>
                <w:bCs/>
                <w:i/>
                <w:iCs/>
                <w:color w:val="000000" w:themeColor="text1"/>
                <w:sz w:val="20"/>
                <w:szCs w:val="20"/>
                <w:lang w:val="en-GB"/>
              </w:rPr>
              <w:t>Learning and memory</w:t>
            </w:r>
          </w:p>
        </w:tc>
        <w:tc>
          <w:tcPr>
            <w:tcW w:w="3845" w:type="dxa"/>
            <w:tcBorders>
              <w:top w:val="single" w:sz="6" w:space="0" w:color="auto"/>
              <w:bottom w:val="single" w:sz="6" w:space="0" w:color="auto"/>
            </w:tcBorders>
            <w:vAlign w:val="center"/>
          </w:tcPr>
          <w:p w14:paraId="64AB84E8" w14:textId="0A55F1A3" w:rsidR="00B57855" w:rsidRPr="009427E0" w:rsidRDefault="00B57855"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Rey Auditory Verbal Learning Test:</w:t>
            </w:r>
          </w:p>
          <w:p w14:paraId="1E23B7E2" w14:textId="4EBBF8C6" w:rsidR="00B57855" w:rsidRPr="009427E0" w:rsidRDefault="00B57855" w:rsidP="007B0463">
            <w:pPr>
              <w:pStyle w:val="Paragraphedeliste"/>
              <w:numPr>
                <w:ilvl w:val="0"/>
                <w:numId w:val="1"/>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Sum of the 5 free recalls</w:t>
            </w:r>
          </w:p>
          <w:p w14:paraId="5424EB02" w14:textId="6368A3CE" w:rsidR="00B57855" w:rsidRPr="009427E0" w:rsidRDefault="00B57855" w:rsidP="007B0463">
            <w:pPr>
              <w:pStyle w:val="Paragraphedeliste"/>
              <w:numPr>
                <w:ilvl w:val="0"/>
                <w:numId w:val="1"/>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Immediate recall</w:t>
            </w:r>
          </w:p>
          <w:p w14:paraId="37BEF518" w14:textId="50E8B2C8" w:rsidR="00B57855" w:rsidRPr="009427E0" w:rsidRDefault="00B57855" w:rsidP="007B0463">
            <w:pPr>
              <w:pStyle w:val="Paragraphedeliste"/>
              <w:numPr>
                <w:ilvl w:val="0"/>
                <w:numId w:val="1"/>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Delayed recall</w:t>
            </w:r>
          </w:p>
          <w:p w14:paraId="696182F1" w14:textId="344A1326" w:rsidR="00B57855" w:rsidRPr="009427E0" w:rsidRDefault="00B57855"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Logical Memory Stories (WMS-III or Rouleau version):</w:t>
            </w:r>
          </w:p>
          <w:p w14:paraId="18CD611D" w14:textId="33473BC0" w:rsidR="00B57855" w:rsidRPr="009427E0" w:rsidRDefault="00B57855" w:rsidP="007B0463">
            <w:pPr>
              <w:pStyle w:val="Paragraphedeliste"/>
              <w:numPr>
                <w:ilvl w:val="0"/>
                <w:numId w:val="2"/>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Immediate recall</w:t>
            </w:r>
          </w:p>
          <w:p w14:paraId="3FFB76E9" w14:textId="26C6B277" w:rsidR="00AE6E1F" w:rsidRPr="009427E0" w:rsidRDefault="00B57855" w:rsidP="007B0463">
            <w:pPr>
              <w:pStyle w:val="Paragraphedeliste"/>
              <w:numPr>
                <w:ilvl w:val="0"/>
                <w:numId w:val="2"/>
              </w:numPr>
              <w:autoSpaceDE w:val="0"/>
              <w:autoSpaceDN w:val="0"/>
              <w:adjustRightInd w:val="0"/>
              <w:spacing w:line="276" w:lineRule="auto"/>
              <w:ind w:left="454" w:hanging="227"/>
              <w:rPr>
                <w:color w:val="000000" w:themeColor="text1"/>
                <w:sz w:val="20"/>
                <w:szCs w:val="20"/>
                <w:lang w:val="en-US"/>
              </w:rPr>
            </w:pPr>
            <w:r w:rsidRPr="009427E0">
              <w:rPr>
                <w:i/>
                <w:iCs/>
                <w:color w:val="000000" w:themeColor="text1"/>
                <w:sz w:val="20"/>
                <w:szCs w:val="20"/>
                <w:lang w:val="en-US"/>
              </w:rPr>
              <w:t>Delayed recall</w:t>
            </w:r>
          </w:p>
        </w:tc>
        <w:tc>
          <w:tcPr>
            <w:tcW w:w="3112" w:type="dxa"/>
            <w:tcBorders>
              <w:top w:val="single" w:sz="6" w:space="0" w:color="auto"/>
              <w:bottom w:val="single" w:sz="6" w:space="0" w:color="auto"/>
            </w:tcBorders>
            <w:vAlign w:val="center"/>
          </w:tcPr>
          <w:p w14:paraId="79871314" w14:textId="3033ABED" w:rsidR="00B57855" w:rsidRPr="009427E0" w:rsidRDefault="00B57855"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 xml:space="preserve">Brief Visual Memory Test Revised: </w:t>
            </w:r>
          </w:p>
          <w:p w14:paraId="09F211DF" w14:textId="77777777" w:rsidR="00B57855" w:rsidRPr="009427E0" w:rsidRDefault="00B57855" w:rsidP="007B0463">
            <w:pPr>
              <w:pStyle w:val="Paragraphedeliste"/>
              <w:numPr>
                <w:ilvl w:val="0"/>
                <w:numId w:val="2"/>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Immediate recall</w:t>
            </w:r>
          </w:p>
          <w:p w14:paraId="259CE70D" w14:textId="6B9AEB2D" w:rsidR="00833F69" w:rsidRPr="009427E0" w:rsidRDefault="00B57855" w:rsidP="007B0463">
            <w:pPr>
              <w:pStyle w:val="Paragraphedeliste"/>
              <w:numPr>
                <w:ilvl w:val="0"/>
                <w:numId w:val="2"/>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Delayed recall</w:t>
            </w:r>
          </w:p>
          <w:p w14:paraId="7360D21A" w14:textId="0A7B1DD2" w:rsidR="00B57855" w:rsidRPr="009427E0" w:rsidRDefault="00B57855"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Rey Complex Figure Test:</w:t>
            </w:r>
          </w:p>
          <w:p w14:paraId="14A2792D" w14:textId="77777777" w:rsidR="00B57855" w:rsidRPr="009427E0" w:rsidRDefault="00B57855" w:rsidP="007B0463">
            <w:pPr>
              <w:pStyle w:val="Paragraphedeliste"/>
              <w:numPr>
                <w:ilvl w:val="0"/>
                <w:numId w:val="2"/>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Immediate recall</w:t>
            </w:r>
          </w:p>
          <w:p w14:paraId="380F6780" w14:textId="77777777" w:rsidR="00B57855" w:rsidRPr="009427E0" w:rsidRDefault="00B57855" w:rsidP="007B0463">
            <w:pPr>
              <w:pStyle w:val="Paragraphedeliste"/>
              <w:numPr>
                <w:ilvl w:val="0"/>
                <w:numId w:val="2"/>
              </w:numPr>
              <w:autoSpaceDE w:val="0"/>
              <w:autoSpaceDN w:val="0"/>
              <w:adjustRightInd w:val="0"/>
              <w:spacing w:line="276" w:lineRule="auto"/>
              <w:ind w:left="454" w:hanging="227"/>
              <w:rPr>
                <w:i/>
                <w:iCs/>
                <w:color w:val="000000" w:themeColor="text1"/>
                <w:sz w:val="20"/>
                <w:szCs w:val="20"/>
                <w:lang w:val="en-US"/>
              </w:rPr>
            </w:pPr>
            <w:r w:rsidRPr="009427E0">
              <w:rPr>
                <w:i/>
                <w:iCs/>
                <w:color w:val="000000" w:themeColor="text1"/>
                <w:sz w:val="20"/>
                <w:szCs w:val="20"/>
                <w:lang w:val="en-US"/>
              </w:rPr>
              <w:t>Delayed recall</w:t>
            </w:r>
          </w:p>
          <w:p w14:paraId="2D0D96F2" w14:textId="40CC7FF6" w:rsidR="00AE6E1F" w:rsidRPr="009427E0" w:rsidRDefault="00AE6E1F" w:rsidP="007B0463">
            <w:pPr>
              <w:autoSpaceDE w:val="0"/>
              <w:autoSpaceDN w:val="0"/>
              <w:adjustRightInd w:val="0"/>
              <w:spacing w:line="276" w:lineRule="auto"/>
              <w:rPr>
                <w:i/>
                <w:iCs/>
                <w:color w:val="000000" w:themeColor="text1"/>
                <w:sz w:val="20"/>
                <w:szCs w:val="20"/>
                <w:u w:val="single"/>
              </w:rPr>
            </w:pPr>
          </w:p>
        </w:tc>
      </w:tr>
      <w:tr w:rsidR="004C6CBE" w:rsidRPr="00D4172D" w14:paraId="63589C19" w14:textId="77777777" w:rsidTr="000B7D63">
        <w:trPr>
          <w:trHeight w:val="61"/>
        </w:trPr>
        <w:tc>
          <w:tcPr>
            <w:tcW w:w="2137" w:type="dxa"/>
            <w:tcBorders>
              <w:top w:val="single" w:sz="6" w:space="0" w:color="auto"/>
              <w:bottom w:val="single" w:sz="6" w:space="0" w:color="auto"/>
            </w:tcBorders>
            <w:vAlign w:val="center"/>
          </w:tcPr>
          <w:p w14:paraId="16A6F913" w14:textId="46D0C772" w:rsidR="00AE6E1F" w:rsidRPr="009427E0" w:rsidRDefault="00AE6E1F" w:rsidP="00E77687">
            <w:pPr>
              <w:tabs>
                <w:tab w:val="left" w:pos="2060"/>
              </w:tabs>
              <w:spacing w:line="276" w:lineRule="auto"/>
              <w:rPr>
                <w:b/>
                <w:bCs/>
                <w:i/>
                <w:iCs/>
                <w:color w:val="000000" w:themeColor="text1"/>
                <w:sz w:val="20"/>
                <w:szCs w:val="20"/>
                <w:lang w:val="en-GB"/>
              </w:rPr>
            </w:pPr>
            <w:r w:rsidRPr="009427E0">
              <w:rPr>
                <w:b/>
                <w:bCs/>
                <w:i/>
                <w:iCs/>
                <w:color w:val="000000" w:themeColor="text1"/>
                <w:sz w:val="20"/>
                <w:szCs w:val="20"/>
                <w:lang w:val="en-GB"/>
              </w:rPr>
              <w:t>Language</w:t>
            </w:r>
          </w:p>
        </w:tc>
        <w:tc>
          <w:tcPr>
            <w:tcW w:w="3845" w:type="dxa"/>
            <w:tcBorders>
              <w:top w:val="single" w:sz="6" w:space="0" w:color="auto"/>
              <w:bottom w:val="single" w:sz="6" w:space="0" w:color="auto"/>
            </w:tcBorders>
            <w:vAlign w:val="center"/>
          </w:tcPr>
          <w:p w14:paraId="2183D6A7" w14:textId="46C2D4FF" w:rsidR="00833F69" w:rsidRPr="009427E0" w:rsidRDefault="00833F69" w:rsidP="007B0463">
            <w:pPr>
              <w:autoSpaceDE w:val="0"/>
              <w:autoSpaceDN w:val="0"/>
              <w:adjustRightInd w:val="0"/>
              <w:spacing w:line="276" w:lineRule="auto"/>
              <w:rPr>
                <w:i/>
                <w:iCs/>
                <w:color w:val="000000" w:themeColor="text1"/>
                <w:sz w:val="20"/>
                <w:szCs w:val="20"/>
                <w:lang w:val="en-US"/>
              </w:rPr>
            </w:pPr>
            <w:r w:rsidRPr="009427E0">
              <w:rPr>
                <w:color w:val="000000" w:themeColor="text1"/>
                <w:sz w:val="20"/>
                <w:szCs w:val="20"/>
                <w:lang w:val="en-US"/>
              </w:rPr>
              <w:t>Boston Naming Test (30 items version).</w:t>
            </w:r>
          </w:p>
          <w:p w14:paraId="1EAE08E0" w14:textId="3A761973" w:rsidR="00AE6E1F" w:rsidRPr="009427E0" w:rsidRDefault="00833F69" w:rsidP="007B0463">
            <w:pPr>
              <w:autoSpaceDE w:val="0"/>
              <w:autoSpaceDN w:val="0"/>
              <w:adjustRightInd w:val="0"/>
              <w:spacing w:line="276" w:lineRule="auto"/>
              <w:rPr>
                <w:color w:val="000000" w:themeColor="text1"/>
                <w:sz w:val="20"/>
                <w:szCs w:val="20"/>
              </w:rPr>
            </w:pPr>
            <w:r w:rsidRPr="009427E0">
              <w:rPr>
                <w:color w:val="000000" w:themeColor="text1"/>
                <w:sz w:val="20"/>
                <w:szCs w:val="20"/>
              </w:rPr>
              <w:t xml:space="preserve">Animal </w:t>
            </w:r>
            <w:proofErr w:type="spellStart"/>
            <w:r w:rsidRPr="009427E0">
              <w:rPr>
                <w:color w:val="000000" w:themeColor="text1"/>
                <w:sz w:val="20"/>
                <w:szCs w:val="20"/>
              </w:rPr>
              <w:t>fluency</w:t>
            </w:r>
            <w:proofErr w:type="spellEnd"/>
            <w:r w:rsidRPr="009427E0">
              <w:rPr>
                <w:color w:val="000000" w:themeColor="text1"/>
                <w:sz w:val="20"/>
                <w:szCs w:val="20"/>
              </w:rPr>
              <w:t>.</w:t>
            </w:r>
          </w:p>
        </w:tc>
        <w:tc>
          <w:tcPr>
            <w:tcW w:w="3112" w:type="dxa"/>
            <w:tcBorders>
              <w:top w:val="single" w:sz="6" w:space="0" w:color="auto"/>
              <w:bottom w:val="single" w:sz="6" w:space="0" w:color="auto"/>
            </w:tcBorders>
            <w:vAlign w:val="center"/>
          </w:tcPr>
          <w:p w14:paraId="6DF73C7A" w14:textId="0601EB14" w:rsidR="00833F69" w:rsidRPr="009427E0" w:rsidRDefault="00833F69"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WAIS-III Vocabulary.</w:t>
            </w:r>
          </w:p>
          <w:p w14:paraId="15972AFB" w14:textId="7F7107B8" w:rsidR="00AE6E1F" w:rsidRPr="009427E0" w:rsidRDefault="00833F69"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Verbal fluency</w:t>
            </w:r>
            <w:r w:rsidR="00AE6E1F" w:rsidRPr="009427E0">
              <w:rPr>
                <w:color w:val="000000" w:themeColor="text1"/>
                <w:sz w:val="20"/>
                <w:szCs w:val="20"/>
                <w:lang w:val="en-US"/>
              </w:rPr>
              <w:t xml:space="preserve"> </w:t>
            </w:r>
            <w:r w:rsidRPr="009427E0">
              <w:rPr>
                <w:color w:val="000000" w:themeColor="text1"/>
                <w:sz w:val="20"/>
                <w:szCs w:val="20"/>
                <w:lang w:val="en-US"/>
              </w:rPr>
              <w:t>(letter).</w:t>
            </w:r>
          </w:p>
        </w:tc>
      </w:tr>
      <w:tr w:rsidR="004C6CBE" w:rsidRPr="009427E0" w14:paraId="23700A2A" w14:textId="77777777" w:rsidTr="000B7D63">
        <w:trPr>
          <w:trHeight w:val="61"/>
        </w:trPr>
        <w:tc>
          <w:tcPr>
            <w:tcW w:w="2137" w:type="dxa"/>
            <w:tcBorders>
              <w:top w:val="single" w:sz="6" w:space="0" w:color="auto"/>
              <w:bottom w:val="single" w:sz="12" w:space="0" w:color="auto"/>
            </w:tcBorders>
            <w:vAlign w:val="center"/>
          </w:tcPr>
          <w:p w14:paraId="59695EC5" w14:textId="4F401AD6" w:rsidR="00AE6E1F" w:rsidRPr="009427E0" w:rsidRDefault="00AE6E1F" w:rsidP="00E77687">
            <w:pPr>
              <w:tabs>
                <w:tab w:val="left" w:pos="2060"/>
              </w:tabs>
              <w:spacing w:line="276" w:lineRule="auto"/>
              <w:rPr>
                <w:b/>
                <w:bCs/>
                <w:i/>
                <w:iCs/>
                <w:color w:val="000000" w:themeColor="text1"/>
                <w:sz w:val="20"/>
                <w:szCs w:val="20"/>
                <w:lang w:val="en-GB"/>
              </w:rPr>
            </w:pPr>
            <w:r w:rsidRPr="009427E0">
              <w:rPr>
                <w:b/>
                <w:bCs/>
                <w:i/>
                <w:iCs/>
                <w:color w:val="000000" w:themeColor="text1"/>
                <w:sz w:val="20"/>
                <w:szCs w:val="20"/>
                <w:lang w:val="en-GB"/>
              </w:rPr>
              <w:t>Visuo-spatial abilities</w:t>
            </w:r>
          </w:p>
        </w:tc>
        <w:tc>
          <w:tcPr>
            <w:tcW w:w="3845" w:type="dxa"/>
            <w:tcBorders>
              <w:top w:val="single" w:sz="6" w:space="0" w:color="auto"/>
              <w:bottom w:val="single" w:sz="12" w:space="0" w:color="auto"/>
            </w:tcBorders>
            <w:vAlign w:val="center"/>
          </w:tcPr>
          <w:p w14:paraId="22DA7D58" w14:textId="2144B4BA" w:rsidR="004C6CBE" w:rsidRPr="009427E0" w:rsidRDefault="00833F69" w:rsidP="007B0463">
            <w:pPr>
              <w:tabs>
                <w:tab w:val="left" w:pos="2060"/>
              </w:tabs>
              <w:spacing w:line="276" w:lineRule="auto"/>
              <w:rPr>
                <w:color w:val="000000" w:themeColor="text1"/>
                <w:sz w:val="20"/>
                <w:szCs w:val="20"/>
                <w:lang w:val="en-US"/>
              </w:rPr>
            </w:pPr>
            <w:r w:rsidRPr="009427E0">
              <w:rPr>
                <w:color w:val="000000" w:themeColor="text1"/>
                <w:sz w:val="20"/>
                <w:szCs w:val="20"/>
                <w:lang w:val="en-US"/>
              </w:rPr>
              <w:t xml:space="preserve">Copy of the Rey Figure </w:t>
            </w:r>
          </w:p>
          <w:p w14:paraId="3A6596CA" w14:textId="33074DCB" w:rsidR="004C6CBE" w:rsidRPr="009427E0" w:rsidRDefault="004C6CBE" w:rsidP="007B0463">
            <w:pPr>
              <w:tabs>
                <w:tab w:val="left" w:pos="2060"/>
              </w:tabs>
              <w:spacing w:line="276" w:lineRule="auto"/>
              <w:rPr>
                <w:color w:val="000000" w:themeColor="text1"/>
                <w:sz w:val="20"/>
                <w:szCs w:val="20"/>
                <w:lang w:val="en-GB"/>
              </w:rPr>
            </w:pPr>
          </w:p>
        </w:tc>
        <w:tc>
          <w:tcPr>
            <w:tcW w:w="3112" w:type="dxa"/>
            <w:tcBorders>
              <w:top w:val="single" w:sz="6" w:space="0" w:color="auto"/>
              <w:bottom w:val="single" w:sz="12" w:space="0" w:color="auto"/>
            </w:tcBorders>
            <w:vAlign w:val="center"/>
          </w:tcPr>
          <w:p w14:paraId="108EC652" w14:textId="2B13B3C8" w:rsidR="00833F69" w:rsidRPr="009427E0" w:rsidRDefault="00833F69"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Benton Judgement of Line Orientation.</w:t>
            </w:r>
          </w:p>
          <w:p w14:paraId="66569A73" w14:textId="2A43A215" w:rsidR="004C6CBE" w:rsidRPr="009427E0" w:rsidRDefault="00833F69" w:rsidP="007B0463">
            <w:pPr>
              <w:autoSpaceDE w:val="0"/>
              <w:autoSpaceDN w:val="0"/>
              <w:adjustRightInd w:val="0"/>
              <w:spacing w:line="276" w:lineRule="auto"/>
              <w:rPr>
                <w:color w:val="000000" w:themeColor="text1"/>
                <w:sz w:val="20"/>
                <w:szCs w:val="20"/>
                <w:lang w:val="en-US"/>
              </w:rPr>
            </w:pPr>
            <w:r w:rsidRPr="009427E0">
              <w:rPr>
                <w:color w:val="000000" w:themeColor="text1"/>
                <w:sz w:val="20"/>
                <w:szCs w:val="20"/>
                <w:lang w:val="en-US"/>
              </w:rPr>
              <w:t>WAIS-III Blocks design</w:t>
            </w:r>
          </w:p>
        </w:tc>
      </w:tr>
    </w:tbl>
    <w:p w14:paraId="148870BF" w14:textId="2E653963" w:rsidR="004C6CBE" w:rsidRDefault="004C6CBE" w:rsidP="004A05D4">
      <w:pPr>
        <w:tabs>
          <w:tab w:val="left" w:pos="2060"/>
        </w:tabs>
        <w:spacing w:line="360" w:lineRule="auto"/>
        <w:jc w:val="both"/>
        <w:rPr>
          <w:lang w:val="en-US"/>
        </w:rPr>
      </w:pPr>
    </w:p>
    <w:p w14:paraId="2990445D" w14:textId="7AD1EE69" w:rsidR="009566AA" w:rsidRDefault="00544C8E" w:rsidP="00F4135D">
      <w:pPr>
        <w:tabs>
          <w:tab w:val="left" w:pos="2060"/>
        </w:tabs>
        <w:spacing w:line="360" w:lineRule="auto"/>
        <w:jc w:val="both"/>
        <w:rPr>
          <w:lang w:val="en-US"/>
        </w:rPr>
      </w:pPr>
      <w:r>
        <w:rPr>
          <w:lang w:val="en-US"/>
        </w:rPr>
        <w:t xml:space="preserve">Summary of neuropsychological tests </w:t>
      </w:r>
      <w:r w:rsidR="00E77687">
        <w:rPr>
          <w:lang w:val="en-US"/>
        </w:rPr>
        <w:t>performed in all cohorts</w:t>
      </w:r>
      <w:r>
        <w:rPr>
          <w:lang w:val="en-US"/>
        </w:rPr>
        <w:t xml:space="preserve"> (i.e., core cognitive tests) and </w:t>
      </w:r>
      <w:r w:rsidR="00E77687">
        <w:rPr>
          <w:lang w:val="en-US"/>
        </w:rPr>
        <w:t>available only in subsamples</w:t>
      </w:r>
      <w:r>
        <w:rPr>
          <w:lang w:val="en-US"/>
        </w:rPr>
        <w:t xml:space="preserve"> (i.e., additional cognitive tests).</w:t>
      </w:r>
      <w:r w:rsidR="000E7DE3">
        <w:rPr>
          <w:lang w:val="en-US"/>
        </w:rPr>
        <w:t xml:space="preserve"> </w:t>
      </w:r>
      <w:r w:rsidR="009427E0">
        <w:rPr>
          <w:lang w:val="en-US"/>
        </w:rPr>
        <w:t>MCI</w:t>
      </w:r>
      <w:r w:rsidR="000E7DE3">
        <w:rPr>
          <w:lang w:val="en-US"/>
        </w:rPr>
        <w:t xml:space="preserve"> diagnosis was established using core cognitive tests and all available additional cognitive tests.</w:t>
      </w:r>
    </w:p>
    <w:p w14:paraId="5A36D862" w14:textId="76B9895E" w:rsidR="00E77687" w:rsidRPr="002F4831" w:rsidRDefault="002F4831" w:rsidP="00F4135D">
      <w:pPr>
        <w:tabs>
          <w:tab w:val="left" w:pos="2060"/>
        </w:tabs>
        <w:spacing w:line="360" w:lineRule="auto"/>
        <w:jc w:val="both"/>
        <w:rPr>
          <w:lang w:val="en-US"/>
        </w:rPr>
      </w:pPr>
      <w:r w:rsidRPr="00F4135D">
        <w:rPr>
          <w:vertAlign w:val="superscript"/>
          <w:lang w:val="en-US"/>
        </w:rPr>
        <w:t>1</w:t>
      </w:r>
      <w:r w:rsidRPr="000E7DE3">
        <w:rPr>
          <w:lang w:val="en-US"/>
        </w:rPr>
        <w:t xml:space="preserve"> </w:t>
      </w:r>
      <w:r w:rsidR="009A02A4">
        <w:rPr>
          <w:lang w:val="en-US"/>
        </w:rPr>
        <w:t>Missing data in 3 participants (1 cognitively unimpaired, 2 aMCI).</w:t>
      </w:r>
    </w:p>
    <w:p w14:paraId="31CDDD3E" w14:textId="2D9845DD" w:rsidR="009E352F" w:rsidRPr="000E48F4" w:rsidRDefault="00DA1204" w:rsidP="00F4135D">
      <w:pPr>
        <w:spacing w:line="360" w:lineRule="auto"/>
        <w:jc w:val="both"/>
        <w:rPr>
          <w:lang w:val="en-US"/>
        </w:rPr>
      </w:pPr>
      <w:r w:rsidRPr="002F4831">
        <w:rPr>
          <w:u w:val="single"/>
          <w:lang w:val="en-US"/>
        </w:rPr>
        <w:t>Abbreviations</w:t>
      </w:r>
      <w:r w:rsidRPr="002F4831">
        <w:rPr>
          <w:lang w:val="en-US"/>
        </w:rPr>
        <w:t xml:space="preserve">: </w:t>
      </w:r>
      <w:r w:rsidR="00F4135D" w:rsidRPr="000E48F4">
        <w:rPr>
          <w:lang w:val="en-US"/>
        </w:rPr>
        <w:t>aMCI, amnestic Mild Cognitive Impairment</w:t>
      </w:r>
      <w:r w:rsidR="00F4135D">
        <w:rPr>
          <w:lang w:val="en-US"/>
        </w:rPr>
        <w:t xml:space="preserve">; </w:t>
      </w:r>
      <w:r w:rsidR="00F4135D" w:rsidRPr="000E48F4">
        <w:rPr>
          <w:color w:val="000000" w:themeColor="text1"/>
          <w:lang w:val="en-US"/>
        </w:rPr>
        <w:t>CPT, Continuous Performance Task;</w:t>
      </w:r>
      <w:r w:rsidR="00F4135D" w:rsidRPr="00F4135D">
        <w:rPr>
          <w:color w:val="000000" w:themeColor="text1"/>
          <w:lang w:val="en-US"/>
        </w:rPr>
        <w:t xml:space="preserve"> </w:t>
      </w:r>
      <w:r w:rsidR="00F4135D" w:rsidRPr="000E48F4">
        <w:rPr>
          <w:color w:val="000000" w:themeColor="text1"/>
          <w:lang w:val="en-US"/>
        </w:rPr>
        <w:t xml:space="preserve">D-KEFS, </w:t>
      </w:r>
      <w:r w:rsidR="00F4135D" w:rsidRPr="000E48F4">
        <w:rPr>
          <w:color w:val="000000" w:themeColor="text1"/>
          <w:shd w:val="clear" w:color="auto" w:fill="FFFFFF"/>
          <w:lang w:val="en-US"/>
        </w:rPr>
        <w:t>Delis-Kaplan Executive Function System</w:t>
      </w:r>
      <w:r w:rsidR="00F4135D" w:rsidRPr="000E48F4">
        <w:rPr>
          <w:color w:val="000000" w:themeColor="text1"/>
          <w:lang w:val="en-US"/>
        </w:rPr>
        <w:t>;</w:t>
      </w:r>
      <w:r w:rsidR="00F4135D" w:rsidRPr="00F4135D">
        <w:rPr>
          <w:color w:val="000000" w:themeColor="text1"/>
          <w:lang w:val="en-US"/>
        </w:rPr>
        <w:t xml:space="preserve"> </w:t>
      </w:r>
      <w:r w:rsidR="00F4135D" w:rsidRPr="000E48F4">
        <w:rPr>
          <w:color w:val="000000" w:themeColor="text1"/>
          <w:lang w:val="en-US"/>
        </w:rPr>
        <w:t>MMSE, Mini Mental State Examination;</w:t>
      </w:r>
      <w:r w:rsidR="00F4135D" w:rsidRPr="00F4135D">
        <w:rPr>
          <w:color w:val="000000" w:themeColor="text1"/>
          <w:lang w:val="en-US"/>
        </w:rPr>
        <w:t xml:space="preserve"> </w:t>
      </w:r>
      <w:r w:rsidR="00F4135D" w:rsidRPr="000E48F4">
        <w:rPr>
          <w:color w:val="000000" w:themeColor="text1"/>
          <w:lang w:val="en-US"/>
        </w:rPr>
        <w:t xml:space="preserve">MoCA, Montreal Cognitive Assessment; </w:t>
      </w:r>
      <w:r w:rsidR="00F4135D" w:rsidRPr="000E48F4">
        <w:rPr>
          <w:lang w:val="en-US"/>
        </w:rPr>
        <w:t>T, time</w:t>
      </w:r>
      <w:r w:rsidR="00F4135D">
        <w:rPr>
          <w:lang w:val="en-US"/>
        </w:rPr>
        <w:t>;</w:t>
      </w:r>
      <w:r w:rsidR="00F4135D" w:rsidRPr="00F4135D">
        <w:rPr>
          <w:lang w:val="en-US"/>
        </w:rPr>
        <w:t xml:space="preserve"> </w:t>
      </w:r>
      <w:r w:rsidR="00F4135D" w:rsidRPr="000E48F4">
        <w:rPr>
          <w:lang w:val="en-US"/>
        </w:rPr>
        <w:t>WAIS,</w:t>
      </w:r>
      <w:r w:rsidR="00F4135D">
        <w:rPr>
          <w:lang w:val="en-US"/>
        </w:rPr>
        <w:t xml:space="preserve"> Wechsler Adult Intelligence Scale;</w:t>
      </w:r>
      <w:r w:rsidR="00F4135D" w:rsidRPr="00F4135D">
        <w:rPr>
          <w:lang w:val="en-US"/>
        </w:rPr>
        <w:t xml:space="preserve"> </w:t>
      </w:r>
      <w:r w:rsidR="00F4135D" w:rsidRPr="000E48F4">
        <w:rPr>
          <w:lang w:val="en-US"/>
        </w:rPr>
        <w:t xml:space="preserve">WMS, </w:t>
      </w:r>
      <w:r w:rsidR="00F4135D">
        <w:rPr>
          <w:lang w:val="en-US"/>
        </w:rPr>
        <w:t>Wechsler Memory Scale.</w:t>
      </w:r>
      <w:r w:rsidR="009E352F" w:rsidRPr="000E48F4">
        <w:rPr>
          <w:lang w:val="en-US"/>
        </w:rPr>
        <w:br w:type="page"/>
      </w:r>
    </w:p>
    <w:p w14:paraId="04CDCB60" w14:textId="79819F7F" w:rsidR="006747EE" w:rsidRDefault="0075266D" w:rsidP="00347BD9">
      <w:pPr>
        <w:tabs>
          <w:tab w:val="left" w:pos="2060"/>
        </w:tabs>
        <w:spacing w:line="360" w:lineRule="auto"/>
        <w:jc w:val="both"/>
        <w:rPr>
          <w:b/>
          <w:lang w:val="en-GB"/>
        </w:rPr>
      </w:pPr>
      <w:r w:rsidRPr="0075266D">
        <w:rPr>
          <w:b/>
          <w:u w:val="single"/>
          <w:lang w:val="en-GB"/>
        </w:rPr>
        <w:lastRenderedPageBreak/>
        <w:t xml:space="preserve">Supplementary Table </w:t>
      </w:r>
      <w:r w:rsidR="00E46FF0">
        <w:rPr>
          <w:b/>
          <w:u w:val="single"/>
          <w:lang w:val="en-GB"/>
        </w:rPr>
        <w:t>2</w:t>
      </w:r>
      <w:r>
        <w:rPr>
          <w:b/>
          <w:lang w:val="en-GB"/>
        </w:rPr>
        <w:t xml:space="preserve">: </w:t>
      </w:r>
      <w:r w:rsidR="001401F7">
        <w:rPr>
          <w:b/>
          <w:lang w:val="en-GB"/>
        </w:rPr>
        <w:t>M</w:t>
      </w:r>
      <w:r w:rsidRPr="0075266D">
        <w:rPr>
          <w:b/>
          <w:lang w:val="en-GB"/>
        </w:rPr>
        <w:t xml:space="preserve">ultiple </w:t>
      </w:r>
      <w:r w:rsidR="001401F7">
        <w:rPr>
          <w:b/>
          <w:lang w:val="en-GB"/>
        </w:rPr>
        <w:t xml:space="preserve">linear </w:t>
      </w:r>
      <w:r w:rsidRPr="0075266D">
        <w:rPr>
          <w:b/>
          <w:lang w:val="en-GB"/>
        </w:rPr>
        <w:t>regression</w:t>
      </w:r>
      <w:r w:rsidR="00DB105F">
        <w:rPr>
          <w:b/>
          <w:lang w:val="en-GB"/>
        </w:rPr>
        <w:t>s</w:t>
      </w:r>
      <w:r w:rsidRPr="0075266D">
        <w:rPr>
          <w:b/>
          <w:lang w:val="en-GB"/>
        </w:rPr>
        <w:t xml:space="preserve"> between REM sleep duration and BF </w:t>
      </w:r>
      <w:r w:rsidR="00DB105F">
        <w:rPr>
          <w:b/>
          <w:lang w:val="en-GB"/>
        </w:rPr>
        <w:t>volume</w:t>
      </w:r>
      <w:r w:rsidRPr="0075266D">
        <w:rPr>
          <w:b/>
          <w:lang w:val="en-GB"/>
        </w:rPr>
        <w:t>.</w:t>
      </w:r>
    </w:p>
    <w:p w14:paraId="141C3C5F" w14:textId="77777777" w:rsidR="00347BD9" w:rsidRDefault="00347BD9" w:rsidP="00347BD9">
      <w:pPr>
        <w:tabs>
          <w:tab w:val="left" w:pos="2060"/>
        </w:tabs>
        <w:spacing w:line="360" w:lineRule="auto"/>
        <w:jc w:val="both"/>
        <w:rPr>
          <w:b/>
          <w:lang w:val="en-GB"/>
        </w:rPr>
      </w:pPr>
    </w:p>
    <w:tbl>
      <w:tblPr>
        <w:tblW w:w="5000" w:type="pct"/>
        <w:tblCellMar>
          <w:left w:w="70" w:type="dxa"/>
          <w:right w:w="70" w:type="dxa"/>
        </w:tblCellMar>
        <w:tblLook w:val="04A0" w:firstRow="1" w:lastRow="0" w:firstColumn="1" w:lastColumn="0" w:noHBand="0" w:noVBand="1"/>
      </w:tblPr>
      <w:tblGrid>
        <w:gridCol w:w="1845"/>
        <w:gridCol w:w="1557"/>
        <w:gridCol w:w="1981"/>
        <w:gridCol w:w="992"/>
        <w:gridCol w:w="1285"/>
        <w:gridCol w:w="712"/>
        <w:gridCol w:w="692"/>
      </w:tblGrid>
      <w:tr w:rsidR="00347BD9" w:rsidRPr="00347BD9" w14:paraId="4525FC04" w14:textId="77777777" w:rsidTr="006F462A">
        <w:trPr>
          <w:trHeight w:val="880"/>
        </w:trPr>
        <w:tc>
          <w:tcPr>
            <w:tcW w:w="1017" w:type="pct"/>
            <w:tcBorders>
              <w:top w:val="single" w:sz="12" w:space="0" w:color="auto"/>
              <w:left w:val="nil"/>
              <w:bottom w:val="single" w:sz="12" w:space="0" w:color="auto"/>
              <w:right w:val="nil"/>
            </w:tcBorders>
            <w:shd w:val="clear" w:color="auto" w:fill="auto"/>
            <w:noWrap/>
            <w:vAlign w:val="center"/>
            <w:hideMark/>
          </w:tcPr>
          <w:p w14:paraId="39ED96E7" w14:textId="77777777" w:rsidR="00347BD9" w:rsidRPr="00347BD9" w:rsidRDefault="00347BD9">
            <w:pPr>
              <w:jc w:val="center"/>
              <w:rPr>
                <w:b/>
                <w:bCs/>
                <w:color w:val="000000"/>
                <w:sz w:val="20"/>
                <w:szCs w:val="20"/>
              </w:rPr>
            </w:pPr>
            <w:r w:rsidRPr="00347BD9">
              <w:rPr>
                <w:b/>
                <w:bCs/>
                <w:color w:val="000000" w:themeColor="text1"/>
                <w:sz w:val="20"/>
                <w:szCs w:val="20"/>
                <w:lang w:val="en-US"/>
              </w:rPr>
              <w:t>Dependent variable</w:t>
            </w:r>
          </w:p>
        </w:tc>
        <w:tc>
          <w:tcPr>
            <w:tcW w:w="859" w:type="pct"/>
            <w:tcBorders>
              <w:top w:val="single" w:sz="12" w:space="0" w:color="auto"/>
              <w:left w:val="nil"/>
              <w:bottom w:val="single" w:sz="12" w:space="0" w:color="auto"/>
              <w:right w:val="nil"/>
            </w:tcBorders>
            <w:shd w:val="clear" w:color="auto" w:fill="auto"/>
            <w:vAlign w:val="center"/>
            <w:hideMark/>
          </w:tcPr>
          <w:p w14:paraId="6AC2E053" w14:textId="77777777" w:rsidR="00347BD9" w:rsidRPr="00347BD9" w:rsidRDefault="00347BD9">
            <w:pPr>
              <w:jc w:val="center"/>
              <w:rPr>
                <w:b/>
                <w:bCs/>
                <w:color w:val="000000"/>
                <w:sz w:val="20"/>
                <w:szCs w:val="20"/>
              </w:rPr>
            </w:pPr>
            <w:r w:rsidRPr="00347BD9">
              <w:rPr>
                <w:b/>
                <w:bCs/>
                <w:color w:val="000000" w:themeColor="text1"/>
                <w:sz w:val="20"/>
                <w:szCs w:val="20"/>
                <w:lang w:val="en-US"/>
              </w:rPr>
              <w:t>Independent variables</w:t>
            </w:r>
          </w:p>
        </w:tc>
        <w:tc>
          <w:tcPr>
            <w:tcW w:w="1093" w:type="pct"/>
            <w:tcBorders>
              <w:top w:val="single" w:sz="12" w:space="0" w:color="auto"/>
              <w:left w:val="nil"/>
              <w:bottom w:val="single" w:sz="12" w:space="0" w:color="auto"/>
              <w:right w:val="nil"/>
            </w:tcBorders>
            <w:shd w:val="clear" w:color="auto" w:fill="auto"/>
            <w:vAlign w:val="center"/>
            <w:hideMark/>
          </w:tcPr>
          <w:p w14:paraId="5124CA23" w14:textId="77777777" w:rsidR="00347BD9" w:rsidRPr="00347BD9" w:rsidRDefault="00347BD9">
            <w:pPr>
              <w:jc w:val="center"/>
              <w:rPr>
                <w:b/>
                <w:bCs/>
                <w:color w:val="000000"/>
                <w:sz w:val="20"/>
                <w:szCs w:val="20"/>
              </w:rPr>
            </w:pPr>
            <w:proofErr w:type="spellStart"/>
            <w:r w:rsidRPr="00347BD9">
              <w:rPr>
                <w:b/>
                <w:bCs/>
                <w:color w:val="000000"/>
                <w:sz w:val="20"/>
                <w:szCs w:val="20"/>
              </w:rPr>
              <w:t>Unstandardized</w:t>
            </w:r>
            <w:proofErr w:type="spellEnd"/>
            <w:r w:rsidRPr="00347BD9">
              <w:rPr>
                <w:b/>
                <w:bCs/>
                <w:color w:val="000000"/>
                <w:sz w:val="20"/>
                <w:szCs w:val="20"/>
              </w:rPr>
              <w:t xml:space="preserve"> coefficient (95% CI)</w:t>
            </w:r>
          </w:p>
        </w:tc>
        <w:tc>
          <w:tcPr>
            <w:tcW w:w="547" w:type="pct"/>
            <w:tcBorders>
              <w:top w:val="single" w:sz="12" w:space="0" w:color="auto"/>
              <w:left w:val="nil"/>
              <w:bottom w:val="single" w:sz="12" w:space="0" w:color="auto"/>
              <w:right w:val="nil"/>
            </w:tcBorders>
            <w:shd w:val="clear" w:color="auto" w:fill="auto"/>
            <w:vAlign w:val="center"/>
            <w:hideMark/>
          </w:tcPr>
          <w:p w14:paraId="0B6B6F78" w14:textId="77777777" w:rsidR="00347BD9" w:rsidRPr="00347BD9" w:rsidRDefault="00347BD9">
            <w:pPr>
              <w:jc w:val="center"/>
              <w:rPr>
                <w:b/>
                <w:bCs/>
                <w:color w:val="000000"/>
                <w:sz w:val="20"/>
                <w:szCs w:val="20"/>
              </w:rPr>
            </w:pPr>
            <w:r w:rsidRPr="00347BD9">
              <w:rPr>
                <w:b/>
                <w:bCs/>
                <w:color w:val="000000"/>
                <w:sz w:val="20"/>
                <w:szCs w:val="20"/>
              </w:rPr>
              <w:t xml:space="preserve">Standard </w:t>
            </w:r>
            <w:proofErr w:type="spellStart"/>
            <w:r w:rsidRPr="00347BD9">
              <w:rPr>
                <w:b/>
                <w:bCs/>
                <w:color w:val="000000"/>
                <w:sz w:val="20"/>
                <w:szCs w:val="20"/>
              </w:rPr>
              <w:t>Error</w:t>
            </w:r>
            <w:proofErr w:type="spellEnd"/>
          </w:p>
        </w:tc>
        <w:tc>
          <w:tcPr>
            <w:tcW w:w="709" w:type="pct"/>
            <w:tcBorders>
              <w:top w:val="single" w:sz="12" w:space="0" w:color="auto"/>
              <w:left w:val="nil"/>
              <w:bottom w:val="single" w:sz="12" w:space="0" w:color="auto"/>
              <w:right w:val="nil"/>
            </w:tcBorders>
            <w:shd w:val="clear" w:color="auto" w:fill="auto"/>
            <w:vAlign w:val="center"/>
            <w:hideMark/>
          </w:tcPr>
          <w:p w14:paraId="339FFE66" w14:textId="77777777" w:rsidR="00347BD9" w:rsidRPr="00347BD9" w:rsidRDefault="00347BD9">
            <w:pPr>
              <w:jc w:val="center"/>
              <w:rPr>
                <w:b/>
                <w:bCs/>
                <w:color w:val="000000"/>
                <w:sz w:val="20"/>
                <w:szCs w:val="20"/>
              </w:rPr>
            </w:pPr>
            <w:proofErr w:type="spellStart"/>
            <w:r w:rsidRPr="00347BD9">
              <w:rPr>
                <w:b/>
                <w:bCs/>
                <w:color w:val="000000"/>
                <w:sz w:val="20"/>
                <w:szCs w:val="20"/>
              </w:rPr>
              <w:t>Standardized</w:t>
            </w:r>
            <w:proofErr w:type="spellEnd"/>
            <w:r w:rsidRPr="00347BD9">
              <w:rPr>
                <w:b/>
                <w:bCs/>
                <w:color w:val="000000"/>
                <w:sz w:val="20"/>
                <w:szCs w:val="20"/>
              </w:rPr>
              <w:t xml:space="preserve"> coefficient</w:t>
            </w:r>
          </w:p>
        </w:tc>
        <w:tc>
          <w:tcPr>
            <w:tcW w:w="393" w:type="pct"/>
            <w:tcBorders>
              <w:top w:val="single" w:sz="12" w:space="0" w:color="auto"/>
              <w:left w:val="nil"/>
              <w:bottom w:val="single" w:sz="12" w:space="0" w:color="auto"/>
              <w:right w:val="nil"/>
            </w:tcBorders>
            <w:shd w:val="clear" w:color="auto" w:fill="auto"/>
            <w:vAlign w:val="center"/>
            <w:hideMark/>
          </w:tcPr>
          <w:p w14:paraId="1BEF648D" w14:textId="77777777" w:rsidR="00347BD9" w:rsidRPr="00347BD9" w:rsidRDefault="00347BD9">
            <w:pPr>
              <w:jc w:val="center"/>
              <w:rPr>
                <w:b/>
                <w:bCs/>
                <w:color w:val="000000"/>
                <w:sz w:val="20"/>
                <w:szCs w:val="20"/>
              </w:rPr>
            </w:pPr>
            <w:proofErr w:type="spellStart"/>
            <w:r w:rsidRPr="00347BD9">
              <w:rPr>
                <w:b/>
                <w:bCs/>
                <w:color w:val="000000"/>
                <w:sz w:val="20"/>
                <w:szCs w:val="20"/>
              </w:rPr>
              <w:t>P</w:t>
            </w:r>
            <w:r w:rsidRPr="00347BD9">
              <w:rPr>
                <w:b/>
                <w:bCs/>
                <w:color w:val="000000"/>
                <w:sz w:val="20"/>
                <w:szCs w:val="20"/>
                <w:vertAlign w:val="subscript"/>
              </w:rPr>
              <w:t>unc</w:t>
            </w:r>
            <w:proofErr w:type="spellEnd"/>
            <w:r w:rsidRPr="00347BD9">
              <w:rPr>
                <w:b/>
                <w:bCs/>
                <w:color w:val="000000"/>
                <w:sz w:val="20"/>
                <w:szCs w:val="20"/>
                <w:vertAlign w:val="subscript"/>
              </w:rPr>
              <w:t>.</w:t>
            </w:r>
          </w:p>
        </w:tc>
        <w:tc>
          <w:tcPr>
            <w:tcW w:w="382" w:type="pct"/>
            <w:tcBorders>
              <w:top w:val="single" w:sz="12" w:space="0" w:color="auto"/>
              <w:left w:val="nil"/>
              <w:bottom w:val="single" w:sz="12" w:space="0" w:color="auto"/>
              <w:right w:val="nil"/>
            </w:tcBorders>
            <w:shd w:val="clear" w:color="auto" w:fill="auto"/>
            <w:vAlign w:val="center"/>
            <w:hideMark/>
          </w:tcPr>
          <w:p w14:paraId="49F1325D" w14:textId="77777777" w:rsidR="00347BD9" w:rsidRPr="00347BD9" w:rsidRDefault="00347BD9">
            <w:pPr>
              <w:jc w:val="center"/>
              <w:rPr>
                <w:b/>
                <w:bCs/>
                <w:color w:val="000000"/>
                <w:sz w:val="20"/>
                <w:szCs w:val="20"/>
              </w:rPr>
            </w:pPr>
            <w:r w:rsidRPr="00347BD9">
              <w:rPr>
                <w:b/>
                <w:bCs/>
                <w:color w:val="000000"/>
                <w:sz w:val="20"/>
                <w:szCs w:val="20"/>
              </w:rPr>
              <w:t>P</w:t>
            </w:r>
            <w:r w:rsidRPr="00347BD9">
              <w:rPr>
                <w:b/>
                <w:bCs/>
                <w:color w:val="000000"/>
                <w:sz w:val="20"/>
                <w:szCs w:val="20"/>
                <w:vertAlign w:val="subscript"/>
              </w:rPr>
              <w:t>FDR-</w:t>
            </w:r>
            <w:proofErr w:type="spellStart"/>
            <w:r w:rsidRPr="00347BD9">
              <w:rPr>
                <w:b/>
                <w:bCs/>
                <w:color w:val="000000"/>
                <w:sz w:val="20"/>
                <w:szCs w:val="20"/>
                <w:vertAlign w:val="subscript"/>
              </w:rPr>
              <w:t>corrected</w:t>
            </w:r>
            <w:proofErr w:type="spellEnd"/>
          </w:p>
        </w:tc>
      </w:tr>
      <w:tr w:rsidR="00347BD9" w:rsidRPr="00347BD9" w14:paraId="2BBC8568" w14:textId="77777777" w:rsidTr="00347BD9">
        <w:trPr>
          <w:trHeight w:val="340"/>
        </w:trPr>
        <w:tc>
          <w:tcPr>
            <w:tcW w:w="5000" w:type="pct"/>
            <w:gridSpan w:val="7"/>
            <w:tcBorders>
              <w:top w:val="nil"/>
              <w:left w:val="nil"/>
              <w:bottom w:val="nil"/>
              <w:right w:val="nil"/>
            </w:tcBorders>
            <w:shd w:val="clear" w:color="000000" w:fill="E7E6E6"/>
            <w:noWrap/>
            <w:vAlign w:val="center"/>
            <w:hideMark/>
          </w:tcPr>
          <w:p w14:paraId="031730EC" w14:textId="0918175E" w:rsidR="00347BD9" w:rsidRPr="00347BD9" w:rsidRDefault="00347BD9">
            <w:pPr>
              <w:rPr>
                <w:b/>
                <w:bCs/>
                <w:color w:val="000000"/>
                <w:sz w:val="20"/>
                <w:szCs w:val="20"/>
              </w:rPr>
            </w:pPr>
            <w:r w:rsidRPr="00347BD9">
              <w:rPr>
                <w:b/>
                <w:bCs/>
                <w:color w:val="000000"/>
                <w:sz w:val="20"/>
                <w:szCs w:val="20"/>
              </w:rPr>
              <w:t xml:space="preserve">Full </w:t>
            </w:r>
            <w:proofErr w:type="spellStart"/>
            <w:r w:rsidRPr="00347BD9">
              <w:rPr>
                <w:b/>
                <w:bCs/>
                <w:color w:val="000000"/>
                <w:sz w:val="20"/>
                <w:szCs w:val="20"/>
              </w:rPr>
              <w:t>sample</w:t>
            </w:r>
            <w:proofErr w:type="spellEnd"/>
          </w:p>
        </w:tc>
      </w:tr>
      <w:tr w:rsidR="00347BD9" w:rsidRPr="00347BD9" w14:paraId="673922D9" w14:textId="77777777" w:rsidTr="006F462A">
        <w:trPr>
          <w:trHeight w:val="320"/>
        </w:trPr>
        <w:tc>
          <w:tcPr>
            <w:tcW w:w="1017" w:type="pct"/>
            <w:tcBorders>
              <w:top w:val="nil"/>
              <w:left w:val="nil"/>
              <w:bottom w:val="nil"/>
              <w:right w:val="nil"/>
            </w:tcBorders>
            <w:shd w:val="clear" w:color="auto" w:fill="auto"/>
            <w:noWrap/>
            <w:vAlign w:val="center"/>
            <w:hideMark/>
          </w:tcPr>
          <w:p w14:paraId="7A56BF0C" w14:textId="77777777" w:rsidR="00347BD9" w:rsidRPr="00347BD9" w:rsidRDefault="00347BD9">
            <w:pPr>
              <w:rPr>
                <w:color w:val="000000"/>
                <w:sz w:val="20"/>
                <w:szCs w:val="20"/>
              </w:rPr>
            </w:pPr>
            <w:r w:rsidRPr="00347BD9">
              <w:rPr>
                <w:color w:val="000000"/>
                <w:sz w:val="20"/>
                <w:szCs w:val="20"/>
              </w:rPr>
              <w:t>Ch123 volume</w:t>
            </w:r>
          </w:p>
        </w:tc>
        <w:tc>
          <w:tcPr>
            <w:tcW w:w="859" w:type="pct"/>
            <w:tcBorders>
              <w:top w:val="nil"/>
              <w:left w:val="nil"/>
              <w:bottom w:val="nil"/>
              <w:right w:val="nil"/>
            </w:tcBorders>
            <w:shd w:val="clear" w:color="auto" w:fill="auto"/>
            <w:vAlign w:val="center"/>
            <w:hideMark/>
          </w:tcPr>
          <w:p w14:paraId="6CEC1F26"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bottom w:val="nil"/>
              <w:right w:val="nil"/>
            </w:tcBorders>
            <w:shd w:val="clear" w:color="auto" w:fill="auto"/>
            <w:vAlign w:val="center"/>
            <w:hideMark/>
          </w:tcPr>
          <w:p w14:paraId="3973F54F" w14:textId="77777777" w:rsidR="00347BD9" w:rsidRPr="00347BD9" w:rsidRDefault="00347BD9">
            <w:pPr>
              <w:jc w:val="center"/>
              <w:rPr>
                <w:color w:val="000000"/>
                <w:sz w:val="20"/>
                <w:szCs w:val="20"/>
              </w:rPr>
            </w:pPr>
            <w:r w:rsidRPr="00347BD9">
              <w:rPr>
                <w:color w:val="000000"/>
                <w:sz w:val="20"/>
                <w:szCs w:val="20"/>
              </w:rPr>
              <w:t>0.11 (-0.06 – 0.28)</w:t>
            </w:r>
          </w:p>
        </w:tc>
        <w:tc>
          <w:tcPr>
            <w:tcW w:w="547" w:type="pct"/>
            <w:tcBorders>
              <w:top w:val="nil"/>
              <w:left w:val="nil"/>
              <w:bottom w:val="nil"/>
              <w:right w:val="nil"/>
            </w:tcBorders>
            <w:shd w:val="clear" w:color="auto" w:fill="auto"/>
            <w:vAlign w:val="center"/>
            <w:hideMark/>
          </w:tcPr>
          <w:p w14:paraId="30969EF5" w14:textId="77777777" w:rsidR="00347BD9" w:rsidRPr="00347BD9" w:rsidRDefault="00347BD9">
            <w:pPr>
              <w:jc w:val="center"/>
              <w:rPr>
                <w:color w:val="000000"/>
                <w:sz w:val="20"/>
                <w:szCs w:val="20"/>
              </w:rPr>
            </w:pPr>
            <w:r w:rsidRPr="00347BD9">
              <w:rPr>
                <w:color w:val="000000"/>
                <w:sz w:val="20"/>
                <w:szCs w:val="20"/>
              </w:rPr>
              <w:t>0.08</w:t>
            </w:r>
          </w:p>
        </w:tc>
        <w:tc>
          <w:tcPr>
            <w:tcW w:w="709" w:type="pct"/>
            <w:tcBorders>
              <w:top w:val="nil"/>
              <w:left w:val="nil"/>
              <w:bottom w:val="nil"/>
              <w:right w:val="nil"/>
            </w:tcBorders>
            <w:shd w:val="clear" w:color="auto" w:fill="auto"/>
            <w:vAlign w:val="center"/>
            <w:hideMark/>
          </w:tcPr>
          <w:p w14:paraId="1D5CECE1" w14:textId="77777777" w:rsidR="00347BD9" w:rsidRPr="00347BD9" w:rsidRDefault="00347BD9">
            <w:pPr>
              <w:jc w:val="center"/>
              <w:rPr>
                <w:color w:val="000000"/>
                <w:sz w:val="20"/>
                <w:szCs w:val="20"/>
              </w:rPr>
            </w:pPr>
            <w:r w:rsidRPr="00347BD9">
              <w:rPr>
                <w:color w:val="000000"/>
                <w:sz w:val="20"/>
                <w:szCs w:val="20"/>
              </w:rPr>
              <w:t>0.14</w:t>
            </w:r>
          </w:p>
        </w:tc>
        <w:tc>
          <w:tcPr>
            <w:tcW w:w="393" w:type="pct"/>
            <w:tcBorders>
              <w:top w:val="nil"/>
              <w:left w:val="nil"/>
              <w:bottom w:val="nil"/>
              <w:right w:val="nil"/>
            </w:tcBorders>
            <w:shd w:val="clear" w:color="auto" w:fill="auto"/>
            <w:vAlign w:val="center"/>
            <w:hideMark/>
          </w:tcPr>
          <w:p w14:paraId="10F83F58" w14:textId="3CC83E75" w:rsidR="00347BD9" w:rsidRPr="00347BD9" w:rsidRDefault="00347BD9">
            <w:pPr>
              <w:jc w:val="center"/>
              <w:rPr>
                <w:color w:val="000000"/>
                <w:sz w:val="20"/>
                <w:szCs w:val="20"/>
              </w:rPr>
            </w:pPr>
            <w:r w:rsidRPr="00347BD9">
              <w:rPr>
                <w:color w:val="000000"/>
                <w:sz w:val="20"/>
                <w:szCs w:val="20"/>
              </w:rPr>
              <w:t>0.2</w:t>
            </w:r>
            <w:r w:rsidR="002F0C50">
              <w:rPr>
                <w:color w:val="000000"/>
                <w:sz w:val="20"/>
                <w:szCs w:val="20"/>
              </w:rPr>
              <w:t>0</w:t>
            </w:r>
          </w:p>
        </w:tc>
        <w:tc>
          <w:tcPr>
            <w:tcW w:w="382" w:type="pct"/>
            <w:tcBorders>
              <w:top w:val="nil"/>
              <w:left w:val="nil"/>
              <w:bottom w:val="nil"/>
              <w:right w:val="nil"/>
            </w:tcBorders>
            <w:shd w:val="clear" w:color="auto" w:fill="auto"/>
            <w:noWrap/>
            <w:vAlign w:val="bottom"/>
            <w:hideMark/>
          </w:tcPr>
          <w:p w14:paraId="1EA2D103" w14:textId="77777777" w:rsidR="00347BD9" w:rsidRPr="00347BD9" w:rsidRDefault="00347BD9">
            <w:pPr>
              <w:jc w:val="center"/>
              <w:rPr>
                <w:color w:val="000000"/>
                <w:sz w:val="20"/>
                <w:szCs w:val="20"/>
              </w:rPr>
            </w:pPr>
          </w:p>
        </w:tc>
      </w:tr>
      <w:tr w:rsidR="00347BD9" w:rsidRPr="00347BD9" w14:paraId="3975439E" w14:textId="77777777" w:rsidTr="006F462A">
        <w:trPr>
          <w:trHeight w:val="320"/>
        </w:trPr>
        <w:tc>
          <w:tcPr>
            <w:tcW w:w="1017" w:type="pct"/>
            <w:tcBorders>
              <w:top w:val="nil"/>
              <w:left w:val="nil"/>
              <w:right w:val="nil"/>
            </w:tcBorders>
            <w:shd w:val="clear" w:color="auto" w:fill="auto"/>
            <w:noWrap/>
            <w:vAlign w:val="center"/>
            <w:hideMark/>
          </w:tcPr>
          <w:p w14:paraId="15FAD8F8" w14:textId="77777777" w:rsidR="00347BD9" w:rsidRPr="00347BD9" w:rsidRDefault="00347BD9">
            <w:pPr>
              <w:rPr>
                <w:color w:val="000000"/>
                <w:sz w:val="20"/>
                <w:szCs w:val="20"/>
              </w:rPr>
            </w:pPr>
            <w:r w:rsidRPr="00347BD9">
              <w:rPr>
                <w:color w:val="000000"/>
                <w:sz w:val="20"/>
                <w:szCs w:val="20"/>
              </w:rPr>
              <w:t>Ch4 volume</w:t>
            </w:r>
          </w:p>
        </w:tc>
        <w:tc>
          <w:tcPr>
            <w:tcW w:w="859" w:type="pct"/>
            <w:tcBorders>
              <w:top w:val="nil"/>
              <w:left w:val="nil"/>
              <w:right w:val="nil"/>
            </w:tcBorders>
            <w:shd w:val="clear" w:color="auto" w:fill="auto"/>
            <w:vAlign w:val="center"/>
            <w:hideMark/>
          </w:tcPr>
          <w:p w14:paraId="5362586A"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right w:val="nil"/>
            </w:tcBorders>
            <w:shd w:val="clear" w:color="auto" w:fill="auto"/>
            <w:vAlign w:val="center"/>
            <w:hideMark/>
          </w:tcPr>
          <w:p w14:paraId="7EE6CECB" w14:textId="075AF70A" w:rsidR="00347BD9" w:rsidRPr="00347BD9" w:rsidRDefault="006F462A">
            <w:pPr>
              <w:jc w:val="center"/>
              <w:rPr>
                <w:color w:val="000000"/>
                <w:sz w:val="20"/>
                <w:szCs w:val="20"/>
              </w:rPr>
            </w:pPr>
            <w:r>
              <w:rPr>
                <w:color w:val="000000"/>
                <w:sz w:val="20"/>
                <w:szCs w:val="20"/>
              </w:rPr>
              <w:t>6.95</w:t>
            </w:r>
            <w:r w:rsidRPr="006F462A">
              <w:rPr>
                <w:color w:val="000000"/>
                <w:sz w:val="20"/>
                <w:szCs w:val="20"/>
              </w:rPr>
              <w:t>e</w:t>
            </w:r>
            <w:r w:rsidRPr="006F462A">
              <w:rPr>
                <w:color w:val="000000"/>
                <w:sz w:val="20"/>
                <w:szCs w:val="20"/>
                <w:vertAlign w:val="superscript"/>
              </w:rPr>
              <w:t>-4</w:t>
            </w:r>
            <w:r w:rsidR="00347BD9" w:rsidRPr="00347BD9">
              <w:rPr>
                <w:color w:val="000000"/>
                <w:sz w:val="20"/>
                <w:szCs w:val="20"/>
              </w:rPr>
              <w:t xml:space="preserve"> (</w:t>
            </w:r>
            <w:r>
              <w:rPr>
                <w:color w:val="000000"/>
                <w:sz w:val="20"/>
                <w:szCs w:val="20"/>
              </w:rPr>
              <w:t>1.3</w:t>
            </w:r>
            <w:r w:rsidRPr="006F462A">
              <w:rPr>
                <w:color w:val="000000"/>
                <w:sz w:val="20"/>
                <w:szCs w:val="20"/>
              </w:rPr>
              <w:t>e</w:t>
            </w:r>
            <w:r w:rsidRPr="006F462A">
              <w:rPr>
                <w:color w:val="000000"/>
                <w:sz w:val="20"/>
                <w:szCs w:val="20"/>
                <w:vertAlign w:val="superscript"/>
              </w:rPr>
              <w:t>-4</w:t>
            </w:r>
            <w:r w:rsidR="00347BD9" w:rsidRPr="00347BD9">
              <w:rPr>
                <w:color w:val="000000"/>
                <w:sz w:val="20"/>
                <w:szCs w:val="20"/>
              </w:rPr>
              <w:t xml:space="preserve"> –</w:t>
            </w:r>
            <w:r>
              <w:rPr>
                <w:color w:val="000000"/>
                <w:sz w:val="20"/>
                <w:szCs w:val="20"/>
              </w:rPr>
              <w:t xml:space="preserve"> 0.001</w:t>
            </w:r>
            <w:r w:rsidR="00347BD9" w:rsidRPr="00347BD9">
              <w:rPr>
                <w:color w:val="000000"/>
                <w:sz w:val="20"/>
                <w:szCs w:val="20"/>
              </w:rPr>
              <w:t>)</w:t>
            </w:r>
          </w:p>
        </w:tc>
        <w:tc>
          <w:tcPr>
            <w:tcW w:w="547" w:type="pct"/>
            <w:tcBorders>
              <w:top w:val="nil"/>
              <w:left w:val="nil"/>
              <w:right w:val="nil"/>
            </w:tcBorders>
            <w:shd w:val="clear" w:color="auto" w:fill="auto"/>
            <w:vAlign w:val="center"/>
            <w:hideMark/>
          </w:tcPr>
          <w:p w14:paraId="77983E59" w14:textId="2C1E2084" w:rsidR="00347BD9" w:rsidRPr="00347BD9" w:rsidRDefault="006F462A">
            <w:pPr>
              <w:jc w:val="center"/>
              <w:rPr>
                <w:color w:val="000000"/>
                <w:sz w:val="20"/>
                <w:szCs w:val="20"/>
              </w:rPr>
            </w:pPr>
            <w:r>
              <w:rPr>
                <w:color w:val="000000"/>
                <w:sz w:val="20"/>
                <w:szCs w:val="20"/>
              </w:rPr>
              <w:t>2.8</w:t>
            </w:r>
            <w:r w:rsidRPr="006F462A">
              <w:rPr>
                <w:color w:val="000000"/>
                <w:sz w:val="20"/>
                <w:szCs w:val="20"/>
              </w:rPr>
              <w:t>e</w:t>
            </w:r>
            <w:r w:rsidRPr="006F462A">
              <w:rPr>
                <w:color w:val="000000"/>
                <w:sz w:val="20"/>
                <w:szCs w:val="20"/>
                <w:vertAlign w:val="superscript"/>
              </w:rPr>
              <w:t>-4</w:t>
            </w:r>
          </w:p>
        </w:tc>
        <w:tc>
          <w:tcPr>
            <w:tcW w:w="709" w:type="pct"/>
            <w:tcBorders>
              <w:top w:val="nil"/>
              <w:left w:val="nil"/>
              <w:right w:val="nil"/>
            </w:tcBorders>
            <w:shd w:val="clear" w:color="auto" w:fill="auto"/>
            <w:vAlign w:val="center"/>
            <w:hideMark/>
          </w:tcPr>
          <w:p w14:paraId="269CDF3C" w14:textId="70E50366" w:rsidR="00347BD9" w:rsidRPr="00347BD9" w:rsidRDefault="00347BD9">
            <w:pPr>
              <w:jc w:val="center"/>
              <w:rPr>
                <w:color w:val="000000"/>
                <w:sz w:val="20"/>
                <w:szCs w:val="20"/>
              </w:rPr>
            </w:pPr>
            <w:r w:rsidRPr="00347BD9">
              <w:rPr>
                <w:color w:val="000000"/>
                <w:sz w:val="20"/>
                <w:szCs w:val="20"/>
              </w:rPr>
              <w:t>0.</w:t>
            </w:r>
            <w:r w:rsidR="006F462A">
              <w:rPr>
                <w:color w:val="000000"/>
                <w:sz w:val="20"/>
                <w:szCs w:val="20"/>
              </w:rPr>
              <w:t>30</w:t>
            </w:r>
          </w:p>
        </w:tc>
        <w:tc>
          <w:tcPr>
            <w:tcW w:w="393" w:type="pct"/>
            <w:tcBorders>
              <w:top w:val="nil"/>
              <w:left w:val="nil"/>
              <w:right w:val="nil"/>
            </w:tcBorders>
            <w:shd w:val="clear" w:color="auto" w:fill="auto"/>
            <w:vAlign w:val="center"/>
            <w:hideMark/>
          </w:tcPr>
          <w:p w14:paraId="6B2CC0DC" w14:textId="5986855E" w:rsidR="00347BD9" w:rsidRPr="00347BD9" w:rsidRDefault="00347BD9">
            <w:pPr>
              <w:jc w:val="center"/>
              <w:rPr>
                <w:b/>
                <w:bCs/>
                <w:color w:val="000000"/>
                <w:sz w:val="20"/>
                <w:szCs w:val="20"/>
              </w:rPr>
            </w:pPr>
            <w:r w:rsidRPr="00347BD9">
              <w:rPr>
                <w:b/>
                <w:bCs/>
                <w:color w:val="000000"/>
                <w:sz w:val="20"/>
                <w:szCs w:val="20"/>
              </w:rPr>
              <w:t>0.0</w:t>
            </w:r>
            <w:r w:rsidR="002F0C50">
              <w:rPr>
                <w:b/>
                <w:bCs/>
                <w:color w:val="000000"/>
                <w:sz w:val="20"/>
                <w:szCs w:val="20"/>
              </w:rPr>
              <w:t>1</w:t>
            </w:r>
            <w:r w:rsidR="006F462A">
              <w:rPr>
                <w:b/>
                <w:bCs/>
                <w:color w:val="000000"/>
                <w:sz w:val="20"/>
                <w:szCs w:val="20"/>
              </w:rPr>
              <w:t>7</w:t>
            </w:r>
          </w:p>
        </w:tc>
        <w:tc>
          <w:tcPr>
            <w:tcW w:w="382" w:type="pct"/>
            <w:tcBorders>
              <w:top w:val="nil"/>
              <w:left w:val="nil"/>
              <w:right w:val="nil"/>
            </w:tcBorders>
            <w:shd w:val="clear" w:color="auto" w:fill="auto"/>
            <w:noWrap/>
            <w:vAlign w:val="center"/>
            <w:hideMark/>
          </w:tcPr>
          <w:p w14:paraId="2EEF9D60" w14:textId="63396CD8" w:rsidR="00347BD9" w:rsidRPr="00347BD9" w:rsidRDefault="00347BD9">
            <w:pPr>
              <w:rPr>
                <w:b/>
                <w:bCs/>
                <w:color w:val="000000"/>
                <w:sz w:val="20"/>
                <w:szCs w:val="20"/>
              </w:rPr>
            </w:pPr>
            <w:r w:rsidRPr="006F462A">
              <w:rPr>
                <w:b/>
                <w:bCs/>
                <w:color w:val="000000"/>
                <w:sz w:val="20"/>
                <w:szCs w:val="20"/>
              </w:rPr>
              <w:t>0.026</w:t>
            </w:r>
          </w:p>
        </w:tc>
      </w:tr>
      <w:tr w:rsidR="00347BD9" w:rsidRPr="00347BD9" w14:paraId="3F13E22D" w14:textId="77777777" w:rsidTr="006F462A">
        <w:trPr>
          <w:trHeight w:val="320"/>
        </w:trPr>
        <w:tc>
          <w:tcPr>
            <w:tcW w:w="1017" w:type="pct"/>
            <w:tcBorders>
              <w:top w:val="nil"/>
              <w:left w:val="nil"/>
              <w:bottom w:val="single" w:sz="12" w:space="0" w:color="auto"/>
              <w:right w:val="nil"/>
            </w:tcBorders>
            <w:shd w:val="clear" w:color="auto" w:fill="auto"/>
            <w:noWrap/>
            <w:vAlign w:val="center"/>
            <w:hideMark/>
          </w:tcPr>
          <w:p w14:paraId="62AFD2C6" w14:textId="77777777" w:rsidR="00347BD9" w:rsidRPr="00347BD9" w:rsidRDefault="00347BD9">
            <w:pPr>
              <w:rPr>
                <w:color w:val="000000"/>
                <w:sz w:val="20"/>
                <w:szCs w:val="20"/>
              </w:rPr>
            </w:pPr>
            <w:r w:rsidRPr="00347BD9">
              <w:rPr>
                <w:color w:val="000000"/>
                <w:sz w:val="20"/>
                <w:szCs w:val="20"/>
              </w:rPr>
              <w:t>Total BF volume</w:t>
            </w:r>
          </w:p>
        </w:tc>
        <w:tc>
          <w:tcPr>
            <w:tcW w:w="859" w:type="pct"/>
            <w:tcBorders>
              <w:top w:val="nil"/>
              <w:left w:val="nil"/>
              <w:bottom w:val="single" w:sz="12" w:space="0" w:color="auto"/>
              <w:right w:val="nil"/>
            </w:tcBorders>
            <w:shd w:val="clear" w:color="auto" w:fill="auto"/>
            <w:vAlign w:val="center"/>
            <w:hideMark/>
          </w:tcPr>
          <w:p w14:paraId="0E35CF9F"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bottom w:val="single" w:sz="12" w:space="0" w:color="auto"/>
              <w:right w:val="nil"/>
            </w:tcBorders>
            <w:shd w:val="clear" w:color="auto" w:fill="auto"/>
            <w:vAlign w:val="center"/>
            <w:hideMark/>
          </w:tcPr>
          <w:p w14:paraId="416ACA7F" w14:textId="69FD7DD5" w:rsidR="00347BD9" w:rsidRPr="00347BD9" w:rsidRDefault="00347BD9">
            <w:pPr>
              <w:jc w:val="center"/>
              <w:rPr>
                <w:color w:val="000000"/>
                <w:sz w:val="20"/>
                <w:szCs w:val="20"/>
              </w:rPr>
            </w:pPr>
            <w:r w:rsidRPr="00347BD9">
              <w:rPr>
                <w:color w:val="000000"/>
                <w:sz w:val="20"/>
                <w:szCs w:val="20"/>
              </w:rPr>
              <w:t>0.54 (0.1 –</w:t>
            </w:r>
            <w:r w:rsidR="006F462A">
              <w:rPr>
                <w:color w:val="000000"/>
                <w:sz w:val="20"/>
                <w:szCs w:val="20"/>
              </w:rPr>
              <w:t xml:space="preserve"> </w:t>
            </w:r>
            <w:r w:rsidRPr="00347BD9">
              <w:rPr>
                <w:color w:val="000000"/>
                <w:sz w:val="20"/>
                <w:szCs w:val="20"/>
              </w:rPr>
              <w:t>0.98)</w:t>
            </w:r>
          </w:p>
        </w:tc>
        <w:tc>
          <w:tcPr>
            <w:tcW w:w="547" w:type="pct"/>
            <w:tcBorders>
              <w:top w:val="nil"/>
              <w:left w:val="nil"/>
              <w:bottom w:val="single" w:sz="12" w:space="0" w:color="auto"/>
              <w:right w:val="nil"/>
            </w:tcBorders>
            <w:shd w:val="clear" w:color="auto" w:fill="auto"/>
            <w:vAlign w:val="center"/>
            <w:hideMark/>
          </w:tcPr>
          <w:p w14:paraId="38E74BC5" w14:textId="77777777" w:rsidR="00347BD9" w:rsidRPr="00347BD9" w:rsidRDefault="00347BD9">
            <w:pPr>
              <w:jc w:val="center"/>
              <w:rPr>
                <w:color w:val="000000"/>
                <w:sz w:val="20"/>
                <w:szCs w:val="20"/>
              </w:rPr>
            </w:pPr>
            <w:r w:rsidRPr="00347BD9">
              <w:rPr>
                <w:color w:val="000000"/>
                <w:sz w:val="20"/>
                <w:szCs w:val="20"/>
              </w:rPr>
              <w:t>0.22</w:t>
            </w:r>
          </w:p>
        </w:tc>
        <w:tc>
          <w:tcPr>
            <w:tcW w:w="709" w:type="pct"/>
            <w:tcBorders>
              <w:top w:val="nil"/>
              <w:left w:val="nil"/>
              <w:bottom w:val="single" w:sz="12" w:space="0" w:color="auto"/>
              <w:right w:val="nil"/>
            </w:tcBorders>
            <w:shd w:val="clear" w:color="auto" w:fill="auto"/>
            <w:vAlign w:val="center"/>
            <w:hideMark/>
          </w:tcPr>
          <w:p w14:paraId="1C52920B" w14:textId="77777777" w:rsidR="00347BD9" w:rsidRPr="00347BD9" w:rsidRDefault="00347BD9">
            <w:pPr>
              <w:jc w:val="center"/>
              <w:rPr>
                <w:color w:val="000000"/>
                <w:sz w:val="20"/>
                <w:szCs w:val="20"/>
              </w:rPr>
            </w:pPr>
            <w:r w:rsidRPr="00347BD9">
              <w:rPr>
                <w:color w:val="000000"/>
                <w:sz w:val="20"/>
                <w:szCs w:val="20"/>
              </w:rPr>
              <w:t>0.28</w:t>
            </w:r>
          </w:p>
        </w:tc>
        <w:tc>
          <w:tcPr>
            <w:tcW w:w="393" w:type="pct"/>
            <w:tcBorders>
              <w:top w:val="nil"/>
              <w:left w:val="nil"/>
              <w:bottom w:val="single" w:sz="12" w:space="0" w:color="auto"/>
              <w:right w:val="nil"/>
            </w:tcBorders>
            <w:shd w:val="clear" w:color="auto" w:fill="auto"/>
            <w:vAlign w:val="center"/>
            <w:hideMark/>
          </w:tcPr>
          <w:p w14:paraId="26B982CB" w14:textId="1D50EB9C" w:rsidR="00347BD9" w:rsidRPr="00347BD9" w:rsidRDefault="00347BD9">
            <w:pPr>
              <w:jc w:val="center"/>
              <w:rPr>
                <w:b/>
                <w:bCs/>
                <w:color w:val="000000"/>
                <w:sz w:val="20"/>
                <w:szCs w:val="20"/>
              </w:rPr>
            </w:pPr>
            <w:r w:rsidRPr="00347BD9">
              <w:rPr>
                <w:b/>
                <w:bCs/>
                <w:color w:val="000000"/>
                <w:sz w:val="20"/>
                <w:szCs w:val="20"/>
              </w:rPr>
              <w:t>0.0</w:t>
            </w:r>
            <w:r w:rsidR="002F0C50">
              <w:rPr>
                <w:b/>
                <w:bCs/>
                <w:color w:val="000000"/>
                <w:sz w:val="20"/>
                <w:szCs w:val="20"/>
              </w:rPr>
              <w:t>16</w:t>
            </w:r>
          </w:p>
        </w:tc>
        <w:tc>
          <w:tcPr>
            <w:tcW w:w="382" w:type="pct"/>
            <w:tcBorders>
              <w:top w:val="nil"/>
              <w:left w:val="nil"/>
              <w:bottom w:val="single" w:sz="12" w:space="0" w:color="auto"/>
              <w:right w:val="nil"/>
            </w:tcBorders>
            <w:shd w:val="clear" w:color="auto" w:fill="auto"/>
            <w:noWrap/>
            <w:vAlign w:val="center"/>
            <w:hideMark/>
          </w:tcPr>
          <w:p w14:paraId="35DB7492" w14:textId="319CF7A2" w:rsidR="00347BD9" w:rsidRPr="00347BD9" w:rsidRDefault="00347BD9">
            <w:pPr>
              <w:rPr>
                <w:b/>
                <w:bCs/>
                <w:color w:val="000000"/>
                <w:sz w:val="20"/>
                <w:szCs w:val="20"/>
              </w:rPr>
            </w:pPr>
            <w:r w:rsidRPr="00347BD9">
              <w:rPr>
                <w:b/>
                <w:bCs/>
                <w:color w:val="000000"/>
                <w:sz w:val="20"/>
                <w:szCs w:val="20"/>
              </w:rPr>
              <w:t>0.026</w:t>
            </w:r>
          </w:p>
        </w:tc>
      </w:tr>
      <w:tr w:rsidR="00347BD9" w:rsidRPr="00347BD9" w14:paraId="112E89F1" w14:textId="77777777" w:rsidTr="00347BD9">
        <w:trPr>
          <w:trHeight w:val="320"/>
        </w:trPr>
        <w:tc>
          <w:tcPr>
            <w:tcW w:w="5000" w:type="pct"/>
            <w:gridSpan w:val="7"/>
            <w:tcBorders>
              <w:top w:val="single" w:sz="12" w:space="0" w:color="auto"/>
              <w:left w:val="nil"/>
              <w:bottom w:val="nil"/>
              <w:right w:val="nil"/>
            </w:tcBorders>
            <w:shd w:val="clear" w:color="000000" w:fill="E7E6E6"/>
            <w:noWrap/>
            <w:vAlign w:val="center"/>
            <w:hideMark/>
          </w:tcPr>
          <w:p w14:paraId="0F2B74DA" w14:textId="5C11950A" w:rsidR="00347BD9" w:rsidRPr="00347BD9" w:rsidRDefault="00347BD9">
            <w:pPr>
              <w:rPr>
                <w:b/>
                <w:bCs/>
                <w:color w:val="000000"/>
                <w:sz w:val="20"/>
                <w:szCs w:val="20"/>
              </w:rPr>
            </w:pPr>
            <w:proofErr w:type="spellStart"/>
            <w:r w:rsidRPr="00347BD9">
              <w:rPr>
                <w:b/>
                <w:bCs/>
                <w:color w:val="000000"/>
                <w:sz w:val="20"/>
                <w:szCs w:val="20"/>
              </w:rPr>
              <w:t>Cognitively</w:t>
            </w:r>
            <w:proofErr w:type="spellEnd"/>
            <w:r w:rsidRPr="00347BD9">
              <w:rPr>
                <w:b/>
                <w:bCs/>
                <w:color w:val="000000"/>
                <w:sz w:val="20"/>
                <w:szCs w:val="20"/>
              </w:rPr>
              <w:t xml:space="preserve"> </w:t>
            </w:r>
            <w:proofErr w:type="spellStart"/>
            <w:r w:rsidRPr="00347BD9">
              <w:rPr>
                <w:b/>
                <w:bCs/>
                <w:color w:val="000000"/>
                <w:sz w:val="20"/>
                <w:szCs w:val="20"/>
              </w:rPr>
              <w:t>unimpaired</w:t>
            </w:r>
            <w:proofErr w:type="spellEnd"/>
            <w:r w:rsidRPr="00347BD9">
              <w:rPr>
                <w:b/>
                <w:bCs/>
                <w:color w:val="000000"/>
                <w:sz w:val="20"/>
                <w:szCs w:val="20"/>
              </w:rPr>
              <w:t xml:space="preserve"> participants</w:t>
            </w:r>
          </w:p>
        </w:tc>
      </w:tr>
      <w:tr w:rsidR="00347BD9" w:rsidRPr="00347BD9" w14:paraId="778B24FC" w14:textId="77777777" w:rsidTr="006F462A">
        <w:trPr>
          <w:trHeight w:val="320"/>
        </w:trPr>
        <w:tc>
          <w:tcPr>
            <w:tcW w:w="1017" w:type="pct"/>
            <w:tcBorders>
              <w:top w:val="nil"/>
              <w:left w:val="nil"/>
              <w:bottom w:val="nil"/>
              <w:right w:val="nil"/>
            </w:tcBorders>
            <w:shd w:val="clear" w:color="auto" w:fill="auto"/>
            <w:noWrap/>
            <w:vAlign w:val="center"/>
            <w:hideMark/>
          </w:tcPr>
          <w:p w14:paraId="416EA59D" w14:textId="77777777" w:rsidR="00347BD9" w:rsidRPr="00347BD9" w:rsidRDefault="00347BD9">
            <w:pPr>
              <w:rPr>
                <w:color w:val="000000"/>
                <w:sz w:val="20"/>
                <w:szCs w:val="20"/>
              </w:rPr>
            </w:pPr>
            <w:r w:rsidRPr="00347BD9">
              <w:rPr>
                <w:color w:val="000000"/>
                <w:sz w:val="20"/>
                <w:szCs w:val="20"/>
              </w:rPr>
              <w:t>Ch123 volume</w:t>
            </w:r>
          </w:p>
        </w:tc>
        <w:tc>
          <w:tcPr>
            <w:tcW w:w="859" w:type="pct"/>
            <w:tcBorders>
              <w:top w:val="nil"/>
              <w:left w:val="nil"/>
              <w:bottom w:val="nil"/>
              <w:right w:val="nil"/>
            </w:tcBorders>
            <w:shd w:val="clear" w:color="auto" w:fill="auto"/>
            <w:vAlign w:val="center"/>
            <w:hideMark/>
          </w:tcPr>
          <w:p w14:paraId="4CD44151"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bottom w:val="nil"/>
              <w:right w:val="nil"/>
            </w:tcBorders>
            <w:shd w:val="clear" w:color="auto" w:fill="auto"/>
            <w:vAlign w:val="center"/>
            <w:hideMark/>
          </w:tcPr>
          <w:p w14:paraId="05DA8CA2" w14:textId="3CD1382F" w:rsidR="00347BD9" w:rsidRPr="00347BD9" w:rsidRDefault="00347BD9">
            <w:pPr>
              <w:jc w:val="center"/>
              <w:rPr>
                <w:color w:val="000000"/>
                <w:sz w:val="20"/>
                <w:szCs w:val="20"/>
              </w:rPr>
            </w:pPr>
            <w:r w:rsidRPr="00347BD9">
              <w:rPr>
                <w:color w:val="000000"/>
                <w:sz w:val="20"/>
                <w:szCs w:val="20"/>
              </w:rPr>
              <w:t>0.04 (-0.15 –</w:t>
            </w:r>
            <w:r w:rsidR="006F462A">
              <w:rPr>
                <w:color w:val="000000"/>
                <w:sz w:val="20"/>
                <w:szCs w:val="20"/>
              </w:rPr>
              <w:t xml:space="preserve"> </w:t>
            </w:r>
            <w:r w:rsidRPr="00347BD9">
              <w:rPr>
                <w:color w:val="000000"/>
                <w:sz w:val="20"/>
                <w:szCs w:val="20"/>
              </w:rPr>
              <w:t>0.23)</w:t>
            </w:r>
          </w:p>
        </w:tc>
        <w:tc>
          <w:tcPr>
            <w:tcW w:w="547" w:type="pct"/>
            <w:tcBorders>
              <w:top w:val="nil"/>
              <w:left w:val="nil"/>
              <w:bottom w:val="nil"/>
              <w:right w:val="nil"/>
            </w:tcBorders>
            <w:shd w:val="clear" w:color="auto" w:fill="auto"/>
            <w:vAlign w:val="center"/>
            <w:hideMark/>
          </w:tcPr>
          <w:p w14:paraId="2C51CBEA" w14:textId="77777777" w:rsidR="00347BD9" w:rsidRPr="00347BD9" w:rsidRDefault="00347BD9">
            <w:pPr>
              <w:jc w:val="center"/>
              <w:rPr>
                <w:color w:val="000000"/>
                <w:sz w:val="20"/>
                <w:szCs w:val="20"/>
              </w:rPr>
            </w:pPr>
            <w:r w:rsidRPr="00347BD9">
              <w:rPr>
                <w:color w:val="000000"/>
                <w:sz w:val="20"/>
                <w:szCs w:val="20"/>
              </w:rPr>
              <w:t>0.09</w:t>
            </w:r>
          </w:p>
        </w:tc>
        <w:tc>
          <w:tcPr>
            <w:tcW w:w="709" w:type="pct"/>
            <w:tcBorders>
              <w:top w:val="nil"/>
              <w:left w:val="nil"/>
              <w:bottom w:val="nil"/>
              <w:right w:val="nil"/>
            </w:tcBorders>
            <w:shd w:val="clear" w:color="auto" w:fill="auto"/>
            <w:vAlign w:val="center"/>
            <w:hideMark/>
          </w:tcPr>
          <w:p w14:paraId="5908982A" w14:textId="77777777" w:rsidR="00347BD9" w:rsidRPr="00347BD9" w:rsidRDefault="00347BD9">
            <w:pPr>
              <w:jc w:val="center"/>
              <w:rPr>
                <w:color w:val="000000"/>
                <w:sz w:val="20"/>
                <w:szCs w:val="20"/>
              </w:rPr>
            </w:pPr>
            <w:r w:rsidRPr="00347BD9">
              <w:rPr>
                <w:color w:val="000000"/>
                <w:sz w:val="20"/>
                <w:szCs w:val="20"/>
              </w:rPr>
              <w:t>0.06</w:t>
            </w:r>
          </w:p>
        </w:tc>
        <w:tc>
          <w:tcPr>
            <w:tcW w:w="393" w:type="pct"/>
            <w:tcBorders>
              <w:top w:val="nil"/>
              <w:left w:val="nil"/>
              <w:bottom w:val="nil"/>
              <w:right w:val="nil"/>
            </w:tcBorders>
            <w:shd w:val="clear" w:color="auto" w:fill="auto"/>
            <w:vAlign w:val="center"/>
            <w:hideMark/>
          </w:tcPr>
          <w:p w14:paraId="39C25A07" w14:textId="77777777" w:rsidR="00347BD9" w:rsidRPr="00347BD9" w:rsidRDefault="00347BD9">
            <w:pPr>
              <w:jc w:val="center"/>
              <w:rPr>
                <w:color w:val="000000"/>
                <w:sz w:val="20"/>
                <w:szCs w:val="20"/>
              </w:rPr>
            </w:pPr>
            <w:r w:rsidRPr="00347BD9">
              <w:rPr>
                <w:color w:val="000000"/>
                <w:sz w:val="20"/>
                <w:szCs w:val="20"/>
              </w:rPr>
              <w:t>0.68</w:t>
            </w:r>
          </w:p>
        </w:tc>
        <w:tc>
          <w:tcPr>
            <w:tcW w:w="382" w:type="pct"/>
            <w:tcBorders>
              <w:top w:val="nil"/>
              <w:left w:val="nil"/>
              <w:bottom w:val="nil"/>
              <w:right w:val="nil"/>
            </w:tcBorders>
            <w:shd w:val="clear" w:color="auto" w:fill="auto"/>
            <w:noWrap/>
            <w:vAlign w:val="bottom"/>
            <w:hideMark/>
          </w:tcPr>
          <w:p w14:paraId="70047F0E" w14:textId="77777777" w:rsidR="00347BD9" w:rsidRPr="00347BD9" w:rsidRDefault="00347BD9">
            <w:pPr>
              <w:jc w:val="center"/>
              <w:rPr>
                <w:color w:val="000000"/>
                <w:sz w:val="20"/>
                <w:szCs w:val="20"/>
              </w:rPr>
            </w:pPr>
          </w:p>
        </w:tc>
      </w:tr>
      <w:tr w:rsidR="00347BD9" w:rsidRPr="00347BD9" w14:paraId="72AF62BA" w14:textId="77777777" w:rsidTr="006F462A">
        <w:trPr>
          <w:trHeight w:val="320"/>
        </w:trPr>
        <w:tc>
          <w:tcPr>
            <w:tcW w:w="1017" w:type="pct"/>
            <w:tcBorders>
              <w:top w:val="nil"/>
              <w:left w:val="nil"/>
              <w:right w:val="nil"/>
            </w:tcBorders>
            <w:shd w:val="clear" w:color="auto" w:fill="auto"/>
            <w:noWrap/>
            <w:vAlign w:val="center"/>
            <w:hideMark/>
          </w:tcPr>
          <w:p w14:paraId="3016BCC7" w14:textId="77777777" w:rsidR="00347BD9" w:rsidRPr="00347BD9" w:rsidRDefault="00347BD9">
            <w:pPr>
              <w:rPr>
                <w:color w:val="000000"/>
                <w:sz w:val="20"/>
                <w:szCs w:val="20"/>
              </w:rPr>
            </w:pPr>
            <w:r w:rsidRPr="00347BD9">
              <w:rPr>
                <w:color w:val="000000"/>
                <w:sz w:val="20"/>
                <w:szCs w:val="20"/>
              </w:rPr>
              <w:t>Ch4 volume</w:t>
            </w:r>
          </w:p>
        </w:tc>
        <w:tc>
          <w:tcPr>
            <w:tcW w:w="859" w:type="pct"/>
            <w:tcBorders>
              <w:top w:val="nil"/>
              <w:left w:val="nil"/>
              <w:right w:val="nil"/>
            </w:tcBorders>
            <w:shd w:val="clear" w:color="auto" w:fill="auto"/>
            <w:vAlign w:val="center"/>
            <w:hideMark/>
          </w:tcPr>
          <w:p w14:paraId="7354E10D"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right w:val="nil"/>
            </w:tcBorders>
            <w:shd w:val="clear" w:color="auto" w:fill="auto"/>
            <w:vAlign w:val="center"/>
            <w:hideMark/>
          </w:tcPr>
          <w:p w14:paraId="1A4AA9DC" w14:textId="35DF63CC" w:rsidR="00347BD9" w:rsidRPr="00347BD9" w:rsidRDefault="006F462A">
            <w:pPr>
              <w:jc w:val="center"/>
              <w:rPr>
                <w:color w:val="000000"/>
                <w:sz w:val="20"/>
                <w:szCs w:val="20"/>
              </w:rPr>
            </w:pPr>
            <w:r>
              <w:rPr>
                <w:color w:val="000000"/>
                <w:sz w:val="20"/>
                <w:szCs w:val="20"/>
              </w:rPr>
              <w:t>9.8</w:t>
            </w:r>
            <w:r w:rsidRPr="006F462A">
              <w:rPr>
                <w:color w:val="000000"/>
                <w:sz w:val="20"/>
                <w:szCs w:val="20"/>
              </w:rPr>
              <w:t>e</w:t>
            </w:r>
            <w:r w:rsidRPr="006F462A">
              <w:rPr>
                <w:color w:val="000000"/>
                <w:sz w:val="20"/>
                <w:szCs w:val="20"/>
                <w:vertAlign w:val="superscript"/>
              </w:rPr>
              <w:t>-</w:t>
            </w:r>
            <w:r>
              <w:rPr>
                <w:color w:val="000000"/>
                <w:sz w:val="20"/>
                <w:szCs w:val="20"/>
                <w:vertAlign w:val="superscript"/>
              </w:rPr>
              <w:t>5</w:t>
            </w:r>
            <w:r w:rsidR="00347BD9" w:rsidRPr="00347BD9">
              <w:rPr>
                <w:color w:val="000000"/>
                <w:sz w:val="20"/>
                <w:szCs w:val="20"/>
              </w:rPr>
              <w:t xml:space="preserve"> (-</w:t>
            </w:r>
            <w:r>
              <w:rPr>
                <w:color w:val="000000"/>
                <w:sz w:val="20"/>
                <w:szCs w:val="20"/>
              </w:rPr>
              <w:t>4.9</w:t>
            </w:r>
            <w:r w:rsidRPr="006F462A">
              <w:rPr>
                <w:color w:val="000000"/>
                <w:sz w:val="20"/>
                <w:szCs w:val="20"/>
              </w:rPr>
              <w:t>e</w:t>
            </w:r>
            <w:r w:rsidRPr="006F462A">
              <w:rPr>
                <w:color w:val="000000"/>
                <w:sz w:val="20"/>
                <w:szCs w:val="20"/>
                <w:vertAlign w:val="superscript"/>
              </w:rPr>
              <w:t>-4</w:t>
            </w:r>
            <w:r w:rsidR="00347BD9" w:rsidRPr="00347BD9">
              <w:rPr>
                <w:color w:val="000000"/>
                <w:sz w:val="20"/>
                <w:szCs w:val="20"/>
              </w:rPr>
              <w:t xml:space="preserve"> –</w:t>
            </w:r>
            <w:r>
              <w:rPr>
                <w:color w:val="000000"/>
                <w:sz w:val="20"/>
                <w:szCs w:val="20"/>
              </w:rPr>
              <w:t xml:space="preserve"> 6.8</w:t>
            </w:r>
            <w:r w:rsidRPr="006F462A">
              <w:rPr>
                <w:color w:val="000000"/>
                <w:sz w:val="20"/>
                <w:szCs w:val="20"/>
              </w:rPr>
              <w:t>e</w:t>
            </w:r>
            <w:r w:rsidRPr="006F462A">
              <w:rPr>
                <w:color w:val="000000"/>
                <w:sz w:val="20"/>
                <w:szCs w:val="20"/>
                <w:vertAlign w:val="superscript"/>
              </w:rPr>
              <w:t>-4</w:t>
            </w:r>
            <w:r w:rsidR="00347BD9" w:rsidRPr="00347BD9">
              <w:rPr>
                <w:color w:val="000000"/>
                <w:sz w:val="20"/>
                <w:szCs w:val="20"/>
              </w:rPr>
              <w:t>)</w:t>
            </w:r>
          </w:p>
        </w:tc>
        <w:tc>
          <w:tcPr>
            <w:tcW w:w="547" w:type="pct"/>
            <w:tcBorders>
              <w:top w:val="nil"/>
              <w:left w:val="nil"/>
              <w:right w:val="nil"/>
            </w:tcBorders>
            <w:shd w:val="clear" w:color="auto" w:fill="auto"/>
            <w:vAlign w:val="center"/>
            <w:hideMark/>
          </w:tcPr>
          <w:p w14:paraId="3D631365" w14:textId="71D6B3E0" w:rsidR="00347BD9" w:rsidRPr="00347BD9" w:rsidRDefault="006F462A">
            <w:pPr>
              <w:jc w:val="center"/>
              <w:rPr>
                <w:color w:val="000000"/>
                <w:sz w:val="20"/>
                <w:szCs w:val="20"/>
              </w:rPr>
            </w:pPr>
            <w:r>
              <w:rPr>
                <w:color w:val="000000"/>
                <w:sz w:val="20"/>
                <w:szCs w:val="20"/>
              </w:rPr>
              <w:t>2.8</w:t>
            </w:r>
            <w:r w:rsidRPr="006F462A">
              <w:rPr>
                <w:color w:val="000000"/>
                <w:sz w:val="20"/>
                <w:szCs w:val="20"/>
              </w:rPr>
              <w:t>e</w:t>
            </w:r>
            <w:r w:rsidRPr="006F462A">
              <w:rPr>
                <w:color w:val="000000"/>
                <w:sz w:val="20"/>
                <w:szCs w:val="20"/>
                <w:vertAlign w:val="superscript"/>
              </w:rPr>
              <w:t>-4</w:t>
            </w:r>
          </w:p>
        </w:tc>
        <w:tc>
          <w:tcPr>
            <w:tcW w:w="709" w:type="pct"/>
            <w:tcBorders>
              <w:top w:val="nil"/>
              <w:left w:val="nil"/>
              <w:right w:val="nil"/>
            </w:tcBorders>
            <w:shd w:val="clear" w:color="auto" w:fill="auto"/>
            <w:vAlign w:val="center"/>
            <w:hideMark/>
          </w:tcPr>
          <w:p w14:paraId="1CEBE58E" w14:textId="5CD20CAB" w:rsidR="00347BD9" w:rsidRPr="00347BD9" w:rsidRDefault="00347BD9">
            <w:pPr>
              <w:jc w:val="center"/>
              <w:rPr>
                <w:color w:val="000000"/>
                <w:sz w:val="20"/>
                <w:szCs w:val="20"/>
              </w:rPr>
            </w:pPr>
            <w:r w:rsidRPr="00347BD9">
              <w:rPr>
                <w:color w:val="000000"/>
                <w:sz w:val="20"/>
                <w:szCs w:val="20"/>
              </w:rPr>
              <w:t>0.0</w:t>
            </w:r>
            <w:r w:rsidR="006F462A">
              <w:rPr>
                <w:color w:val="000000"/>
                <w:sz w:val="20"/>
                <w:szCs w:val="20"/>
              </w:rPr>
              <w:t>6</w:t>
            </w:r>
          </w:p>
        </w:tc>
        <w:tc>
          <w:tcPr>
            <w:tcW w:w="393" w:type="pct"/>
            <w:tcBorders>
              <w:top w:val="nil"/>
              <w:left w:val="nil"/>
              <w:right w:val="nil"/>
            </w:tcBorders>
            <w:shd w:val="clear" w:color="auto" w:fill="auto"/>
            <w:vAlign w:val="center"/>
            <w:hideMark/>
          </w:tcPr>
          <w:p w14:paraId="20D24697" w14:textId="18981122" w:rsidR="00347BD9" w:rsidRPr="00347BD9" w:rsidRDefault="00347BD9">
            <w:pPr>
              <w:jc w:val="center"/>
              <w:rPr>
                <w:color w:val="000000"/>
                <w:sz w:val="20"/>
                <w:szCs w:val="20"/>
              </w:rPr>
            </w:pPr>
            <w:r w:rsidRPr="00347BD9">
              <w:rPr>
                <w:color w:val="000000"/>
                <w:sz w:val="20"/>
                <w:szCs w:val="20"/>
              </w:rPr>
              <w:t>0.7</w:t>
            </w:r>
            <w:r w:rsidR="006F462A">
              <w:rPr>
                <w:color w:val="000000"/>
                <w:sz w:val="20"/>
                <w:szCs w:val="20"/>
              </w:rPr>
              <w:t>3</w:t>
            </w:r>
          </w:p>
        </w:tc>
        <w:tc>
          <w:tcPr>
            <w:tcW w:w="382" w:type="pct"/>
            <w:tcBorders>
              <w:top w:val="nil"/>
              <w:left w:val="nil"/>
              <w:right w:val="nil"/>
            </w:tcBorders>
            <w:shd w:val="clear" w:color="auto" w:fill="auto"/>
            <w:noWrap/>
            <w:vAlign w:val="bottom"/>
            <w:hideMark/>
          </w:tcPr>
          <w:p w14:paraId="3DEAC5B4" w14:textId="77777777" w:rsidR="00347BD9" w:rsidRPr="00347BD9" w:rsidRDefault="00347BD9">
            <w:pPr>
              <w:jc w:val="center"/>
              <w:rPr>
                <w:color w:val="000000"/>
                <w:sz w:val="20"/>
                <w:szCs w:val="20"/>
              </w:rPr>
            </w:pPr>
          </w:p>
        </w:tc>
      </w:tr>
      <w:tr w:rsidR="00347BD9" w:rsidRPr="00347BD9" w14:paraId="175521E3" w14:textId="77777777" w:rsidTr="006F462A">
        <w:trPr>
          <w:trHeight w:val="320"/>
        </w:trPr>
        <w:tc>
          <w:tcPr>
            <w:tcW w:w="1017" w:type="pct"/>
            <w:tcBorders>
              <w:top w:val="nil"/>
              <w:left w:val="nil"/>
              <w:bottom w:val="single" w:sz="12" w:space="0" w:color="auto"/>
              <w:right w:val="nil"/>
            </w:tcBorders>
            <w:shd w:val="clear" w:color="auto" w:fill="auto"/>
            <w:noWrap/>
            <w:vAlign w:val="center"/>
            <w:hideMark/>
          </w:tcPr>
          <w:p w14:paraId="4D6B7FB1" w14:textId="77777777" w:rsidR="00347BD9" w:rsidRPr="00347BD9" w:rsidRDefault="00347BD9">
            <w:pPr>
              <w:rPr>
                <w:color w:val="000000"/>
                <w:sz w:val="20"/>
                <w:szCs w:val="20"/>
              </w:rPr>
            </w:pPr>
            <w:r w:rsidRPr="00347BD9">
              <w:rPr>
                <w:color w:val="000000"/>
                <w:sz w:val="20"/>
                <w:szCs w:val="20"/>
              </w:rPr>
              <w:t>Total BF volume</w:t>
            </w:r>
          </w:p>
        </w:tc>
        <w:tc>
          <w:tcPr>
            <w:tcW w:w="859" w:type="pct"/>
            <w:tcBorders>
              <w:top w:val="nil"/>
              <w:left w:val="nil"/>
              <w:bottom w:val="single" w:sz="12" w:space="0" w:color="auto"/>
              <w:right w:val="nil"/>
            </w:tcBorders>
            <w:shd w:val="clear" w:color="auto" w:fill="auto"/>
            <w:vAlign w:val="center"/>
            <w:hideMark/>
          </w:tcPr>
          <w:p w14:paraId="300E8889"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bottom w:val="single" w:sz="12" w:space="0" w:color="auto"/>
              <w:right w:val="nil"/>
            </w:tcBorders>
            <w:shd w:val="clear" w:color="auto" w:fill="auto"/>
            <w:vAlign w:val="center"/>
            <w:hideMark/>
          </w:tcPr>
          <w:p w14:paraId="3898C470" w14:textId="638E324D" w:rsidR="00347BD9" w:rsidRPr="00347BD9" w:rsidRDefault="00347BD9">
            <w:pPr>
              <w:jc w:val="center"/>
              <w:rPr>
                <w:color w:val="000000"/>
                <w:sz w:val="20"/>
                <w:szCs w:val="20"/>
              </w:rPr>
            </w:pPr>
            <w:r w:rsidRPr="00347BD9">
              <w:rPr>
                <w:color w:val="000000"/>
                <w:sz w:val="20"/>
                <w:szCs w:val="20"/>
              </w:rPr>
              <w:t>0.11 (-0.35 –</w:t>
            </w:r>
            <w:r w:rsidR="006F462A">
              <w:rPr>
                <w:color w:val="000000"/>
                <w:sz w:val="20"/>
                <w:szCs w:val="20"/>
              </w:rPr>
              <w:t xml:space="preserve"> </w:t>
            </w:r>
            <w:r w:rsidRPr="00347BD9">
              <w:rPr>
                <w:color w:val="000000"/>
                <w:sz w:val="20"/>
                <w:szCs w:val="20"/>
              </w:rPr>
              <w:t>0.56)</w:t>
            </w:r>
          </w:p>
        </w:tc>
        <w:tc>
          <w:tcPr>
            <w:tcW w:w="547" w:type="pct"/>
            <w:tcBorders>
              <w:top w:val="nil"/>
              <w:left w:val="nil"/>
              <w:bottom w:val="single" w:sz="12" w:space="0" w:color="auto"/>
              <w:right w:val="nil"/>
            </w:tcBorders>
            <w:shd w:val="clear" w:color="auto" w:fill="auto"/>
            <w:vAlign w:val="center"/>
            <w:hideMark/>
          </w:tcPr>
          <w:p w14:paraId="57B4E044" w14:textId="77777777" w:rsidR="00347BD9" w:rsidRPr="00347BD9" w:rsidRDefault="00347BD9">
            <w:pPr>
              <w:jc w:val="center"/>
              <w:rPr>
                <w:color w:val="000000"/>
                <w:sz w:val="20"/>
                <w:szCs w:val="20"/>
              </w:rPr>
            </w:pPr>
            <w:r w:rsidRPr="00347BD9">
              <w:rPr>
                <w:color w:val="000000"/>
                <w:sz w:val="20"/>
                <w:szCs w:val="20"/>
              </w:rPr>
              <w:t>0.22</w:t>
            </w:r>
          </w:p>
        </w:tc>
        <w:tc>
          <w:tcPr>
            <w:tcW w:w="709" w:type="pct"/>
            <w:tcBorders>
              <w:top w:val="nil"/>
              <w:left w:val="nil"/>
              <w:bottom w:val="single" w:sz="12" w:space="0" w:color="auto"/>
              <w:right w:val="nil"/>
            </w:tcBorders>
            <w:shd w:val="clear" w:color="auto" w:fill="auto"/>
            <w:vAlign w:val="center"/>
            <w:hideMark/>
          </w:tcPr>
          <w:p w14:paraId="510C79E7" w14:textId="77777777" w:rsidR="00347BD9" w:rsidRPr="00347BD9" w:rsidRDefault="00347BD9">
            <w:pPr>
              <w:jc w:val="center"/>
              <w:rPr>
                <w:color w:val="000000"/>
                <w:sz w:val="20"/>
                <w:szCs w:val="20"/>
              </w:rPr>
            </w:pPr>
            <w:r w:rsidRPr="00347BD9">
              <w:rPr>
                <w:color w:val="000000"/>
                <w:sz w:val="20"/>
                <w:szCs w:val="20"/>
              </w:rPr>
              <w:t>0.07</w:t>
            </w:r>
          </w:p>
        </w:tc>
        <w:tc>
          <w:tcPr>
            <w:tcW w:w="393" w:type="pct"/>
            <w:tcBorders>
              <w:top w:val="nil"/>
              <w:left w:val="nil"/>
              <w:bottom w:val="single" w:sz="12" w:space="0" w:color="auto"/>
              <w:right w:val="nil"/>
            </w:tcBorders>
            <w:shd w:val="clear" w:color="auto" w:fill="auto"/>
            <w:vAlign w:val="center"/>
            <w:hideMark/>
          </w:tcPr>
          <w:p w14:paraId="66AD6DA7" w14:textId="77777777" w:rsidR="00347BD9" w:rsidRPr="00347BD9" w:rsidRDefault="00347BD9">
            <w:pPr>
              <w:jc w:val="center"/>
              <w:rPr>
                <w:color w:val="000000"/>
                <w:sz w:val="20"/>
                <w:szCs w:val="20"/>
              </w:rPr>
            </w:pPr>
            <w:r w:rsidRPr="00347BD9">
              <w:rPr>
                <w:color w:val="000000"/>
                <w:sz w:val="20"/>
                <w:szCs w:val="20"/>
              </w:rPr>
              <w:t>0.63</w:t>
            </w:r>
          </w:p>
        </w:tc>
        <w:tc>
          <w:tcPr>
            <w:tcW w:w="382" w:type="pct"/>
            <w:tcBorders>
              <w:top w:val="nil"/>
              <w:left w:val="nil"/>
              <w:bottom w:val="single" w:sz="12" w:space="0" w:color="auto"/>
              <w:right w:val="nil"/>
            </w:tcBorders>
            <w:shd w:val="clear" w:color="auto" w:fill="auto"/>
            <w:noWrap/>
            <w:vAlign w:val="bottom"/>
            <w:hideMark/>
          </w:tcPr>
          <w:p w14:paraId="26549E99" w14:textId="77777777" w:rsidR="00347BD9" w:rsidRPr="00347BD9" w:rsidRDefault="00347BD9">
            <w:pPr>
              <w:jc w:val="center"/>
              <w:rPr>
                <w:color w:val="000000"/>
                <w:sz w:val="20"/>
                <w:szCs w:val="20"/>
              </w:rPr>
            </w:pPr>
          </w:p>
        </w:tc>
      </w:tr>
      <w:tr w:rsidR="00347BD9" w:rsidRPr="00347BD9" w14:paraId="2F99387B" w14:textId="77777777" w:rsidTr="00347BD9">
        <w:trPr>
          <w:trHeight w:val="320"/>
        </w:trPr>
        <w:tc>
          <w:tcPr>
            <w:tcW w:w="5000" w:type="pct"/>
            <w:gridSpan w:val="7"/>
            <w:tcBorders>
              <w:top w:val="single" w:sz="12" w:space="0" w:color="auto"/>
              <w:left w:val="nil"/>
              <w:bottom w:val="nil"/>
              <w:right w:val="nil"/>
            </w:tcBorders>
            <w:shd w:val="clear" w:color="000000" w:fill="E7E6E6"/>
            <w:noWrap/>
            <w:vAlign w:val="center"/>
            <w:hideMark/>
          </w:tcPr>
          <w:p w14:paraId="6783351B" w14:textId="09DB778E" w:rsidR="00347BD9" w:rsidRPr="00347BD9" w:rsidRDefault="00347BD9">
            <w:pPr>
              <w:rPr>
                <w:b/>
                <w:bCs/>
                <w:color w:val="000000"/>
                <w:sz w:val="20"/>
                <w:szCs w:val="20"/>
              </w:rPr>
            </w:pPr>
            <w:proofErr w:type="spellStart"/>
            <w:r>
              <w:rPr>
                <w:b/>
                <w:bCs/>
                <w:color w:val="000000"/>
                <w:sz w:val="20"/>
                <w:szCs w:val="20"/>
              </w:rPr>
              <w:t>a</w:t>
            </w:r>
            <w:r w:rsidRPr="00347BD9">
              <w:rPr>
                <w:b/>
                <w:bCs/>
                <w:color w:val="000000"/>
                <w:sz w:val="20"/>
                <w:szCs w:val="20"/>
              </w:rPr>
              <w:t>MCI</w:t>
            </w:r>
            <w:proofErr w:type="spellEnd"/>
            <w:r w:rsidRPr="00347BD9">
              <w:rPr>
                <w:b/>
                <w:bCs/>
                <w:color w:val="000000"/>
                <w:sz w:val="20"/>
                <w:szCs w:val="20"/>
              </w:rPr>
              <w:t xml:space="preserve"> participants</w:t>
            </w:r>
          </w:p>
        </w:tc>
      </w:tr>
      <w:tr w:rsidR="00347BD9" w:rsidRPr="00347BD9" w14:paraId="460BC6B5" w14:textId="77777777" w:rsidTr="006F462A">
        <w:trPr>
          <w:trHeight w:val="320"/>
        </w:trPr>
        <w:tc>
          <w:tcPr>
            <w:tcW w:w="1017" w:type="pct"/>
            <w:tcBorders>
              <w:top w:val="nil"/>
              <w:left w:val="nil"/>
              <w:bottom w:val="nil"/>
              <w:right w:val="nil"/>
            </w:tcBorders>
            <w:shd w:val="clear" w:color="auto" w:fill="auto"/>
            <w:noWrap/>
            <w:vAlign w:val="center"/>
            <w:hideMark/>
          </w:tcPr>
          <w:p w14:paraId="2418A133" w14:textId="77777777" w:rsidR="00347BD9" w:rsidRPr="00347BD9" w:rsidRDefault="00347BD9">
            <w:pPr>
              <w:rPr>
                <w:color w:val="000000"/>
                <w:sz w:val="20"/>
                <w:szCs w:val="20"/>
              </w:rPr>
            </w:pPr>
            <w:r w:rsidRPr="00347BD9">
              <w:rPr>
                <w:color w:val="000000"/>
                <w:sz w:val="20"/>
                <w:szCs w:val="20"/>
              </w:rPr>
              <w:t>Ch123 volume</w:t>
            </w:r>
          </w:p>
        </w:tc>
        <w:tc>
          <w:tcPr>
            <w:tcW w:w="859" w:type="pct"/>
            <w:tcBorders>
              <w:top w:val="nil"/>
              <w:left w:val="nil"/>
              <w:bottom w:val="nil"/>
              <w:right w:val="nil"/>
            </w:tcBorders>
            <w:shd w:val="clear" w:color="auto" w:fill="auto"/>
            <w:vAlign w:val="center"/>
            <w:hideMark/>
          </w:tcPr>
          <w:p w14:paraId="5FECE530"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bottom w:val="nil"/>
              <w:right w:val="nil"/>
            </w:tcBorders>
            <w:shd w:val="clear" w:color="auto" w:fill="auto"/>
            <w:vAlign w:val="center"/>
            <w:hideMark/>
          </w:tcPr>
          <w:p w14:paraId="1E213D1A" w14:textId="612C8DA9" w:rsidR="00347BD9" w:rsidRPr="00347BD9" w:rsidRDefault="00347BD9">
            <w:pPr>
              <w:jc w:val="center"/>
              <w:rPr>
                <w:color w:val="000000"/>
                <w:sz w:val="20"/>
                <w:szCs w:val="20"/>
              </w:rPr>
            </w:pPr>
            <w:r w:rsidRPr="00347BD9">
              <w:rPr>
                <w:color w:val="000000"/>
                <w:sz w:val="20"/>
                <w:szCs w:val="20"/>
              </w:rPr>
              <w:t>0.22 (-0.09 –</w:t>
            </w:r>
            <w:r w:rsidR="006F462A">
              <w:rPr>
                <w:color w:val="000000"/>
                <w:sz w:val="20"/>
                <w:szCs w:val="20"/>
              </w:rPr>
              <w:t xml:space="preserve"> </w:t>
            </w:r>
            <w:r w:rsidRPr="00347BD9">
              <w:rPr>
                <w:color w:val="000000"/>
                <w:sz w:val="20"/>
                <w:szCs w:val="20"/>
              </w:rPr>
              <w:t>0.52)</w:t>
            </w:r>
          </w:p>
        </w:tc>
        <w:tc>
          <w:tcPr>
            <w:tcW w:w="547" w:type="pct"/>
            <w:tcBorders>
              <w:top w:val="nil"/>
              <w:left w:val="nil"/>
              <w:bottom w:val="nil"/>
              <w:right w:val="nil"/>
            </w:tcBorders>
            <w:shd w:val="clear" w:color="auto" w:fill="auto"/>
            <w:vAlign w:val="center"/>
            <w:hideMark/>
          </w:tcPr>
          <w:p w14:paraId="7C31E00A" w14:textId="77777777" w:rsidR="00347BD9" w:rsidRPr="00347BD9" w:rsidRDefault="00347BD9">
            <w:pPr>
              <w:jc w:val="center"/>
              <w:rPr>
                <w:color w:val="000000"/>
                <w:sz w:val="20"/>
                <w:szCs w:val="20"/>
              </w:rPr>
            </w:pPr>
            <w:r w:rsidRPr="00347BD9">
              <w:rPr>
                <w:color w:val="000000"/>
                <w:sz w:val="20"/>
                <w:szCs w:val="20"/>
              </w:rPr>
              <w:t>0.15</w:t>
            </w:r>
          </w:p>
        </w:tc>
        <w:tc>
          <w:tcPr>
            <w:tcW w:w="709" w:type="pct"/>
            <w:tcBorders>
              <w:top w:val="nil"/>
              <w:left w:val="nil"/>
              <w:bottom w:val="nil"/>
              <w:right w:val="nil"/>
            </w:tcBorders>
            <w:shd w:val="clear" w:color="auto" w:fill="auto"/>
            <w:vAlign w:val="center"/>
            <w:hideMark/>
          </w:tcPr>
          <w:p w14:paraId="206CD86B" w14:textId="77777777" w:rsidR="00347BD9" w:rsidRPr="00347BD9" w:rsidRDefault="00347BD9">
            <w:pPr>
              <w:jc w:val="center"/>
              <w:rPr>
                <w:color w:val="000000"/>
                <w:sz w:val="20"/>
                <w:szCs w:val="20"/>
              </w:rPr>
            </w:pPr>
            <w:r w:rsidRPr="00347BD9">
              <w:rPr>
                <w:color w:val="000000"/>
                <w:sz w:val="20"/>
                <w:szCs w:val="20"/>
              </w:rPr>
              <w:t>0.25</w:t>
            </w:r>
          </w:p>
        </w:tc>
        <w:tc>
          <w:tcPr>
            <w:tcW w:w="393" w:type="pct"/>
            <w:tcBorders>
              <w:top w:val="nil"/>
              <w:left w:val="nil"/>
              <w:bottom w:val="nil"/>
              <w:right w:val="nil"/>
            </w:tcBorders>
            <w:shd w:val="clear" w:color="auto" w:fill="auto"/>
            <w:vAlign w:val="center"/>
            <w:hideMark/>
          </w:tcPr>
          <w:p w14:paraId="0AB75339" w14:textId="77777777" w:rsidR="00347BD9" w:rsidRPr="00347BD9" w:rsidRDefault="00347BD9">
            <w:pPr>
              <w:jc w:val="center"/>
              <w:rPr>
                <w:color w:val="000000"/>
                <w:sz w:val="20"/>
                <w:szCs w:val="20"/>
              </w:rPr>
            </w:pPr>
            <w:r w:rsidRPr="00347BD9">
              <w:rPr>
                <w:color w:val="000000"/>
                <w:sz w:val="20"/>
                <w:szCs w:val="20"/>
              </w:rPr>
              <w:t>0.17</w:t>
            </w:r>
          </w:p>
        </w:tc>
        <w:tc>
          <w:tcPr>
            <w:tcW w:w="382" w:type="pct"/>
            <w:tcBorders>
              <w:top w:val="nil"/>
              <w:left w:val="nil"/>
              <w:bottom w:val="nil"/>
              <w:right w:val="nil"/>
            </w:tcBorders>
            <w:shd w:val="clear" w:color="auto" w:fill="auto"/>
            <w:noWrap/>
            <w:vAlign w:val="bottom"/>
            <w:hideMark/>
          </w:tcPr>
          <w:p w14:paraId="360056B9" w14:textId="77777777" w:rsidR="00347BD9" w:rsidRPr="00347BD9" w:rsidRDefault="00347BD9">
            <w:pPr>
              <w:jc w:val="center"/>
              <w:rPr>
                <w:color w:val="000000"/>
                <w:sz w:val="20"/>
                <w:szCs w:val="20"/>
              </w:rPr>
            </w:pPr>
          </w:p>
        </w:tc>
      </w:tr>
      <w:tr w:rsidR="006F462A" w:rsidRPr="00347BD9" w14:paraId="72F65CD0" w14:textId="77777777" w:rsidTr="006F462A">
        <w:trPr>
          <w:trHeight w:val="320"/>
        </w:trPr>
        <w:tc>
          <w:tcPr>
            <w:tcW w:w="1017" w:type="pct"/>
            <w:tcBorders>
              <w:top w:val="nil"/>
              <w:left w:val="nil"/>
              <w:right w:val="nil"/>
            </w:tcBorders>
            <w:shd w:val="clear" w:color="auto" w:fill="auto"/>
            <w:noWrap/>
            <w:vAlign w:val="center"/>
            <w:hideMark/>
          </w:tcPr>
          <w:p w14:paraId="4CD2DCE1" w14:textId="77777777" w:rsidR="006F462A" w:rsidRPr="00347BD9" w:rsidRDefault="006F462A" w:rsidP="006F462A">
            <w:pPr>
              <w:rPr>
                <w:color w:val="000000"/>
                <w:sz w:val="20"/>
                <w:szCs w:val="20"/>
              </w:rPr>
            </w:pPr>
            <w:r w:rsidRPr="00347BD9">
              <w:rPr>
                <w:color w:val="000000"/>
                <w:sz w:val="20"/>
                <w:szCs w:val="20"/>
              </w:rPr>
              <w:t>Ch4 volume</w:t>
            </w:r>
          </w:p>
        </w:tc>
        <w:tc>
          <w:tcPr>
            <w:tcW w:w="859" w:type="pct"/>
            <w:tcBorders>
              <w:top w:val="nil"/>
              <w:left w:val="nil"/>
              <w:right w:val="nil"/>
            </w:tcBorders>
            <w:shd w:val="clear" w:color="auto" w:fill="auto"/>
            <w:vAlign w:val="center"/>
            <w:hideMark/>
          </w:tcPr>
          <w:p w14:paraId="50707662" w14:textId="77777777" w:rsidR="006F462A" w:rsidRPr="00347BD9" w:rsidRDefault="006F462A" w:rsidP="006F462A">
            <w:pPr>
              <w:rPr>
                <w:color w:val="000000"/>
                <w:sz w:val="20"/>
                <w:szCs w:val="20"/>
              </w:rPr>
            </w:pPr>
            <w:r w:rsidRPr="00347BD9">
              <w:rPr>
                <w:color w:val="000000"/>
                <w:sz w:val="20"/>
                <w:szCs w:val="20"/>
              </w:rPr>
              <w:t>REM-S duration</w:t>
            </w:r>
          </w:p>
        </w:tc>
        <w:tc>
          <w:tcPr>
            <w:tcW w:w="1093" w:type="pct"/>
            <w:tcBorders>
              <w:top w:val="nil"/>
              <w:left w:val="nil"/>
              <w:right w:val="nil"/>
            </w:tcBorders>
            <w:shd w:val="clear" w:color="auto" w:fill="auto"/>
            <w:vAlign w:val="center"/>
            <w:hideMark/>
          </w:tcPr>
          <w:p w14:paraId="057A74DB" w14:textId="38D2AE7C" w:rsidR="006F462A" w:rsidRPr="00347BD9" w:rsidRDefault="006F462A" w:rsidP="006F462A">
            <w:pPr>
              <w:jc w:val="center"/>
              <w:rPr>
                <w:color w:val="000000"/>
                <w:sz w:val="20"/>
                <w:szCs w:val="20"/>
              </w:rPr>
            </w:pPr>
            <w:r w:rsidRPr="00347BD9">
              <w:rPr>
                <w:color w:val="000000"/>
                <w:sz w:val="20"/>
                <w:szCs w:val="20"/>
              </w:rPr>
              <w:t>0.</w:t>
            </w:r>
            <w:r>
              <w:rPr>
                <w:color w:val="000000"/>
                <w:sz w:val="20"/>
                <w:szCs w:val="20"/>
              </w:rPr>
              <w:t>01</w:t>
            </w:r>
            <w:r w:rsidRPr="00347BD9">
              <w:rPr>
                <w:color w:val="000000"/>
                <w:sz w:val="20"/>
                <w:szCs w:val="20"/>
              </w:rPr>
              <w:t xml:space="preserve"> (</w:t>
            </w:r>
            <w:r>
              <w:rPr>
                <w:color w:val="000000"/>
                <w:sz w:val="20"/>
                <w:szCs w:val="20"/>
              </w:rPr>
              <w:t>2.3</w:t>
            </w:r>
            <w:r w:rsidRPr="006F462A">
              <w:rPr>
                <w:color w:val="000000"/>
                <w:sz w:val="20"/>
                <w:szCs w:val="20"/>
              </w:rPr>
              <w:t>e</w:t>
            </w:r>
            <w:r w:rsidRPr="006F462A">
              <w:rPr>
                <w:color w:val="000000"/>
                <w:sz w:val="20"/>
                <w:szCs w:val="20"/>
                <w:vertAlign w:val="superscript"/>
              </w:rPr>
              <w:t>-4</w:t>
            </w:r>
            <w:r w:rsidRPr="00347BD9">
              <w:rPr>
                <w:color w:val="000000"/>
                <w:sz w:val="20"/>
                <w:szCs w:val="20"/>
              </w:rPr>
              <w:t xml:space="preserve"> –</w:t>
            </w:r>
            <w:r>
              <w:rPr>
                <w:color w:val="000000"/>
                <w:sz w:val="20"/>
                <w:szCs w:val="20"/>
              </w:rPr>
              <w:t xml:space="preserve"> 0.002</w:t>
            </w:r>
            <w:r w:rsidRPr="00347BD9">
              <w:rPr>
                <w:color w:val="000000"/>
                <w:sz w:val="20"/>
                <w:szCs w:val="20"/>
              </w:rPr>
              <w:t>)</w:t>
            </w:r>
          </w:p>
        </w:tc>
        <w:tc>
          <w:tcPr>
            <w:tcW w:w="547" w:type="pct"/>
            <w:tcBorders>
              <w:top w:val="nil"/>
              <w:left w:val="nil"/>
              <w:right w:val="nil"/>
            </w:tcBorders>
            <w:shd w:val="clear" w:color="auto" w:fill="auto"/>
            <w:vAlign w:val="center"/>
            <w:hideMark/>
          </w:tcPr>
          <w:p w14:paraId="45E1B493" w14:textId="16BAD90A" w:rsidR="006F462A" w:rsidRPr="00347BD9" w:rsidRDefault="006F462A" w:rsidP="006F462A">
            <w:pPr>
              <w:jc w:val="center"/>
              <w:rPr>
                <w:color w:val="000000"/>
                <w:sz w:val="20"/>
                <w:szCs w:val="20"/>
              </w:rPr>
            </w:pPr>
            <w:r>
              <w:rPr>
                <w:color w:val="000000"/>
                <w:sz w:val="20"/>
                <w:szCs w:val="20"/>
              </w:rPr>
              <w:t>5.1</w:t>
            </w:r>
            <w:r w:rsidRPr="006F462A">
              <w:rPr>
                <w:color w:val="000000"/>
                <w:sz w:val="20"/>
                <w:szCs w:val="20"/>
              </w:rPr>
              <w:t>e</w:t>
            </w:r>
            <w:r w:rsidRPr="006F462A">
              <w:rPr>
                <w:color w:val="000000"/>
                <w:sz w:val="20"/>
                <w:szCs w:val="20"/>
                <w:vertAlign w:val="superscript"/>
              </w:rPr>
              <w:t>-4</w:t>
            </w:r>
          </w:p>
        </w:tc>
        <w:tc>
          <w:tcPr>
            <w:tcW w:w="709" w:type="pct"/>
            <w:tcBorders>
              <w:top w:val="nil"/>
              <w:left w:val="nil"/>
              <w:right w:val="nil"/>
            </w:tcBorders>
            <w:shd w:val="clear" w:color="auto" w:fill="auto"/>
            <w:vAlign w:val="center"/>
            <w:hideMark/>
          </w:tcPr>
          <w:p w14:paraId="7ED93C06" w14:textId="3DEE3DBF" w:rsidR="006F462A" w:rsidRPr="00347BD9" w:rsidRDefault="006F462A" w:rsidP="006F462A">
            <w:pPr>
              <w:jc w:val="center"/>
              <w:rPr>
                <w:color w:val="000000"/>
                <w:sz w:val="20"/>
                <w:szCs w:val="20"/>
              </w:rPr>
            </w:pPr>
            <w:r w:rsidRPr="00347BD9">
              <w:rPr>
                <w:color w:val="000000"/>
                <w:sz w:val="20"/>
                <w:szCs w:val="20"/>
              </w:rPr>
              <w:t>0.</w:t>
            </w:r>
            <w:r>
              <w:rPr>
                <w:color w:val="000000"/>
                <w:sz w:val="20"/>
                <w:szCs w:val="20"/>
              </w:rPr>
              <w:t>45</w:t>
            </w:r>
          </w:p>
        </w:tc>
        <w:tc>
          <w:tcPr>
            <w:tcW w:w="393" w:type="pct"/>
            <w:tcBorders>
              <w:top w:val="nil"/>
              <w:left w:val="nil"/>
              <w:right w:val="nil"/>
            </w:tcBorders>
            <w:shd w:val="clear" w:color="auto" w:fill="auto"/>
            <w:vAlign w:val="center"/>
            <w:hideMark/>
          </w:tcPr>
          <w:p w14:paraId="6EE09D1A" w14:textId="28CE6A40" w:rsidR="006F462A" w:rsidRPr="00347BD9" w:rsidRDefault="006F462A" w:rsidP="006F462A">
            <w:pPr>
              <w:jc w:val="center"/>
              <w:rPr>
                <w:b/>
                <w:bCs/>
                <w:color w:val="000000"/>
                <w:sz w:val="20"/>
                <w:szCs w:val="20"/>
              </w:rPr>
            </w:pPr>
            <w:r w:rsidRPr="00347BD9">
              <w:rPr>
                <w:b/>
                <w:bCs/>
                <w:color w:val="000000"/>
                <w:sz w:val="20"/>
                <w:szCs w:val="20"/>
              </w:rPr>
              <w:t>0.0</w:t>
            </w:r>
            <w:r>
              <w:rPr>
                <w:b/>
                <w:bCs/>
                <w:color w:val="000000"/>
                <w:sz w:val="20"/>
                <w:szCs w:val="20"/>
              </w:rPr>
              <w:t>19</w:t>
            </w:r>
          </w:p>
        </w:tc>
        <w:tc>
          <w:tcPr>
            <w:tcW w:w="382" w:type="pct"/>
            <w:tcBorders>
              <w:top w:val="nil"/>
              <w:left w:val="nil"/>
              <w:right w:val="nil"/>
            </w:tcBorders>
            <w:shd w:val="clear" w:color="auto" w:fill="auto"/>
            <w:noWrap/>
            <w:vAlign w:val="center"/>
            <w:hideMark/>
          </w:tcPr>
          <w:p w14:paraId="39F7D014" w14:textId="7E5C6C1B" w:rsidR="006F462A" w:rsidRPr="00347BD9" w:rsidRDefault="006F462A" w:rsidP="006F462A">
            <w:pPr>
              <w:rPr>
                <w:b/>
                <w:bCs/>
                <w:color w:val="000000"/>
                <w:sz w:val="20"/>
                <w:szCs w:val="20"/>
              </w:rPr>
            </w:pPr>
            <w:r w:rsidRPr="006F462A">
              <w:rPr>
                <w:b/>
                <w:bCs/>
                <w:color w:val="000000"/>
                <w:sz w:val="20"/>
                <w:szCs w:val="20"/>
              </w:rPr>
              <w:t>0.03</w:t>
            </w:r>
          </w:p>
        </w:tc>
      </w:tr>
      <w:tr w:rsidR="00347BD9" w:rsidRPr="00347BD9" w14:paraId="04679CAC" w14:textId="77777777" w:rsidTr="006F462A">
        <w:trPr>
          <w:trHeight w:val="320"/>
        </w:trPr>
        <w:tc>
          <w:tcPr>
            <w:tcW w:w="1017" w:type="pct"/>
            <w:tcBorders>
              <w:top w:val="nil"/>
              <w:left w:val="nil"/>
              <w:bottom w:val="single" w:sz="12" w:space="0" w:color="auto"/>
              <w:right w:val="nil"/>
            </w:tcBorders>
            <w:shd w:val="clear" w:color="auto" w:fill="auto"/>
            <w:noWrap/>
            <w:vAlign w:val="center"/>
            <w:hideMark/>
          </w:tcPr>
          <w:p w14:paraId="705397B0" w14:textId="77777777" w:rsidR="00347BD9" w:rsidRPr="00347BD9" w:rsidRDefault="00347BD9">
            <w:pPr>
              <w:rPr>
                <w:color w:val="000000"/>
                <w:sz w:val="20"/>
                <w:szCs w:val="20"/>
              </w:rPr>
            </w:pPr>
            <w:r w:rsidRPr="00347BD9">
              <w:rPr>
                <w:color w:val="000000"/>
                <w:sz w:val="20"/>
                <w:szCs w:val="20"/>
              </w:rPr>
              <w:t>Total BF volume</w:t>
            </w:r>
          </w:p>
        </w:tc>
        <w:tc>
          <w:tcPr>
            <w:tcW w:w="859" w:type="pct"/>
            <w:tcBorders>
              <w:top w:val="nil"/>
              <w:left w:val="nil"/>
              <w:bottom w:val="single" w:sz="12" w:space="0" w:color="auto"/>
              <w:right w:val="nil"/>
            </w:tcBorders>
            <w:shd w:val="clear" w:color="auto" w:fill="auto"/>
            <w:vAlign w:val="center"/>
            <w:hideMark/>
          </w:tcPr>
          <w:p w14:paraId="51EF2C27" w14:textId="77777777" w:rsidR="00347BD9" w:rsidRPr="00347BD9" w:rsidRDefault="00347BD9">
            <w:pPr>
              <w:rPr>
                <w:color w:val="000000"/>
                <w:sz w:val="20"/>
                <w:szCs w:val="20"/>
              </w:rPr>
            </w:pPr>
            <w:r w:rsidRPr="00347BD9">
              <w:rPr>
                <w:color w:val="000000"/>
                <w:sz w:val="20"/>
                <w:szCs w:val="20"/>
              </w:rPr>
              <w:t>REM-S duration</w:t>
            </w:r>
          </w:p>
        </w:tc>
        <w:tc>
          <w:tcPr>
            <w:tcW w:w="1093" w:type="pct"/>
            <w:tcBorders>
              <w:top w:val="nil"/>
              <w:left w:val="nil"/>
              <w:bottom w:val="single" w:sz="12" w:space="0" w:color="auto"/>
              <w:right w:val="nil"/>
            </w:tcBorders>
            <w:shd w:val="clear" w:color="auto" w:fill="auto"/>
            <w:vAlign w:val="center"/>
            <w:hideMark/>
          </w:tcPr>
          <w:p w14:paraId="5F7DBFB0" w14:textId="0825A169" w:rsidR="00347BD9" w:rsidRPr="00347BD9" w:rsidRDefault="00347BD9">
            <w:pPr>
              <w:jc w:val="center"/>
              <w:rPr>
                <w:color w:val="000000"/>
                <w:sz w:val="20"/>
                <w:szCs w:val="20"/>
              </w:rPr>
            </w:pPr>
            <w:r w:rsidRPr="00347BD9">
              <w:rPr>
                <w:color w:val="000000"/>
                <w:sz w:val="20"/>
                <w:szCs w:val="20"/>
              </w:rPr>
              <w:t>1.03 (0.22 –</w:t>
            </w:r>
            <w:r w:rsidR="006F462A">
              <w:rPr>
                <w:color w:val="000000"/>
                <w:sz w:val="20"/>
                <w:szCs w:val="20"/>
              </w:rPr>
              <w:t xml:space="preserve"> </w:t>
            </w:r>
            <w:r w:rsidRPr="00347BD9">
              <w:rPr>
                <w:color w:val="000000"/>
                <w:sz w:val="20"/>
                <w:szCs w:val="20"/>
              </w:rPr>
              <w:t>1.84)</w:t>
            </w:r>
          </w:p>
        </w:tc>
        <w:tc>
          <w:tcPr>
            <w:tcW w:w="547" w:type="pct"/>
            <w:tcBorders>
              <w:top w:val="nil"/>
              <w:left w:val="nil"/>
              <w:bottom w:val="single" w:sz="12" w:space="0" w:color="auto"/>
              <w:right w:val="nil"/>
            </w:tcBorders>
            <w:shd w:val="clear" w:color="auto" w:fill="auto"/>
            <w:vAlign w:val="center"/>
            <w:hideMark/>
          </w:tcPr>
          <w:p w14:paraId="762FB5E0" w14:textId="77777777" w:rsidR="00347BD9" w:rsidRPr="00347BD9" w:rsidRDefault="00347BD9">
            <w:pPr>
              <w:jc w:val="center"/>
              <w:rPr>
                <w:color w:val="000000"/>
                <w:sz w:val="20"/>
                <w:szCs w:val="20"/>
              </w:rPr>
            </w:pPr>
            <w:r w:rsidRPr="00347BD9">
              <w:rPr>
                <w:color w:val="000000"/>
                <w:sz w:val="20"/>
                <w:szCs w:val="20"/>
              </w:rPr>
              <w:t>0.4</w:t>
            </w:r>
          </w:p>
        </w:tc>
        <w:tc>
          <w:tcPr>
            <w:tcW w:w="709" w:type="pct"/>
            <w:tcBorders>
              <w:top w:val="nil"/>
              <w:left w:val="nil"/>
              <w:bottom w:val="single" w:sz="12" w:space="0" w:color="auto"/>
              <w:right w:val="nil"/>
            </w:tcBorders>
            <w:shd w:val="clear" w:color="auto" w:fill="auto"/>
            <w:vAlign w:val="center"/>
            <w:hideMark/>
          </w:tcPr>
          <w:p w14:paraId="1F6144A5" w14:textId="77777777" w:rsidR="00347BD9" w:rsidRPr="00347BD9" w:rsidRDefault="00347BD9">
            <w:pPr>
              <w:jc w:val="center"/>
              <w:rPr>
                <w:color w:val="000000"/>
                <w:sz w:val="20"/>
                <w:szCs w:val="20"/>
              </w:rPr>
            </w:pPr>
            <w:r w:rsidRPr="00347BD9">
              <w:rPr>
                <w:color w:val="000000"/>
                <w:sz w:val="20"/>
                <w:szCs w:val="20"/>
              </w:rPr>
              <w:t>0.44</w:t>
            </w:r>
          </w:p>
        </w:tc>
        <w:tc>
          <w:tcPr>
            <w:tcW w:w="393" w:type="pct"/>
            <w:tcBorders>
              <w:top w:val="nil"/>
              <w:left w:val="nil"/>
              <w:bottom w:val="single" w:sz="12" w:space="0" w:color="auto"/>
              <w:right w:val="nil"/>
            </w:tcBorders>
            <w:shd w:val="clear" w:color="auto" w:fill="auto"/>
            <w:vAlign w:val="center"/>
            <w:hideMark/>
          </w:tcPr>
          <w:p w14:paraId="71932190" w14:textId="0D334F88" w:rsidR="00347BD9" w:rsidRPr="00347BD9" w:rsidRDefault="00347BD9">
            <w:pPr>
              <w:jc w:val="center"/>
              <w:rPr>
                <w:b/>
                <w:bCs/>
                <w:color w:val="000000"/>
                <w:sz w:val="20"/>
                <w:szCs w:val="20"/>
              </w:rPr>
            </w:pPr>
            <w:r w:rsidRPr="00347BD9">
              <w:rPr>
                <w:b/>
                <w:bCs/>
                <w:color w:val="000000"/>
                <w:sz w:val="20"/>
                <w:szCs w:val="20"/>
              </w:rPr>
              <w:t>0.0</w:t>
            </w:r>
            <w:r w:rsidR="002F0C50">
              <w:rPr>
                <w:b/>
                <w:bCs/>
                <w:color w:val="000000"/>
                <w:sz w:val="20"/>
                <w:szCs w:val="20"/>
              </w:rPr>
              <w:t>15</w:t>
            </w:r>
          </w:p>
        </w:tc>
        <w:tc>
          <w:tcPr>
            <w:tcW w:w="382" w:type="pct"/>
            <w:tcBorders>
              <w:top w:val="nil"/>
              <w:left w:val="nil"/>
              <w:bottom w:val="single" w:sz="12" w:space="0" w:color="auto"/>
              <w:right w:val="nil"/>
            </w:tcBorders>
            <w:shd w:val="clear" w:color="auto" w:fill="auto"/>
            <w:noWrap/>
            <w:vAlign w:val="center"/>
            <w:hideMark/>
          </w:tcPr>
          <w:p w14:paraId="347B9749" w14:textId="37798097" w:rsidR="00347BD9" w:rsidRPr="00347BD9" w:rsidRDefault="00347BD9">
            <w:pPr>
              <w:rPr>
                <w:b/>
                <w:bCs/>
                <w:color w:val="000000"/>
                <w:sz w:val="20"/>
                <w:szCs w:val="20"/>
              </w:rPr>
            </w:pPr>
            <w:r w:rsidRPr="00347BD9">
              <w:rPr>
                <w:b/>
                <w:bCs/>
                <w:color w:val="000000"/>
                <w:sz w:val="20"/>
                <w:szCs w:val="20"/>
              </w:rPr>
              <w:t>0.0</w:t>
            </w:r>
            <w:r w:rsidR="006F462A">
              <w:rPr>
                <w:b/>
                <w:bCs/>
                <w:color w:val="000000"/>
                <w:sz w:val="20"/>
                <w:szCs w:val="20"/>
              </w:rPr>
              <w:t>3</w:t>
            </w:r>
          </w:p>
        </w:tc>
      </w:tr>
    </w:tbl>
    <w:p w14:paraId="7E9BB84A" w14:textId="77777777" w:rsidR="00A65983" w:rsidRDefault="00A65983" w:rsidP="00A65983">
      <w:pPr>
        <w:tabs>
          <w:tab w:val="left" w:pos="2060"/>
        </w:tabs>
        <w:spacing w:line="360" w:lineRule="auto"/>
        <w:jc w:val="both"/>
        <w:rPr>
          <w:b/>
          <w:lang w:val="en-GB"/>
        </w:rPr>
      </w:pPr>
    </w:p>
    <w:p w14:paraId="44FCA484" w14:textId="2FFCA1E4" w:rsidR="007A0FC5" w:rsidRDefault="007A0FC5" w:rsidP="007A0FC5">
      <w:pPr>
        <w:tabs>
          <w:tab w:val="left" w:pos="2060"/>
        </w:tabs>
        <w:spacing w:line="360" w:lineRule="auto"/>
        <w:jc w:val="both"/>
        <w:rPr>
          <w:lang w:val="en-GB"/>
        </w:rPr>
      </w:pPr>
      <w:r>
        <w:rPr>
          <w:lang w:val="en-GB"/>
        </w:rPr>
        <w:t xml:space="preserve">Results of multiple regressions performed in </w:t>
      </w:r>
      <w:r w:rsidR="00FF1F98">
        <w:rPr>
          <w:lang w:val="en-GB"/>
        </w:rPr>
        <w:t xml:space="preserve">the full sample and </w:t>
      </w:r>
      <w:r w:rsidR="00E46FF0">
        <w:rPr>
          <w:lang w:val="en-GB"/>
        </w:rPr>
        <w:t>subgroups</w:t>
      </w:r>
      <w:r w:rsidR="00FF1F98">
        <w:rPr>
          <w:lang w:val="en-GB"/>
        </w:rPr>
        <w:t xml:space="preserve"> </w:t>
      </w:r>
      <w:r>
        <w:rPr>
          <w:lang w:val="en-GB"/>
        </w:rPr>
        <w:t xml:space="preserve">stratified </w:t>
      </w:r>
      <w:r w:rsidR="00FF1F98">
        <w:rPr>
          <w:lang w:val="en-GB"/>
        </w:rPr>
        <w:t>by</w:t>
      </w:r>
      <w:r>
        <w:rPr>
          <w:lang w:val="en-GB"/>
        </w:rPr>
        <w:t xml:space="preserve"> cognitive status, between </w:t>
      </w:r>
      <w:r w:rsidR="00030694">
        <w:rPr>
          <w:lang w:val="en-GB"/>
        </w:rPr>
        <w:t>REM sleep duration (</w:t>
      </w:r>
      <w:r w:rsidR="0075266D">
        <w:rPr>
          <w:lang w:val="en-GB"/>
        </w:rPr>
        <w:t>reported</w:t>
      </w:r>
      <w:r w:rsidR="00030694">
        <w:rPr>
          <w:lang w:val="en-GB"/>
        </w:rPr>
        <w:t xml:space="preserve"> in minutes) and </w:t>
      </w:r>
      <w:r>
        <w:rPr>
          <w:lang w:val="en-GB"/>
        </w:rPr>
        <w:t xml:space="preserve">the </w:t>
      </w:r>
      <w:r w:rsidR="00347BD9">
        <w:rPr>
          <w:lang w:val="en-GB"/>
        </w:rPr>
        <w:t>volume</w:t>
      </w:r>
      <w:r>
        <w:rPr>
          <w:lang w:val="en-GB"/>
        </w:rPr>
        <w:t xml:space="preserve"> of BF subregions (i.e., total BF, Ch1-2-3 and Ch4), controlling for age, sex and the total intracranial volume. Results indicated in bold survived an FDR correction for multiple comparisons.</w:t>
      </w:r>
    </w:p>
    <w:p w14:paraId="5DC5E62A" w14:textId="7848E89D" w:rsidR="00A65983" w:rsidRPr="0050773F" w:rsidRDefault="007A0FC5" w:rsidP="0050773F">
      <w:pPr>
        <w:spacing w:line="360" w:lineRule="auto"/>
        <w:jc w:val="both"/>
        <w:rPr>
          <w:lang w:val="en-GB"/>
        </w:rPr>
      </w:pPr>
      <w:r w:rsidRPr="006F4054">
        <w:rPr>
          <w:u w:val="single"/>
          <w:lang w:val="en-GB"/>
        </w:rPr>
        <w:t>Abbreviations</w:t>
      </w:r>
      <w:r w:rsidRPr="006F4054">
        <w:rPr>
          <w:lang w:val="en-GB"/>
        </w:rPr>
        <w:t xml:space="preserve">: aMCI, amnestic </w:t>
      </w:r>
      <w:r w:rsidR="00E8578E">
        <w:rPr>
          <w:lang w:val="en-GB"/>
        </w:rPr>
        <w:t>m</w:t>
      </w:r>
      <w:r w:rsidRPr="006F4054">
        <w:rPr>
          <w:lang w:val="en-GB"/>
        </w:rPr>
        <w:t xml:space="preserve">ild </w:t>
      </w:r>
      <w:r w:rsidR="00E8578E">
        <w:rPr>
          <w:lang w:val="en-GB"/>
        </w:rPr>
        <w:t>c</w:t>
      </w:r>
      <w:r w:rsidRPr="006F4054">
        <w:rPr>
          <w:lang w:val="en-GB"/>
        </w:rPr>
        <w:t xml:space="preserve">ognitive </w:t>
      </w:r>
      <w:r w:rsidR="00E8578E">
        <w:rPr>
          <w:lang w:val="en-GB"/>
        </w:rPr>
        <w:t>i</w:t>
      </w:r>
      <w:r w:rsidRPr="006F4054">
        <w:rPr>
          <w:lang w:val="en-GB"/>
        </w:rPr>
        <w:t xml:space="preserve">mpairment; BF, basal forebrain; </w:t>
      </w:r>
      <w:r>
        <w:rPr>
          <w:lang w:val="en-GB"/>
        </w:rPr>
        <w:t xml:space="preserve">CI, confidence interval; FDR, false discovery rate; </w:t>
      </w:r>
      <w:r w:rsidRPr="006F4054">
        <w:rPr>
          <w:lang w:val="en-GB"/>
        </w:rPr>
        <w:t>REM</w:t>
      </w:r>
      <w:r w:rsidR="00FF1F98">
        <w:rPr>
          <w:lang w:val="en-GB"/>
        </w:rPr>
        <w:t>-S</w:t>
      </w:r>
      <w:r w:rsidRPr="006F4054">
        <w:rPr>
          <w:lang w:val="en-GB"/>
        </w:rPr>
        <w:t>, rapid eye movement</w:t>
      </w:r>
      <w:r w:rsidR="00FF1F98">
        <w:rPr>
          <w:lang w:val="en-GB"/>
        </w:rPr>
        <w:t xml:space="preserve"> sleep.</w:t>
      </w:r>
    </w:p>
    <w:p w14:paraId="1E9D04B5" w14:textId="77777777" w:rsidR="00A65983" w:rsidRDefault="00A65983">
      <w:pPr>
        <w:spacing w:after="200" w:line="252" w:lineRule="auto"/>
        <w:rPr>
          <w:b/>
          <w:u w:val="single"/>
          <w:lang w:val="en-GB"/>
        </w:rPr>
      </w:pPr>
      <w:r>
        <w:rPr>
          <w:b/>
          <w:u w:val="single"/>
          <w:lang w:val="en-GB"/>
        </w:rPr>
        <w:br w:type="page"/>
      </w:r>
    </w:p>
    <w:p w14:paraId="2A71B1CA" w14:textId="54EB7E06" w:rsidR="0075266D" w:rsidRDefault="0075266D" w:rsidP="0075266D">
      <w:pPr>
        <w:tabs>
          <w:tab w:val="left" w:pos="2060"/>
        </w:tabs>
        <w:spacing w:line="360" w:lineRule="auto"/>
        <w:jc w:val="both"/>
        <w:rPr>
          <w:b/>
          <w:lang w:val="en-GB"/>
        </w:rPr>
      </w:pPr>
      <w:r w:rsidRPr="0075266D">
        <w:rPr>
          <w:b/>
          <w:u w:val="single"/>
          <w:lang w:val="en-GB"/>
        </w:rPr>
        <w:lastRenderedPageBreak/>
        <w:t xml:space="preserve">Supplementary Table </w:t>
      </w:r>
      <w:r w:rsidR="00EF2C67">
        <w:rPr>
          <w:b/>
          <w:u w:val="single"/>
          <w:lang w:val="en-GB"/>
        </w:rPr>
        <w:t>3</w:t>
      </w:r>
      <w:r w:rsidRPr="0075266D">
        <w:rPr>
          <w:b/>
          <w:lang w:val="en-GB"/>
        </w:rPr>
        <w:t xml:space="preserve">: </w:t>
      </w:r>
      <w:r w:rsidR="001401F7">
        <w:rPr>
          <w:b/>
          <w:lang w:val="en-GB"/>
        </w:rPr>
        <w:t>M</w:t>
      </w:r>
      <w:r w:rsidR="001401F7" w:rsidRPr="0075266D">
        <w:rPr>
          <w:b/>
          <w:lang w:val="en-GB"/>
        </w:rPr>
        <w:t xml:space="preserve">ultiple </w:t>
      </w:r>
      <w:r w:rsidR="001401F7">
        <w:rPr>
          <w:b/>
          <w:lang w:val="en-GB"/>
        </w:rPr>
        <w:t xml:space="preserve">linear </w:t>
      </w:r>
      <w:r w:rsidR="001401F7" w:rsidRPr="0075266D">
        <w:rPr>
          <w:b/>
          <w:lang w:val="en-GB"/>
        </w:rPr>
        <w:t>regression</w:t>
      </w:r>
      <w:r w:rsidR="001401F7">
        <w:rPr>
          <w:b/>
          <w:lang w:val="en-GB"/>
        </w:rPr>
        <w:t>s</w:t>
      </w:r>
      <w:r w:rsidR="001401F7" w:rsidRPr="0075266D">
        <w:rPr>
          <w:b/>
          <w:lang w:val="en-GB"/>
        </w:rPr>
        <w:t xml:space="preserve"> </w:t>
      </w:r>
      <w:r w:rsidRPr="0075266D">
        <w:rPr>
          <w:b/>
          <w:lang w:val="en-GB"/>
        </w:rPr>
        <w:t xml:space="preserve">between NREM sleep and wakefulness variables and BF </w:t>
      </w:r>
      <w:r w:rsidR="001401F7">
        <w:rPr>
          <w:b/>
          <w:lang w:val="en-GB"/>
        </w:rPr>
        <w:t>volume</w:t>
      </w:r>
      <w:r w:rsidRPr="0075266D">
        <w:rPr>
          <w:b/>
          <w:lang w:val="en-GB"/>
        </w:rPr>
        <w:t>.</w:t>
      </w:r>
    </w:p>
    <w:p w14:paraId="736F6329" w14:textId="77777777" w:rsidR="005C729D" w:rsidRDefault="005C729D" w:rsidP="0075266D">
      <w:pPr>
        <w:tabs>
          <w:tab w:val="left" w:pos="2060"/>
        </w:tabs>
        <w:spacing w:line="360" w:lineRule="auto"/>
        <w:jc w:val="both"/>
        <w:rPr>
          <w:b/>
          <w:lang w:val="en-GB"/>
        </w:rPr>
      </w:pPr>
    </w:p>
    <w:tbl>
      <w:tblPr>
        <w:tblW w:w="5000" w:type="pct"/>
        <w:tblCellMar>
          <w:left w:w="70" w:type="dxa"/>
          <w:right w:w="70" w:type="dxa"/>
        </w:tblCellMar>
        <w:tblLook w:val="04A0" w:firstRow="1" w:lastRow="0" w:firstColumn="1" w:lastColumn="0" w:noHBand="0" w:noVBand="1"/>
      </w:tblPr>
      <w:tblGrid>
        <w:gridCol w:w="1814"/>
        <w:gridCol w:w="1711"/>
        <w:gridCol w:w="2281"/>
        <w:gridCol w:w="1140"/>
        <w:gridCol w:w="1621"/>
        <w:gridCol w:w="497"/>
      </w:tblGrid>
      <w:tr w:rsidR="00787BAD" w14:paraId="095CF8AE" w14:textId="77777777" w:rsidTr="00787BAD">
        <w:trPr>
          <w:trHeight w:val="560"/>
        </w:trPr>
        <w:tc>
          <w:tcPr>
            <w:tcW w:w="1000" w:type="pct"/>
            <w:tcBorders>
              <w:top w:val="single" w:sz="12" w:space="0" w:color="auto"/>
              <w:left w:val="nil"/>
              <w:bottom w:val="single" w:sz="12" w:space="0" w:color="auto"/>
              <w:right w:val="nil"/>
            </w:tcBorders>
            <w:shd w:val="clear" w:color="auto" w:fill="auto"/>
            <w:noWrap/>
            <w:vAlign w:val="center"/>
            <w:hideMark/>
          </w:tcPr>
          <w:p w14:paraId="1A676021" w14:textId="77777777" w:rsidR="00787BAD" w:rsidRDefault="00787BAD">
            <w:pPr>
              <w:jc w:val="center"/>
              <w:rPr>
                <w:b/>
                <w:bCs/>
                <w:color w:val="000000"/>
                <w:sz w:val="20"/>
                <w:szCs w:val="20"/>
              </w:rPr>
            </w:pPr>
            <w:r>
              <w:rPr>
                <w:b/>
                <w:bCs/>
                <w:color w:val="000000" w:themeColor="text1"/>
                <w:sz w:val="20"/>
                <w:szCs w:val="20"/>
                <w:lang w:val="en-US"/>
              </w:rPr>
              <w:t>Dependent variable</w:t>
            </w:r>
          </w:p>
        </w:tc>
        <w:tc>
          <w:tcPr>
            <w:tcW w:w="944" w:type="pct"/>
            <w:tcBorders>
              <w:top w:val="single" w:sz="12" w:space="0" w:color="auto"/>
              <w:left w:val="nil"/>
              <w:bottom w:val="single" w:sz="12" w:space="0" w:color="auto"/>
              <w:right w:val="nil"/>
            </w:tcBorders>
            <w:shd w:val="clear" w:color="auto" w:fill="auto"/>
            <w:vAlign w:val="center"/>
            <w:hideMark/>
          </w:tcPr>
          <w:p w14:paraId="0ADFA0AB" w14:textId="77777777" w:rsidR="00787BAD" w:rsidRDefault="00787BAD">
            <w:pPr>
              <w:jc w:val="center"/>
              <w:rPr>
                <w:b/>
                <w:bCs/>
                <w:color w:val="000000"/>
                <w:sz w:val="20"/>
                <w:szCs w:val="20"/>
              </w:rPr>
            </w:pPr>
            <w:r>
              <w:rPr>
                <w:b/>
                <w:bCs/>
                <w:color w:val="000000" w:themeColor="text1"/>
                <w:sz w:val="20"/>
                <w:szCs w:val="20"/>
                <w:lang w:val="en-US"/>
              </w:rPr>
              <w:t>Independent variables</w:t>
            </w:r>
          </w:p>
        </w:tc>
        <w:tc>
          <w:tcPr>
            <w:tcW w:w="1258" w:type="pct"/>
            <w:tcBorders>
              <w:top w:val="single" w:sz="12" w:space="0" w:color="auto"/>
              <w:left w:val="nil"/>
              <w:bottom w:val="single" w:sz="12" w:space="0" w:color="auto"/>
              <w:right w:val="nil"/>
            </w:tcBorders>
            <w:shd w:val="clear" w:color="auto" w:fill="auto"/>
            <w:vAlign w:val="center"/>
            <w:hideMark/>
          </w:tcPr>
          <w:p w14:paraId="402368F5" w14:textId="77777777" w:rsidR="00787BAD" w:rsidRDefault="00787BAD">
            <w:pPr>
              <w:jc w:val="center"/>
              <w:rPr>
                <w:b/>
                <w:bCs/>
                <w:color w:val="000000"/>
                <w:sz w:val="20"/>
                <w:szCs w:val="20"/>
              </w:rPr>
            </w:pPr>
            <w:proofErr w:type="spellStart"/>
            <w:r>
              <w:rPr>
                <w:b/>
                <w:bCs/>
                <w:color w:val="000000"/>
                <w:sz w:val="20"/>
                <w:szCs w:val="20"/>
              </w:rPr>
              <w:t>Unstandardized</w:t>
            </w:r>
            <w:proofErr w:type="spellEnd"/>
            <w:r>
              <w:rPr>
                <w:b/>
                <w:bCs/>
                <w:color w:val="000000"/>
                <w:sz w:val="20"/>
                <w:szCs w:val="20"/>
              </w:rPr>
              <w:t xml:space="preserve"> coefficient (95% CI)</w:t>
            </w:r>
          </w:p>
        </w:tc>
        <w:tc>
          <w:tcPr>
            <w:tcW w:w="629" w:type="pct"/>
            <w:tcBorders>
              <w:top w:val="single" w:sz="12" w:space="0" w:color="auto"/>
              <w:left w:val="nil"/>
              <w:bottom w:val="single" w:sz="12" w:space="0" w:color="auto"/>
              <w:right w:val="nil"/>
            </w:tcBorders>
            <w:shd w:val="clear" w:color="auto" w:fill="auto"/>
            <w:vAlign w:val="center"/>
            <w:hideMark/>
          </w:tcPr>
          <w:p w14:paraId="297E589F" w14:textId="77777777" w:rsidR="00787BAD" w:rsidRDefault="00787BAD">
            <w:pPr>
              <w:jc w:val="center"/>
              <w:rPr>
                <w:b/>
                <w:bCs/>
                <w:color w:val="000000"/>
                <w:sz w:val="20"/>
                <w:szCs w:val="20"/>
              </w:rPr>
            </w:pPr>
            <w:r>
              <w:rPr>
                <w:b/>
                <w:bCs/>
                <w:color w:val="000000"/>
                <w:sz w:val="20"/>
                <w:szCs w:val="20"/>
              </w:rPr>
              <w:t xml:space="preserve">Standard </w:t>
            </w:r>
            <w:proofErr w:type="spellStart"/>
            <w:r>
              <w:rPr>
                <w:b/>
                <w:bCs/>
                <w:color w:val="000000"/>
                <w:sz w:val="20"/>
                <w:szCs w:val="20"/>
              </w:rPr>
              <w:t>Error</w:t>
            </w:r>
            <w:proofErr w:type="spellEnd"/>
          </w:p>
        </w:tc>
        <w:tc>
          <w:tcPr>
            <w:tcW w:w="894" w:type="pct"/>
            <w:tcBorders>
              <w:top w:val="single" w:sz="12" w:space="0" w:color="auto"/>
              <w:left w:val="nil"/>
              <w:bottom w:val="single" w:sz="12" w:space="0" w:color="auto"/>
              <w:right w:val="nil"/>
            </w:tcBorders>
            <w:shd w:val="clear" w:color="auto" w:fill="auto"/>
            <w:vAlign w:val="center"/>
            <w:hideMark/>
          </w:tcPr>
          <w:p w14:paraId="6F1A8887" w14:textId="77777777" w:rsidR="00787BAD" w:rsidRDefault="00787BAD">
            <w:pPr>
              <w:jc w:val="center"/>
              <w:rPr>
                <w:b/>
                <w:bCs/>
                <w:color w:val="000000"/>
                <w:sz w:val="20"/>
                <w:szCs w:val="20"/>
              </w:rPr>
            </w:pPr>
            <w:proofErr w:type="spellStart"/>
            <w:r>
              <w:rPr>
                <w:b/>
                <w:bCs/>
                <w:color w:val="000000"/>
                <w:sz w:val="20"/>
                <w:szCs w:val="20"/>
              </w:rPr>
              <w:t>Standardized</w:t>
            </w:r>
            <w:proofErr w:type="spellEnd"/>
            <w:r>
              <w:rPr>
                <w:b/>
                <w:bCs/>
                <w:color w:val="000000"/>
                <w:sz w:val="20"/>
                <w:szCs w:val="20"/>
              </w:rPr>
              <w:t xml:space="preserve"> coefficient</w:t>
            </w:r>
          </w:p>
        </w:tc>
        <w:tc>
          <w:tcPr>
            <w:tcW w:w="274" w:type="pct"/>
            <w:tcBorders>
              <w:top w:val="single" w:sz="12" w:space="0" w:color="auto"/>
              <w:left w:val="nil"/>
              <w:bottom w:val="single" w:sz="12" w:space="0" w:color="auto"/>
              <w:right w:val="nil"/>
            </w:tcBorders>
            <w:shd w:val="clear" w:color="auto" w:fill="auto"/>
            <w:vAlign w:val="center"/>
            <w:hideMark/>
          </w:tcPr>
          <w:p w14:paraId="67F488CB" w14:textId="77777777" w:rsidR="00787BAD" w:rsidRDefault="00787BAD">
            <w:pPr>
              <w:jc w:val="center"/>
              <w:rPr>
                <w:b/>
                <w:bCs/>
                <w:color w:val="000000"/>
                <w:sz w:val="20"/>
                <w:szCs w:val="20"/>
              </w:rPr>
            </w:pPr>
            <w:proofErr w:type="spellStart"/>
            <w:r>
              <w:rPr>
                <w:b/>
                <w:bCs/>
                <w:color w:val="000000"/>
                <w:sz w:val="20"/>
                <w:szCs w:val="20"/>
              </w:rPr>
              <w:t>P</w:t>
            </w:r>
            <w:r>
              <w:rPr>
                <w:b/>
                <w:bCs/>
                <w:color w:val="000000"/>
                <w:sz w:val="20"/>
                <w:szCs w:val="20"/>
                <w:vertAlign w:val="subscript"/>
              </w:rPr>
              <w:t>unc</w:t>
            </w:r>
            <w:proofErr w:type="spellEnd"/>
            <w:r>
              <w:rPr>
                <w:b/>
                <w:bCs/>
                <w:color w:val="000000"/>
                <w:sz w:val="20"/>
                <w:szCs w:val="20"/>
                <w:vertAlign w:val="subscript"/>
              </w:rPr>
              <w:t>.</w:t>
            </w:r>
          </w:p>
        </w:tc>
      </w:tr>
      <w:tr w:rsidR="00787BAD" w14:paraId="5C1FF4C1" w14:textId="77777777" w:rsidTr="00787BAD">
        <w:trPr>
          <w:trHeight w:val="320"/>
        </w:trPr>
        <w:tc>
          <w:tcPr>
            <w:tcW w:w="1000" w:type="pct"/>
            <w:tcBorders>
              <w:top w:val="single" w:sz="12" w:space="0" w:color="auto"/>
              <w:left w:val="nil"/>
              <w:bottom w:val="nil"/>
              <w:right w:val="nil"/>
            </w:tcBorders>
            <w:shd w:val="clear" w:color="auto" w:fill="auto"/>
            <w:noWrap/>
            <w:vAlign w:val="center"/>
            <w:hideMark/>
          </w:tcPr>
          <w:p w14:paraId="4EBCE009" w14:textId="77777777" w:rsidR="00787BAD" w:rsidRDefault="00787BAD">
            <w:pPr>
              <w:rPr>
                <w:color w:val="000000"/>
                <w:sz w:val="20"/>
                <w:szCs w:val="20"/>
              </w:rPr>
            </w:pPr>
            <w:r>
              <w:rPr>
                <w:color w:val="000000"/>
                <w:sz w:val="20"/>
                <w:szCs w:val="20"/>
              </w:rPr>
              <w:t>Ch123 volume</w:t>
            </w:r>
          </w:p>
        </w:tc>
        <w:tc>
          <w:tcPr>
            <w:tcW w:w="944" w:type="pct"/>
            <w:tcBorders>
              <w:top w:val="single" w:sz="12" w:space="0" w:color="auto"/>
              <w:left w:val="nil"/>
              <w:bottom w:val="single" w:sz="8" w:space="0" w:color="auto"/>
              <w:right w:val="nil"/>
            </w:tcBorders>
            <w:shd w:val="clear" w:color="auto" w:fill="auto"/>
            <w:noWrap/>
            <w:vAlign w:val="center"/>
            <w:hideMark/>
          </w:tcPr>
          <w:p w14:paraId="3EEB9548" w14:textId="77777777" w:rsidR="00787BAD" w:rsidRDefault="00787BAD">
            <w:pPr>
              <w:rPr>
                <w:color w:val="000000"/>
                <w:sz w:val="20"/>
                <w:szCs w:val="20"/>
              </w:rPr>
            </w:pPr>
            <w:proofErr w:type="spellStart"/>
            <w:r>
              <w:rPr>
                <w:color w:val="000000"/>
                <w:sz w:val="20"/>
                <w:szCs w:val="20"/>
              </w:rPr>
              <w:t>Wakefulness</w:t>
            </w:r>
            <w:proofErr w:type="spellEnd"/>
            <w:r>
              <w:rPr>
                <w:color w:val="000000"/>
                <w:sz w:val="20"/>
                <w:szCs w:val="20"/>
              </w:rPr>
              <w:t xml:space="preserve"> (%)</w:t>
            </w:r>
          </w:p>
        </w:tc>
        <w:tc>
          <w:tcPr>
            <w:tcW w:w="1258" w:type="pct"/>
            <w:tcBorders>
              <w:top w:val="single" w:sz="12" w:space="0" w:color="auto"/>
              <w:left w:val="nil"/>
              <w:bottom w:val="single" w:sz="8" w:space="0" w:color="auto"/>
              <w:right w:val="nil"/>
            </w:tcBorders>
            <w:shd w:val="clear" w:color="auto" w:fill="auto"/>
            <w:noWrap/>
            <w:vAlign w:val="center"/>
            <w:hideMark/>
          </w:tcPr>
          <w:p w14:paraId="6ECAC717" w14:textId="77777777" w:rsidR="00787BAD" w:rsidRDefault="00787BAD">
            <w:pPr>
              <w:rPr>
                <w:color w:val="000000"/>
                <w:sz w:val="20"/>
                <w:szCs w:val="20"/>
              </w:rPr>
            </w:pPr>
            <w:r>
              <w:rPr>
                <w:color w:val="000000"/>
                <w:sz w:val="20"/>
                <w:szCs w:val="20"/>
              </w:rPr>
              <w:t>-0.14 (-0.49 – 0.21)</w:t>
            </w:r>
          </w:p>
        </w:tc>
        <w:tc>
          <w:tcPr>
            <w:tcW w:w="629" w:type="pct"/>
            <w:tcBorders>
              <w:top w:val="single" w:sz="12" w:space="0" w:color="auto"/>
              <w:left w:val="nil"/>
              <w:bottom w:val="single" w:sz="8" w:space="0" w:color="auto"/>
              <w:right w:val="nil"/>
            </w:tcBorders>
            <w:shd w:val="clear" w:color="auto" w:fill="auto"/>
            <w:noWrap/>
            <w:vAlign w:val="center"/>
            <w:hideMark/>
          </w:tcPr>
          <w:p w14:paraId="7444B8AF" w14:textId="77777777" w:rsidR="00787BAD" w:rsidRDefault="00787BAD">
            <w:pPr>
              <w:jc w:val="center"/>
              <w:rPr>
                <w:color w:val="000000"/>
                <w:sz w:val="20"/>
                <w:szCs w:val="20"/>
              </w:rPr>
            </w:pPr>
            <w:r>
              <w:rPr>
                <w:color w:val="000000"/>
                <w:sz w:val="20"/>
                <w:szCs w:val="20"/>
              </w:rPr>
              <w:t>0.17</w:t>
            </w:r>
          </w:p>
        </w:tc>
        <w:tc>
          <w:tcPr>
            <w:tcW w:w="894" w:type="pct"/>
            <w:tcBorders>
              <w:top w:val="single" w:sz="12" w:space="0" w:color="auto"/>
              <w:left w:val="nil"/>
              <w:bottom w:val="single" w:sz="8" w:space="0" w:color="auto"/>
              <w:right w:val="nil"/>
            </w:tcBorders>
            <w:shd w:val="clear" w:color="auto" w:fill="auto"/>
            <w:noWrap/>
            <w:vAlign w:val="center"/>
            <w:hideMark/>
          </w:tcPr>
          <w:p w14:paraId="0B6E112E" w14:textId="77777777" w:rsidR="00787BAD" w:rsidRDefault="00787BAD">
            <w:pPr>
              <w:jc w:val="center"/>
              <w:rPr>
                <w:color w:val="000000"/>
                <w:sz w:val="20"/>
                <w:szCs w:val="20"/>
              </w:rPr>
            </w:pPr>
            <w:r>
              <w:rPr>
                <w:color w:val="000000"/>
                <w:sz w:val="20"/>
                <w:szCs w:val="20"/>
              </w:rPr>
              <w:t>-0.09</w:t>
            </w:r>
          </w:p>
        </w:tc>
        <w:tc>
          <w:tcPr>
            <w:tcW w:w="274" w:type="pct"/>
            <w:tcBorders>
              <w:top w:val="single" w:sz="12" w:space="0" w:color="auto"/>
              <w:left w:val="nil"/>
              <w:bottom w:val="single" w:sz="8" w:space="0" w:color="auto"/>
              <w:right w:val="nil"/>
            </w:tcBorders>
            <w:shd w:val="clear" w:color="auto" w:fill="auto"/>
            <w:noWrap/>
            <w:vAlign w:val="center"/>
            <w:hideMark/>
          </w:tcPr>
          <w:p w14:paraId="1895D214" w14:textId="77777777" w:rsidR="00787BAD" w:rsidRDefault="00787BAD">
            <w:pPr>
              <w:jc w:val="center"/>
              <w:rPr>
                <w:color w:val="000000"/>
                <w:sz w:val="20"/>
                <w:szCs w:val="20"/>
              </w:rPr>
            </w:pPr>
            <w:r>
              <w:rPr>
                <w:color w:val="000000"/>
                <w:sz w:val="20"/>
                <w:szCs w:val="20"/>
              </w:rPr>
              <w:t>0.43</w:t>
            </w:r>
          </w:p>
        </w:tc>
      </w:tr>
      <w:tr w:rsidR="00787BAD" w14:paraId="5A89D8DB" w14:textId="77777777" w:rsidTr="00787BAD">
        <w:trPr>
          <w:trHeight w:val="320"/>
        </w:trPr>
        <w:tc>
          <w:tcPr>
            <w:tcW w:w="1000" w:type="pct"/>
            <w:tcBorders>
              <w:top w:val="nil"/>
              <w:left w:val="nil"/>
              <w:bottom w:val="nil"/>
              <w:right w:val="nil"/>
            </w:tcBorders>
            <w:shd w:val="clear" w:color="auto" w:fill="auto"/>
            <w:noWrap/>
            <w:vAlign w:val="center"/>
            <w:hideMark/>
          </w:tcPr>
          <w:p w14:paraId="50FD786A" w14:textId="77777777" w:rsidR="00787BAD" w:rsidRDefault="00787BAD">
            <w:pPr>
              <w:rPr>
                <w:sz w:val="20"/>
                <w:szCs w:val="20"/>
              </w:rPr>
            </w:pPr>
          </w:p>
        </w:tc>
        <w:tc>
          <w:tcPr>
            <w:tcW w:w="944" w:type="pct"/>
            <w:tcBorders>
              <w:top w:val="single" w:sz="8" w:space="0" w:color="auto"/>
              <w:left w:val="nil"/>
              <w:bottom w:val="single" w:sz="8" w:space="0" w:color="auto"/>
              <w:right w:val="nil"/>
            </w:tcBorders>
            <w:shd w:val="clear" w:color="auto" w:fill="auto"/>
            <w:noWrap/>
            <w:vAlign w:val="center"/>
            <w:hideMark/>
          </w:tcPr>
          <w:p w14:paraId="27014E5B" w14:textId="77777777" w:rsidR="00787BAD" w:rsidRDefault="00787BAD">
            <w:pPr>
              <w:rPr>
                <w:color w:val="000000"/>
                <w:sz w:val="20"/>
                <w:szCs w:val="20"/>
              </w:rPr>
            </w:pPr>
            <w:r>
              <w:rPr>
                <w:color w:val="000000"/>
                <w:sz w:val="20"/>
                <w:szCs w:val="20"/>
              </w:rPr>
              <w:t xml:space="preserve">N1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8" w:space="0" w:color="auto"/>
              <w:right w:val="nil"/>
            </w:tcBorders>
            <w:shd w:val="clear" w:color="auto" w:fill="auto"/>
            <w:noWrap/>
            <w:vAlign w:val="center"/>
            <w:hideMark/>
          </w:tcPr>
          <w:p w14:paraId="7827B659" w14:textId="28F044FA" w:rsidR="00787BAD" w:rsidRDefault="00787BAD">
            <w:pPr>
              <w:rPr>
                <w:color w:val="000000"/>
                <w:sz w:val="20"/>
                <w:szCs w:val="20"/>
              </w:rPr>
            </w:pPr>
            <w:r>
              <w:rPr>
                <w:color w:val="000000"/>
                <w:sz w:val="20"/>
                <w:szCs w:val="20"/>
              </w:rPr>
              <w:t>-0.05 (-0.53 – 0.43)</w:t>
            </w:r>
          </w:p>
        </w:tc>
        <w:tc>
          <w:tcPr>
            <w:tcW w:w="629" w:type="pct"/>
            <w:tcBorders>
              <w:top w:val="single" w:sz="8" w:space="0" w:color="auto"/>
              <w:left w:val="nil"/>
              <w:bottom w:val="single" w:sz="8" w:space="0" w:color="auto"/>
              <w:right w:val="nil"/>
            </w:tcBorders>
            <w:shd w:val="clear" w:color="auto" w:fill="auto"/>
            <w:noWrap/>
            <w:vAlign w:val="center"/>
            <w:hideMark/>
          </w:tcPr>
          <w:p w14:paraId="268B6480" w14:textId="77777777" w:rsidR="00787BAD" w:rsidRDefault="00787BAD">
            <w:pPr>
              <w:jc w:val="center"/>
              <w:rPr>
                <w:color w:val="000000"/>
                <w:sz w:val="20"/>
                <w:szCs w:val="20"/>
              </w:rPr>
            </w:pPr>
            <w:r>
              <w:rPr>
                <w:color w:val="000000"/>
                <w:sz w:val="20"/>
                <w:szCs w:val="20"/>
              </w:rPr>
              <w:t>0.24</w:t>
            </w:r>
          </w:p>
        </w:tc>
        <w:tc>
          <w:tcPr>
            <w:tcW w:w="894" w:type="pct"/>
            <w:tcBorders>
              <w:top w:val="single" w:sz="8" w:space="0" w:color="auto"/>
              <w:left w:val="nil"/>
              <w:bottom w:val="single" w:sz="8" w:space="0" w:color="auto"/>
              <w:right w:val="nil"/>
            </w:tcBorders>
            <w:shd w:val="clear" w:color="auto" w:fill="auto"/>
            <w:noWrap/>
            <w:vAlign w:val="center"/>
            <w:hideMark/>
          </w:tcPr>
          <w:p w14:paraId="4C9B5931" w14:textId="77777777" w:rsidR="00787BAD" w:rsidRDefault="00787BAD">
            <w:pPr>
              <w:jc w:val="center"/>
              <w:rPr>
                <w:color w:val="000000"/>
                <w:sz w:val="20"/>
                <w:szCs w:val="20"/>
              </w:rPr>
            </w:pPr>
            <w:r>
              <w:rPr>
                <w:color w:val="000000"/>
                <w:sz w:val="20"/>
                <w:szCs w:val="20"/>
              </w:rPr>
              <w:t>-0.02</w:t>
            </w:r>
          </w:p>
        </w:tc>
        <w:tc>
          <w:tcPr>
            <w:tcW w:w="274" w:type="pct"/>
            <w:tcBorders>
              <w:top w:val="single" w:sz="8" w:space="0" w:color="auto"/>
              <w:left w:val="nil"/>
              <w:bottom w:val="single" w:sz="8" w:space="0" w:color="auto"/>
              <w:right w:val="nil"/>
            </w:tcBorders>
            <w:shd w:val="clear" w:color="auto" w:fill="auto"/>
            <w:noWrap/>
            <w:vAlign w:val="center"/>
            <w:hideMark/>
          </w:tcPr>
          <w:p w14:paraId="7EB98CB5" w14:textId="77777777" w:rsidR="00787BAD" w:rsidRDefault="00787BAD">
            <w:pPr>
              <w:jc w:val="center"/>
              <w:rPr>
                <w:color w:val="000000"/>
                <w:sz w:val="20"/>
                <w:szCs w:val="20"/>
              </w:rPr>
            </w:pPr>
            <w:r>
              <w:rPr>
                <w:color w:val="000000"/>
                <w:sz w:val="20"/>
                <w:szCs w:val="20"/>
              </w:rPr>
              <w:t>0.84</w:t>
            </w:r>
          </w:p>
        </w:tc>
      </w:tr>
      <w:tr w:rsidR="00787BAD" w14:paraId="4F00CB93" w14:textId="77777777" w:rsidTr="00787BAD">
        <w:trPr>
          <w:trHeight w:val="320"/>
        </w:trPr>
        <w:tc>
          <w:tcPr>
            <w:tcW w:w="1000" w:type="pct"/>
            <w:tcBorders>
              <w:top w:val="nil"/>
              <w:left w:val="nil"/>
              <w:bottom w:val="nil"/>
              <w:right w:val="nil"/>
            </w:tcBorders>
            <w:shd w:val="clear" w:color="auto" w:fill="auto"/>
            <w:noWrap/>
            <w:vAlign w:val="center"/>
            <w:hideMark/>
          </w:tcPr>
          <w:p w14:paraId="75513D18" w14:textId="77777777" w:rsidR="00787BAD" w:rsidRDefault="00787BAD">
            <w:pPr>
              <w:rPr>
                <w:sz w:val="20"/>
                <w:szCs w:val="20"/>
              </w:rPr>
            </w:pPr>
          </w:p>
        </w:tc>
        <w:tc>
          <w:tcPr>
            <w:tcW w:w="944" w:type="pct"/>
            <w:tcBorders>
              <w:top w:val="single" w:sz="8" w:space="0" w:color="auto"/>
              <w:left w:val="nil"/>
              <w:bottom w:val="single" w:sz="8" w:space="0" w:color="auto"/>
              <w:right w:val="nil"/>
            </w:tcBorders>
            <w:shd w:val="clear" w:color="auto" w:fill="auto"/>
            <w:noWrap/>
            <w:vAlign w:val="center"/>
            <w:hideMark/>
          </w:tcPr>
          <w:p w14:paraId="48A1C55E" w14:textId="77777777" w:rsidR="00787BAD" w:rsidRDefault="00787BAD">
            <w:pPr>
              <w:rPr>
                <w:color w:val="000000"/>
                <w:sz w:val="20"/>
                <w:szCs w:val="20"/>
              </w:rPr>
            </w:pPr>
            <w:r>
              <w:rPr>
                <w:color w:val="000000"/>
                <w:sz w:val="20"/>
                <w:szCs w:val="20"/>
              </w:rPr>
              <w:t xml:space="preserve">N2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8" w:space="0" w:color="auto"/>
              <w:right w:val="nil"/>
            </w:tcBorders>
            <w:shd w:val="clear" w:color="auto" w:fill="auto"/>
            <w:noWrap/>
            <w:vAlign w:val="center"/>
            <w:hideMark/>
          </w:tcPr>
          <w:p w14:paraId="011D8689" w14:textId="54D204B0" w:rsidR="00787BAD" w:rsidRDefault="00787BAD">
            <w:pPr>
              <w:rPr>
                <w:color w:val="000000"/>
                <w:sz w:val="20"/>
                <w:szCs w:val="20"/>
              </w:rPr>
            </w:pPr>
            <w:r>
              <w:rPr>
                <w:color w:val="000000"/>
                <w:sz w:val="20"/>
                <w:szCs w:val="20"/>
              </w:rPr>
              <w:t>0.11 (-0.34 – 0.56)</w:t>
            </w:r>
          </w:p>
        </w:tc>
        <w:tc>
          <w:tcPr>
            <w:tcW w:w="629" w:type="pct"/>
            <w:tcBorders>
              <w:top w:val="single" w:sz="8" w:space="0" w:color="auto"/>
              <w:left w:val="nil"/>
              <w:bottom w:val="single" w:sz="8" w:space="0" w:color="auto"/>
              <w:right w:val="nil"/>
            </w:tcBorders>
            <w:shd w:val="clear" w:color="auto" w:fill="auto"/>
            <w:noWrap/>
            <w:vAlign w:val="center"/>
            <w:hideMark/>
          </w:tcPr>
          <w:p w14:paraId="64BEF203" w14:textId="77777777" w:rsidR="00787BAD" w:rsidRDefault="00787BAD">
            <w:pPr>
              <w:jc w:val="center"/>
              <w:rPr>
                <w:color w:val="000000"/>
                <w:sz w:val="20"/>
                <w:szCs w:val="20"/>
              </w:rPr>
            </w:pPr>
            <w:r>
              <w:rPr>
                <w:color w:val="000000"/>
                <w:sz w:val="20"/>
                <w:szCs w:val="20"/>
              </w:rPr>
              <w:t>0.22</w:t>
            </w:r>
          </w:p>
        </w:tc>
        <w:tc>
          <w:tcPr>
            <w:tcW w:w="894" w:type="pct"/>
            <w:tcBorders>
              <w:top w:val="single" w:sz="8" w:space="0" w:color="auto"/>
              <w:left w:val="nil"/>
              <w:bottom w:val="single" w:sz="8" w:space="0" w:color="auto"/>
              <w:right w:val="nil"/>
            </w:tcBorders>
            <w:shd w:val="clear" w:color="auto" w:fill="auto"/>
            <w:noWrap/>
            <w:vAlign w:val="center"/>
            <w:hideMark/>
          </w:tcPr>
          <w:p w14:paraId="0C57386F" w14:textId="77777777" w:rsidR="00787BAD" w:rsidRDefault="00787BAD">
            <w:pPr>
              <w:jc w:val="center"/>
              <w:rPr>
                <w:color w:val="000000"/>
                <w:sz w:val="20"/>
                <w:szCs w:val="20"/>
              </w:rPr>
            </w:pPr>
            <w:r>
              <w:rPr>
                <w:color w:val="000000"/>
                <w:sz w:val="20"/>
                <w:szCs w:val="20"/>
              </w:rPr>
              <w:t>0.06</w:t>
            </w:r>
          </w:p>
        </w:tc>
        <w:tc>
          <w:tcPr>
            <w:tcW w:w="274" w:type="pct"/>
            <w:tcBorders>
              <w:top w:val="single" w:sz="8" w:space="0" w:color="auto"/>
              <w:left w:val="nil"/>
              <w:bottom w:val="single" w:sz="8" w:space="0" w:color="auto"/>
              <w:right w:val="nil"/>
            </w:tcBorders>
            <w:shd w:val="clear" w:color="auto" w:fill="auto"/>
            <w:noWrap/>
            <w:vAlign w:val="center"/>
            <w:hideMark/>
          </w:tcPr>
          <w:p w14:paraId="091CA304" w14:textId="77777777" w:rsidR="00787BAD" w:rsidRDefault="00787BAD">
            <w:pPr>
              <w:jc w:val="center"/>
              <w:rPr>
                <w:color w:val="000000"/>
                <w:sz w:val="20"/>
                <w:szCs w:val="20"/>
              </w:rPr>
            </w:pPr>
            <w:r>
              <w:rPr>
                <w:color w:val="000000"/>
                <w:sz w:val="20"/>
                <w:szCs w:val="20"/>
              </w:rPr>
              <w:t>0.62</w:t>
            </w:r>
          </w:p>
        </w:tc>
      </w:tr>
      <w:tr w:rsidR="00787BAD" w14:paraId="4A9C5CF1" w14:textId="77777777" w:rsidTr="00787BAD">
        <w:trPr>
          <w:trHeight w:val="320"/>
        </w:trPr>
        <w:tc>
          <w:tcPr>
            <w:tcW w:w="1000" w:type="pct"/>
            <w:tcBorders>
              <w:top w:val="nil"/>
              <w:left w:val="nil"/>
              <w:bottom w:val="single" w:sz="12" w:space="0" w:color="auto"/>
              <w:right w:val="nil"/>
            </w:tcBorders>
            <w:shd w:val="clear" w:color="auto" w:fill="auto"/>
            <w:noWrap/>
            <w:vAlign w:val="center"/>
            <w:hideMark/>
          </w:tcPr>
          <w:p w14:paraId="6C8EAB67" w14:textId="77777777" w:rsidR="00787BAD" w:rsidRDefault="00787BAD">
            <w:pPr>
              <w:rPr>
                <w:sz w:val="20"/>
                <w:szCs w:val="20"/>
              </w:rPr>
            </w:pPr>
          </w:p>
        </w:tc>
        <w:tc>
          <w:tcPr>
            <w:tcW w:w="944" w:type="pct"/>
            <w:tcBorders>
              <w:top w:val="single" w:sz="8" w:space="0" w:color="auto"/>
              <w:left w:val="nil"/>
              <w:bottom w:val="single" w:sz="12" w:space="0" w:color="auto"/>
              <w:right w:val="nil"/>
            </w:tcBorders>
            <w:shd w:val="clear" w:color="auto" w:fill="auto"/>
            <w:noWrap/>
            <w:vAlign w:val="center"/>
            <w:hideMark/>
          </w:tcPr>
          <w:p w14:paraId="385288ED" w14:textId="77777777" w:rsidR="00787BAD" w:rsidRDefault="00787BAD">
            <w:pPr>
              <w:rPr>
                <w:color w:val="000000"/>
                <w:sz w:val="20"/>
                <w:szCs w:val="20"/>
              </w:rPr>
            </w:pPr>
            <w:r>
              <w:rPr>
                <w:color w:val="000000"/>
                <w:sz w:val="20"/>
                <w:szCs w:val="20"/>
              </w:rPr>
              <w:t xml:space="preserve">N3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12" w:space="0" w:color="auto"/>
              <w:right w:val="nil"/>
            </w:tcBorders>
            <w:shd w:val="clear" w:color="auto" w:fill="auto"/>
            <w:noWrap/>
            <w:vAlign w:val="center"/>
            <w:hideMark/>
          </w:tcPr>
          <w:p w14:paraId="515BC556" w14:textId="7BB4C697" w:rsidR="00787BAD" w:rsidRDefault="00787BAD">
            <w:pPr>
              <w:rPr>
                <w:color w:val="000000"/>
                <w:sz w:val="20"/>
                <w:szCs w:val="20"/>
              </w:rPr>
            </w:pPr>
            <w:r>
              <w:rPr>
                <w:color w:val="000000"/>
                <w:sz w:val="20"/>
                <w:szCs w:val="20"/>
              </w:rPr>
              <w:t>-0.16 (-0.63 – 0.32)</w:t>
            </w:r>
          </w:p>
        </w:tc>
        <w:tc>
          <w:tcPr>
            <w:tcW w:w="629" w:type="pct"/>
            <w:tcBorders>
              <w:top w:val="single" w:sz="8" w:space="0" w:color="auto"/>
              <w:left w:val="nil"/>
              <w:bottom w:val="single" w:sz="12" w:space="0" w:color="auto"/>
              <w:right w:val="nil"/>
            </w:tcBorders>
            <w:shd w:val="clear" w:color="auto" w:fill="auto"/>
            <w:noWrap/>
            <w:vAlign w:val="center"/>
            <w:hideMark/>
          </w:tcPr>
          <w:p w14:paraId="48AE5AE5" w14:textId="77777777" w:rsidR="00787BAD" w:rsidRDefault="00787BAD">
            <w:pPr>
              <w:jc w:val="center"/>
              <w:rPr>
                <w:color w:val="000000"/>
                <w:sz w:val="20"/>
                <w:szCs w:val="20"/>
              </w:rPr>
            </w:pPr>
            <w:r>
              <w:rPr>
                <w:color w:val="000000"/>
                <w:sz w:val="20"/>
                <w:szCs w:val="20"/>
              </w:rPr>
              <w:t>0.24</w:t>
            </w:r>
          </w:p>
        </w:tc>
        <w:tc>
          <w:tcPr>
            <w:tcW w:w="894" w:type="pct"/>
            <w:tcBorders>
              <w:top w:val="single" w:sz="8" w:space="0" w:color="auto"/>
              <w:left w:val="nil"/>
              <w:bottom w:val="single" w:sz="12" w:space="0" w:color="auto"/>
              <w:right w:val="nil"/>
            </w:tcBorders>
            <w:shd w:val="clear" w:color="auto" w:fill="auto"/>
            <w:noWrap/>
            <w:vAlign w:val="center"/>
            <w:hideMark/>
          </w:tcPr>
          <w:p w14:paraId="63E1D72F" w14:textId="77777777" w:rsidR="00787BAD" w:rsidRDefault="00787BAD">
            <w:pPr>
              <w:jc w:val="center"/>
              <w:rPr>
                <w:color w:val="000000"/>
                <w:sz w:val="20"/>
                <w:szCs w:val="20"/>
              </w:rPr>
            </w:pPr>
            <w:r>
              <w:rPr>
                <w:color w:val="000000"/>
                <w:sz w:val="20"/>
                <w:szCs w:val="20"/>
              </w:rPr>
              <w:t>-0.08</w:t>
            </w:r>
          </w:p>
        </w:tc>
        <w:tc>
          <w:tcPr>
            <w:tcW w:w="274" w:type="pct"/>
            <w:tcBorders>
              <w:top w:val="single" w:sz="8" w:space="0" w:color="auto"/>
              <w:left w:val="nil"/>
              <w:bottom w:val="single" w:sz="12" w:space="0" w:color="auto"/>
              <w:right w:val="nil"/>
            </w:tcBorders>
            <w:shd w:val="clear" w:color="auto" w:fill="auto"/>
            <w:noWrap/>
            <w:vAlign w:val="center"/>
            <w:hideMark/>
          </w:tcPr>
          <w:p w14:paraId="6A0917AA" w14:textId="77777777" w:rsidR="00787BAD" w:rsidRDefault="00787BAD">
            <w:pPr>
              <w:jc w:val="center"/>
              <w:rPr>
                <w:color w:val="000000"/>
                <w:sz w:val="20"/>
                <w:szCs w:val="20"/>
              </w:rPr>
            </w:pPr>
            <w:r>
              <w:rPr>
                <w:color w:val="000000"/>
                <w:sz w:val="20"/>
                <w:szCs w:val="20"/>
              </w:rPr>
              <w:t>0.52</w:t>
            </w:r>
          </w:p>
        </w:tc>
      </w:tr>
      <w:tr w:rsidR="00787BAD" w14:paraId="0E2172DB" w14:textId="77777777" w:rsidTr="00787BAD">
        <w:trPr>
          <w:trHeight w:val="320"/>
        </w:trPr>
        <w:tc>
          <w:tcPr>
            <w:tcW w:w="1000" w:type="pct"/>
            <w:tcBorders>
              <w:top w:val="single" w:sz="12" w:space="0" w:color="auto"/>
              <w:left w:val="nil"/>
              <w:bottom w:val="nil"/>
              <w:right w:val="nil"/>
            </w:tcBorders>
            <w:shd w:val="clear" w:color="auto" w:fill="auto"/>
            <w:noWrap/>
            <w:vAlign w:val="center"/>
            <w:hideMark/>
          </w:tcPr>
          <w:p w14:paraId="6BA65B98" w14:textId="77777777" w:rsidR="00787BAD" w:rsidRDefault="00787BAD">
            <w:pPr>
              <w:rPr>
                <w:color w:val="000000"/>
                <w:sz w:val="20"/>
                <w:szCs w:val="20"/>
              </w:rPr>
            </w:pPr>
            <w:r>
              <w:rPr>
                <w:color w:val="000000"/>
                <w:sz w:val="20"/>
                <w:szCs w:val="20"/>
              </w:rPr>
              <w:t>Ch4 volume</w:t>
            </w:r>
          </w:p>
        </w:tc>
        <w:tc>
          <w:tcPr>
            <w:tcW w:w="944" w:type="pct"/>
            <w:tcBorders>
              <w:top w:val="single" w:sz="12" w:space="0" w:color="auto"/>
              <w:left w:val="nil"/>
              <w:bottom w:val="single" w:sz="8" w:space="0" w:color="auto"/>
              <w:right w:val="nil"/>
            </w:tcBorders>
            <w:shd w:val="clear" w:color="auto" w:fill="auto"/>
            <w:noWrap/>
            <w:vAlign w:val="center"/>
            <w:hideMark/>
          </w:tcPr>
          <w:p w14:paraId="6814D273" w14:textId="77777777" w:rsidR="00787BAD" w:rsidRDefault="00787BAD">
            <w:pPr>
              <w:rPr>
                <w:color w:val="000000"/>
                <w:sz w:val="20"/>
                <w:szCs w:val="20"/>
              </w:rPr>
            </w:pPr>
            <w:proofErr w:type="spellStart"/>
            <w:r>
              <w:rPr>
                <w:color w:val="000000"/>
                <w:sz w:val="20"/>
                <w:szCs w:val="20"/>
              </w:rPr>
              <w:t>Wakefulness</w:t>
            </w:r>
            <w:proofErr w:type="spellEnd"/>
            <w:r>
              <w:rPr>
                <w:color w:val="000000"/>
                <w:sz w:val="20"/>
                <w:szCs w:val="20"/>
              </w:rPr>
              <w:t xml:space="preserve"> (%)</w:t>
            </w:r>
          </w:p>
        </w:tc>
        <w:tc>
          <w:tcPr>
            <w:tcW w:w="1258" w:type="pct"/>
            <w:tcBorders>
              <w:top w:val="single" w:sz="12" w:space="0" w:color="auto"/>
              <w:left w:val="nil"/>
              <w:bottom w:val="single" w:sz="8" w:space="0" w:color="auto"/>
              <w:right w:val="nil"/>
            </w:tcBorders>
            <w:shd w:val="clear" w:color="auto" w:fill="auto"/>
            <w:noWrap/>
            <w:vAlign w:val="center"/>
            <w:hideMark/>
          </w:tcPr>
          <w:p w14:paraId="01DA65EA" w14:textId="52B8F0DE" w:rsidR="00787BAD" w:rsidRDefault="006F462A">
            <w:pPr>
              <w:rPr>
                <w:color w:val="000000"/>
                <w:sz w:val="20"/>
                <w:szCs w:val="20"/>
              </w:rPr>
            </w:pPr>
            <w:r>
              <w:rPr>
                <w:color w:val="000000"/>
                <w:sz w:val="20"/>
                <w:szCs w:val="20"/>
              </w:rPr>
              <w:t>4.8</w:t>
            </w:r>
            <w:r w:rsidR="00E530C5" w:rsidRPr="006F462A">
              <w:rPr>
                <w:color w:val="000000"/>
                <w:sz w:val="20"/>
                <w:szCs w:val="20"/>
              </w:rPr>
              <w:t>e</w:t>
            </w:r>
            <w:r w:rsidR="00E530C5" w:rsidRPr="006F462A">
              <w:rPr>
                <w:color w:val="000000"/>
                <w:sz w:val="20"/>
                <w:szCs w:val="20"/>
                <w:vertAlign w:val="superscript"/>
              </w:rPr>
              <w:t>-4</w:t>
            </w:r>
            <w:r w:rsidR="00787BAD">
              <w:rPr>
                <w:color w:val="000000"/>
                <w:sz w:val="20"/>
                <w:szCs w:val="20"/>
              </w:rPr>
              <w:t xml:space="preserve"> (-</w:t>
            </w:r>
            <w:r>
              <w:rPr>
                <w:color w:val="000000"/>
                <w:sz w:val="20"/>
                <w:szCs w:val="20"/>
              </w:rPr>
              <w:t>7.3</w:t>
            </w:r>
            <w:r w:rsidR="00E530C5" w:rsidRPr="006F462A">
              <w:rPr>
                <w:color w:val="000000"/>
                <w:sz w:val="20"/>
                <w:szCs w:val="20"/>
              </w:rPr>
              <w:t>e</w:t>
            </w:r>
            <w:r w:rsidR="00E530C5" w:rsidRPr="006F462A">
              <w:rPr>
                <w:color w:val="000000"/>
                <w:sz w:val="20"/>
                <w:szCs w:val="20"/>
                <w:vertAlign w:val="superscript"/>
              </w:rPr>
              <w:t>-4</w:t>
            </w:r>
            <w:r w:rsidR="00787BAD">
              <w:rPr>
                <w:color w:val="000000"/>
                <w:sz w:val="20"/>
                <w:szCs w:val="20"/>
              </w:rPr>
              <w:t xml:space="preserve"> – </w:t>
            </w:r>
            <w:r>
              <w:rPr>
                <w:color w:val="000000"/>
                <w:sz w:val="20"/>
                <w:szCs w:val="20"/>
              </w:rPr>
              <w:t>0.002</w:t>
            </w:r>
            <w:r w:rsidR="00787BAD">
              <w:rPr>
                <w:color w:val="000000"/>
                <w:sz w:val="20"/>
                <w:szCs w:val="20"/>
              </w:rPr>
              <w:t>)</w:t>
            </w:r>
          </w:p>
        </w:tc>
        <w:tc>
          <w:tcPr>
            <w:tcW w:w="629" w:type="pct"/>
            <w:tcBorders>
              <w:top w:val="single" w:sz="12" w:space="0" w:color="auto"/>
              <w:left w:val="nil"/>
              <w:bottom w:val="single" w:sz="8" w:space="0" w:color="auto"/>
              <w:right w:val="nil"/>
            </w:tcBorders>
            <w:shd w:val="clear" w:color="auto" w:fill="auto"/>
            <w:noWrap/>
            <w:vAlign w:val="center"/>
            <w:hideMark/>
          </w:tcPr>
          <w:p w14:paraId="32847735" w14:textId="479F3E6F" w:rsidR="00787BAD" w:rsidRDefault="006F462A">
            <w:pPr>
              <w:jc w:val="center"/>
              <w:rPr>
                <w:color w:val="000000"/>
                <w:sz w:val="20"/>
                <w:szCs w:val="20"/>
              </w:rPr>
            </w:pPr>
            <w:r>
              <w:rPr>
                <w:color w:val="000000"/>
                <w:sz w:val="20"/>
                <w:szCs w:val="20"/>
              </w:rPr>
              <w:t>6.05</w:t>
            </w:r>
            <w:r w:rsidR="00E530C5" w:rsidRPr="006F462A">
              <w:rPr>
                <w:color w:val="000000"/>
                <w:sz w:val="20"/>
                <w:szCs w:val="20"/>
              </w:rPr>
              <w:t>e</w:t>
            </w:r>
            <w:r w:rsidR="00E530C5" w:rsidRPr="006F462A">
              <w:rPr>
                <w:color w:val="000000"/>
                <w:sz w:val="20"/>
                <w:szCs w:val="20"/>
                <w:vertAlign w:val="superscript"/>
              </w:rPr>
              <w:t>-4</w:t>
            </w:r>
          </w:p>
        </w:tc>
        <w:tc>
          <w:tcPr>
            <w:tcW w:w="894" w:type="pct"/>
            <w:tcBorders>
              <w:top w:val="single" w:sz="12" w:space="0" w:color="auto"/>
              <w:left w:val="nil"/>
              <w:bottom w:val="single" w:sz="8" w:space="0" w:color="auto"/>
              <w:right w:val="nil"/>
            </w:tcBorders>
            <w:shd w:val="clear" w:color="auto" w:fill="auto"/>
            <w:noWrap/>
            <w:vAlign w:val="center"/>
            <w:hideMark/>
          </w:tcPr>
          <w:p w14:paraId="1EDE04C0" w14:textId="6AE5A0BD" w:rsidR="00787BAD" w:rsidRDefault="00787BAD">
            <w:pPr>
              <w:jc w:val="center"/>
              <w:rPr>
                <w:color w:val="000000"/>
                <w:sz w:val="20"/>
                <w:szCs w:val="20"/>
              </w:rPr>
            </w:pPr>
            <w:r>
              <w:rPr>
                <w:color w:val="000000"/>
                <w:sz w:val="20"/>
                <w:szCs w:val="20"/>
              </w:rPr>
              <w:t>0.1</w:t>
            </w:r>
            <w:r w:rsidR="006F462A">
              <w:rPr>
                <w:color w:val="000000"/>
                <w:sz w:val="20"/>
                <w:szCs w:val="20"/>
              </w:rPr>
              <w:t>0</w:t>
            </w:r>
          </w:p>
        </w:tc>
        <w:tc>
          <w:tcPr>
            <w:tcW w:w="274" w:type="pct"/>
            <w:tcBorders>
              <w:top w:val="single" w:sz="12" w:space="0" w:color="auto"/>
              <w:left w:val="nil"/>
              <w:bottom w:val="single" w:sz="8" w:space="0" w:color="auto"/>
              <w:right w:val="nil"/>
            </w:tcBorders>
            <w:shd w:val="clear" w:color="auto" w:fill="auto"/>
            <w:noWrap/>
            <w:vAlign w:val="center"/>
            <w:hideMark/>
          </w:tcPr>
          <w:p w14:paraId="4668F1B9" w14:textId="7048DFB8" w:rsidR="00787BAD" w:rsidRDefault="00787BAD">
            <w:pPr>
              <w:jc w:val="center"/>
              <w:rPr>
                <w:color w:val="000000"/>
                <w:sz w:val="20"/>
                <w:szCs w:val="20"/>
              </w:rPr>
            </w:pPr>
            <w:r>
              <w:rPr>
                <w:color w:val="000000"/>
                <w:sz w:val="20"/>
                <w:szCs w:val="20"/>
              </w:rPr>
              <w:t>0.4</w:t>
            </w:r>
            <w:r w:rsidR="006F462A">
              <w:rPr>
                <w:color w:val="000000"/>
                <w:sz w:val="20"/>
                <w:szCs w:val="20"/>
              </w:rPr>
              <w:t>3</w:t>
            </w:r>
          </w:p>
        </w:tc>
      </w:tr>
      <w:tr w:rsidR="00787BAD" w14:paraId="57538D88" w14:textId="77777777" w:rsidTr="00787BAD">
        <w:trPr>
          <w:trHeight w:val="320"/>
        </w:trPr>
        <w:tc>
          <w:tcPr>
            <w:tcW w:w="1000" w:type="pct"/>
            <w:tcBorders>
              <w:top w:val="nil"/>
              <w:left w:val="nil"/>
              <w:bottom w:val="nil"/>
              <w:right w:val="nil"/>
            </w:tcBorders>
            <w:shd w:val="clear" w:color="auto" w:fill="auto"/>
            <w:noWrap/>
            <w:vAlign w:val="center"/>
            <w:hideMark/>
          </w:tcPr>
          <w:p w14:paraId="343FF9E6" w14:textId="77777777" w:rsidR="00787BAD" w:rsidRDefault="00787BAD">
            <w:pPr>
              <w:rPr>
                <w:sz w:val="20"/>
                <w:szCs w:val="20"/>
              </w:rPr>
            </w:pPr>
          </w:p>
        </w:tc>
        <w:tc>
          <w:tcPr>
            <w:tcW w:w="944" w:type="pct"/>
            <w:tcBorders>
              <w:top w:val="single" w:sz="8" w:space="0" w:color="auto"/>
              <w:left w:val="nil"/>
              <w:bottom w:val="single" w:sz="8" w:space="0" w:color="auto"/>
              <w:right w:val="nil"/>
            </w:tcBorders>
            <w:shd w:val="clear" w:color="auto" w:fill="auto"/>
            <w:noWrap/>
            <w:vAlign w:val="center"/>
            <w:hideMark/>
          </w:tcPr>
          <w:p w14:paraId="1562CB31" w14:textId="77777777" w:rsidR="00787BAD" w:rsidRDefault="00787BAD">
            <w:pPr>
              <w:rPr>
                <w:color w:val="000000"/>
                <w:sz w:val="20"/>
                <w:szCs w:val="20"/>
              </w:rPr>
            </w:pPr>
            <w:r>
              <w:rPr>
                <w:color w:val="000000"/>
                <w:sz w:val="20"/>
                <w:szCs w:val="20"/>
              </w:rPr>
              <w:t xml:space="preserve">N1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8" w:space="0" w:color="auto"/>
              <w:right w:val="nil"/>
            </w:tcBorders>
            <w:shd w:val="clear" w:color="auto" w:fill="auto"/>
            <w:noWrap/>
            <w:vAlign w:val="center"/>
            <w:hideMark/>
          </w:tcPr>
          <w:p w14:paraId="0A19DA17" w14:textId="4011F698" w:rsidR="00787BAD" w:rsidRDefault="00787BAD">
            <w:pPr>
              <w:rPr>
                <w:color w:val="000000"/>
                <w:sz w:val="20"/>
                <w:szCs w:val="20"/>
              </w:rPr>
            </w:pPr>
            <w:r>
              <w:rPr>
                <w:color w:val="000000"/>
                <w:sz w:val="20"/>
                <w:szCs w:val="20"/>
              </w:rPr>
              <w:t>-</w:t>
            </w:r>
            <w:r w:rsidR="006F462A">
              <w:rPr>
                <w:color w:val="000000"/>
                <w:sz w:val="20"/>
                <w:szCs w:val="20"/>
              </w:rPr>
              <w:t>8.3</w:t>
            </w:r>
            <w:r w:rsidR="00E530C5" w:rsidRPr="006F462A">
              <w:rPr>
                <w:color w:val="000000"/>
                <w:sz w:val="20"/>
                <w:szCs w:val="20"/>
              </w:rPr>
              <w:t>e</w:t>
            </w:r>
            <w:r w:rsidR="00E530C5" w:rsidRPr="006F462A">
              <w:rPr>
                <w:color w:val="000000"/>
                <w:sz w:val="20"/>
                <w:szCs w:val="20"/>
                <w:vertAlign w:val="superscript"/>
              </w:rPr>
              <w:t>-4</w:t>
            </w:r>
            <w:r>
              <w:rPr>
                <w:color w:val="000000"/>
                <w:sz w:val="20"/>
                <w:szCs w:val="20"/>
              </w:rPr>
              <w:t xml:space="preserve"> (-</w:t>
            </w:r>
            <w:r w:rsidR="006F462A">
              <w:rPr>
                <w:color w:val="000000"/>
                <w:sz w:val="20"/>
                <w:szCs w:val="20"/>
              </w:rPr>
              <w:t>0.002</w:t>
            </w:r>
            <w:r>
              <w:rPr>
                <w:color w:val="000000"/>
                <w:sz w:val="20"/>
                <w:szCs w:val="20"/>
              </w:rPr>
              <w:t xml:space="preserve"> – </w:t>
            </w:r>
            <w:r w:rsidR="006F462A">
              <w:rPr>
                <w:color w:val="000000"/>
                <w:sz w:val="20"/>
                <w:szCs w:val="20"/>
              </w:rPr>
              <w:t>8.4</w:t>
            </w:r>
            <w:r w:rsidR="00E530C5" w:rsidRPr="006F462A">
              <w:rPr>
                <w:color w:val="000000"/>
                <w:sz w:val="20"/>
                <w:szCs w:val="20"/>
              </w:rPr>
              <w:t>e</w:t>
            </w:r>
            <w:r w:rsidR="00E530C5" w:rsidRPr="006F462A">
              <w:rPr>
                <w:color w:val="000000"/>
                <w:sz w:val="20"/>
                <w:szCs w:val="20"/>
                <w:vertAlign w:val="superscript"/>
              </w:rPr>
              <w:t>-4</w:t>
            </w:r>
            <w:r>
              <w:rPr>
                <w:color w:val="000000"/>
                <w:sz w:val="20"/>
                <w:szCs w:val="20"/>
              </w:rPr>
              <w:t>)</w:t>
            </w:r>
          </w:p>
        </w:tc>
        <w:tc>
          <w:tcPr>
            <w:tcW w:w="629" w:type="pct"/>
            <w:tcBorders>
              <w:top w:val="single" w:sz="8" w:space="0" w:color="auto"/>
              <w:left w:val="nil"/>
              <w:bottom w:val="single" w:sz="8" w:space="0" w:color="auto"/>
              <w:right w:val="nil"/>
            </w:tcBorders>
            <w:shd w:val="clear" w:color="auto" w:fill="auto"/>
            <w:noWrap/>
            <w:vAlign w:val="center"/>
            <w:hideMark/>
          </w:tcPr>
          <w:p w14:paraId="1CD05C2E" w14:textId="0C0F8254" w:rsidR="00787BAD" w:rsidRDefault="006F462A">
            <w:pPr>
              <w:jc w:val="center"/>
              <w:rPr>
                <w:color w:val="000000"/>
                <w:sz w:val="20"/>
                <w:szCs w:val="20"/>
              </w:rPr>
            </w:pPr>
            <w:r>
              <w:rPr>
                <w:color w:val="000000"/>
                <w:sz w:val="20"/>
                <w:szCs w:val="20"/>
              </w:rPr>
              <w:t>8.3</w:t>
            </w:r>
            <w:r w:rsidR="00E530C5" w:rsidRPr="006F462A">
              <w:rPr>
                <w:color w:val="000000"/>
                <w:sz w:val="20"/>
                <w:szCs w:val="20"/>
              </w:rPr>
              <w:t>e</w:t>
            </w:r>
            <w:r w:rsidR="00E530C5" w:rsidRPr="006F462A">
              <w:rPr>
                <w:color w:val="000000"/>
                <w:sz w:val="20"/>
                <w:szCs w:val="20"/>
                <w:vertAlign w:val="superscript"/>
              </w:rPr>
              <w:t>-4</w:t>
            </w:r>
          </w:p>
        </w:tc>
        <w:tc>
          <w:tcPr>
            <w:tcW w:w="894" w:type="pct"/>
            <w:tcBorders>
              <w:top w:val="single" w:sz="8" w:space="0" w:color="auto"/>
              <w:left w:val="nil"/>
              <w:bottom w:val="single" w:sz="8" w:space="0" w:color="auto"/>
              <w:right w:val="nil"/>
            </w:tcBorders>
            <w:shd w:val="clear" w:color="auto" w:fill="auto"/>
            <w:noWrap/>
            <w:vAlign w:val="center"/>
            <w:hideMark/>
          </w:tcPr>
          <w:p w14:paraId="006D108E" w14:textId="77777777" w:rsidR="00787BAD" w:rsidRDefault="00787BAD">
            <w:pPr>
              <w:jc w:val="center"/>
              <w:rPr>
                <w:color w:val="000000"/>
                <w:sz w:val="20"/>
                <w:szCs w:val="20"/>
              </w:rPr>
            </w:pPr>
            <w:r>
              <w:rPr>
                <w:color w:val="000000"/>
                <w:sz w:val="20"/>
                <w:szCs w:val="20"/>
              </w:rPr>
              <w:t>-0.14</w:t>
            </w:r>
          </w:p>
        </w:tc>
        <w:tc>
          <w:tcPr>
            <w:tcW w:w="274" w:type="pct"/>
            <w:tcBorders>
              <w:top w:val="single" w:sz="8" w:space="0" w:color="auto"/>
              <w:left w:val="nil"/>
              <w:bottom w:val="single" w:sz="8" w:space="0" w:color="auto"/>
              <w:right w:val="nil"/>
            </w:tcBorders>
            <w:shd w:val="clear" w:color="auto" w:fill="auto"/>
            <w:noWrap/>
            <w:vAlign w:val="center"/>
            <w:hideMark/>
          </w:tcPr>
          <w:p w14:paraId="7320C1C5" w14:textId="41DC4CA5" w:rsidR="00787BAD" w:rsidRDefault="00787BAD">
            <w:pPr>
              <w:jc w:val="center"/>
              <w:rPr>
                <w:color w:val="000000"/>
                <w:sz w:val="20"/>
                <w:szCs w:val="20"/>
              </w:rPr>
            </w:pPr>
            <w:r>
              <w:rPr>
                <w:color w:val="000000"/>
                <w:sz w:val="20"/>
                <w:szCs w:val="20"/>
              </w:rPr>
              <w:t>0.3</w:t>
            </w:r>
            <w:r w:rsidR="006F462A">
              <w:rPr>
                <w:color w:val="000000"/>
                <w:sz w:val="20"/>
                <w:szCs w:val="20"/>
              </w:rPr>
              <w:t>2</w:t>
            </w:r>
          </w:p>
        </w:tc>
      </w:tr>
      <w:tr w:rsidR="00787BAD" w14:paraId="6259E480" w14:textId="77777777" w:rsidTr="00787BAD">
        <w:trPr>
          <w:trHeight w:val="320"/>
        </w:trPr>
        <w:tc>
          <w:tcPr>
            <w:tcW w:w="1000" w:type="pct"/>
            <w:tcBorders>
              <w:top w:val="nil"/>
              <w:left w:val="nil"/>
              <w:bottom w:val="nil"/>
              <w:right w:val="nil"/>
            </w:tcBorders>
            <w:shd w:val="clear" w:color="auto" w:fill="auto"/>
            <w:noWrap/>
            <w:vAlign w:val="center"/>
            <w:hideMark/>
          </w:tcPr>
          <w:p w14:paraId="3B6985DB" w14:textId="77777777" w:rsidR="00787BAD" w:rsidRDefault="00787BAD">
            <w:pPr>
              <w:rPr>
                <w:sz w:val="20"/>
                <w:szCs w:val="20"/>
              </w:rPr>
            </w:pPr>
          </w:p>
        </w:tc>
        <w:tc>
          <w:tcPr>
            <w:tcW w:w="944" w:type="pct"/>
            <w:tcBorders>
              <w:top w:val="single" w:sz="8" w:space="0" w:color="auto"/>
              <w:left w:val="nil"/>
              <w:bottom w:val="single" w:sz="8" w:space="0" w:color="auto"/>
              <w:right w:val="nil"/>
            </w:tcBorders>
            <w:shd w:val="clear" w:color="auto" w:fill="auto"/>
            <w:noWrap/>
            <w:vAlign w:val="center"/>
            <w:hideMark/>
          </w:tcPr>
          <w:p w14:paraId="5A40E82A" w14:textId="77777777" w:rsidR="00787BAD" w:rsidRDefault="00787BAD">
            <w:pPr>
              <w:rPr>
                <w:color w:val="000000"/>
                <w:sz w:val="20"/>
                <w:szCs w:val="20"/>
              </w:rPr>
            </w:pPr>
            <w:r>
              <w:rPr>
                <w:color w:val="000000"/>
                <w:sz w:val="20"/>
                <w:szCs w:val="20"/>
              </w:rPr>
              <w:t xml:space="preserve">N2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8" w:space="0" w:color="auto"/>
              <w:right w:val="nil"/>
            </w:tcBorders>
            <w:shd w:val="clear" w:color="auto" w:fill="auto"/>
            <w:noWrap/>
            <w:vAlign w:val="center"/>
            <w:hideMark/>
          </w:tcPr>
          <w:p w14:paraId="071789A6" w14:textId="3A6326EE" w:rsidR="00787BAD" w:rsidRDefault="00FD1F50">
            <w:pPr>
              <w:rPr>
                <w:color w:val="000000"/>
                <w:sz w:val="20"/>
                <w:szCs w:val="20"/>
              </w:rPr>
            </w:pPr>
            <w:r>
              <w:rPr>
                <w:color w:val="000000"/>
                <w:sz w:val="20"/>
                <w:szCs w:val="20"/>
              </w:rPr>
              <w:t>5.6</w:t>
            </w:r>
            <w:r w:rsidR="00E530C5" w:rsidRPr="006F462A">
              <w:rPr>
                <w:color w:val="000000"/>
                <w:sz w:val="20"/>
                <w:szCs w:val="20"/>
              </w:rPr>
              <w:t>e</w:t>
            </w:r>
            <w:r w:rsidR="00E530C5" w:rsidRPr="006F462A">
              <w:rPr>
                <w:color w:val="000000"/>
                <w:sz w:val="20"/>
                <w:szCs w:val="20"/>
                <w:vertAlign w:val="superscript"/>
              </w:rPr>
              <w:t>-4</w:t>
            </w:r>
            <w:r w:rsidR="00E530C5">
              <w:rPr>
                <w:color w:val="000000"/>
                <w:sz w:val="20"/>
                <w:szCs w:val="20"/>
              </w:rPr>
              <w:t xml:space="preserve"> </w:t>
            </w:r>
            <w:r w:rsidR="00787BAD">
              <w:rPr>
                <w:color w:val="000000"/>
                <w:sz w:val="20"/>
                <w:szCs w:val="20"/>
              </w:rPr>
              <w:t>(-</w:t>
            </w:r>
            <w:r>
              <w:rPr>
                <w:color w:val="000000"/>
                <w:sz w:val="20"/>
                <w:szCs w:val="20"/>
              </w:rPr>
              <w:t>0.001</w:t>
            </w:r>
            <w:r w:rsidR="00787BAD">
              <w:rPr>
                <w:color w:val="000000"/>
                <w:sz w:val="20"/>
                <w:szCs w:val="20"/>
              </w:rPr>
              <w:t xml:space="preserve"> – </w:t>
            </w:r>
            <w:r>
              <w:rPr>
                <w:color w:val="000000"/>
                <w:sz w:val="20"/>
                <w:szCs w:val="20"/>
              </w:rPr>
              <w:t>0.002</w:t>
            </w:r>
            <w:r w:rsidR="00787BAD">
              <w:rPr>
                <w:color w:val="000000"/>
                <w:sz w:val="20"/>
                <w:szCs w:val="20"/>
              </w:rPr>
              <w:t>)</w:t>
            </w:r>
          </w:p>
        </w:tc>
        <w:tc>
          <w:tcPr>
            <w:tcW w:w="629" w:type="pct"/>
            <w:tcBorders>
              <w:top w:val="single" w:sz="8" w:space="0" w:color="auto"/>
              <w:left w:val="nil"/>
              <w:bottom w:val="single" w:sz="8" w:space="0" w:color="auto"/>
              <w:right w:val="nil"/>
            </w:tcBorders>
            <w:shd w:val="clear" w:color="auto" w:fill="auto"/>
            <w:noWrap/>
            <w:vAlign w:val="center"/>
            <w:hideMark/>
          </w:tcPr>
          <w:p w14:paraId="2D08587B" w14:textId="438CB838" w:rsidR="00787BAD" w:rsidRDefault="00FD1F50">
            <w:pPr>
              <w:jc w:val="center"/>
              <w:rPr>
                <w:color w:val="000000"/>
                <w:sz w:val="20"/>
                <w:szCs w:val="20"/>
              </w:rPr>
            </w:pPr>
            <w:r>
              <w:rPr>
                <w:color w:val="000000"/>
                <w:sz w:val="20"/>
                <w:szCs w:val="20"/>
              </w:rPr>
              <w:t>7.8</w:t>
            </w:r>
            <w:r w:rsidR="00E530C5" w:rsidRPr="006F462A">
              <w:rPr>
                <w:color w:val="000000"/>
                <w:sz w:val="20"/>
                <w:szCs w:val="20"/>
              </w:rPr>
              <w:t>e</w:t>
            </w:r>
            <w:r w:rsidR="00E530C5" w:rsidRPr="006F462A">
              <w:rPr>
                <w:color w:val="000000"/>
                <w:sz w:val="20"/>
                <w:szCs w:val="20"/>
                <w:vertAlign w:val="superscript"/>
              </w:rPr>
              <w:t>-4</w:t>
            </w:r>
          </w:p>
        </w:tc>
        <w:tc>
          <w:tcPr>
            <w:tcW w:w="894" w:type="pct"/>
            <w:tcBorders>
              <w:top w:val="single" w:sz="8" w:space="0" w:color="auto"/>
              <w:left w:val="nil"/>
              <w:bottom w:val="single" w:sz="8" w:space="0" w:color="auto"/>
              <w:right w:val="nil"/>
            </w:tcBorders>
            <w:shd w:val="clear" w:color="auto" w:fill="auto"/>
            <w:noWrap/>
            <w:vAlign w:val="center"/>
            <w:hideMark/>
          </w:tcPr>
          <w:p w14:paraId="343742D9" w14:textId="27AAB2C5" w:rsidR="00787BAD" w:rsidRDefault="00787BAD">
            <w:pPr>
              <w:jc w:val="center"/>
              <w:rPr>
                <w:color w:val="000000"/>
                <w:sz w:val="20"/>
                <w:szCs w:val="20"/>
              </w:rPr>
            </w:pPr>
            <w:r>
              <w:rPr>
                <w:color w:val="000000"/>
                <w:sz w:val="20"/>
                <w:szCs w:val="20"/>
              </w:rPr>
              <w:t>0.1</w:t>
            </w:r>
            <w:r w:rsidR="00FD1F50">
              <w:rPr>
                <w:color w:val="000000"/>
                <w:sz w:val="20"/>
                <w:szCs w:val="20"/>
              </w:rPr>
              <w:t>0</w:t>
            </w:r>
          </w:p>
        </w:tc>
        <w:tc>
          <w:tcPr>
            <w:tcW w:w="274" w:type="pct"/>
            <w:tcBorders>
              <w:top w:val="single" w:sz="8" w:space="0" w:color="auto"/>
              <w:left w:val="nil"/>
              <w:bottom w:val="single" w:sz="8" w:space="0" w:color="auto"/>
              <w:right w:val="nil"/>
            </w:tcBorders>
            <w:shd w:val="clear" w:color="auto" w:fill="auto"/>
            <w:noWrap/>
            <w:vAlign w:val="center"/>
            <w:hideMark/>
          </w:tcPr>
          <w:p w14:paraId="470C4258" w14:textId="77777777" w:rsidR="00787BAD" w:rsidRDefault="00787BAD">
            <w:pPr>
              <w:jc w:val="center"/>
              <w:rPr>
                <w:color w:val="000000"/>
                <w:sz w:val="20"/>
                <w:szCs w:val="20"/>
              </w:rPr>
            </w:pPr>
            <w:r>
              <w:rPr>
                <w:color w:val="000000"/>
                <w:sz w:val="20"/>
                <w:szCs w:val="20"/>
              </w:rPr>
              <w:t>0.48</w:t>
            </w:r>
          </w:p>
        </w:tc>
      </w:tr>
      <w:tr w:rsidR="00787BAD" w14:paraId="0DC90535" w14:textId="77777777" w:rsidTr="00787BAD">
        <w:trPr>
          <w:trHeight w:val="320"/>
        </w:trPr>
        <w:tc>
          <w:tcPr>
            <w:tcW w:w="1000" w:type="pct"/>
            <w:tcBorders>
              <w:top w:val="nil"/>
              <w:left w:val="nil"/>
              <w:bottom w:val="single" w:sz="12" w:space="0" w:color="auto"/>
              <w:right w:val="nil"/>
            </w:tcBorders>
            <w:shd w:val="clear" w:color="auto" w:fill="auto"/>
            <w:noWrap/>
            <w:vAlign w:val="center"/>
            <w:hideMark/>
          </w:tcPr>
          <w:p w14:paraId="2D9FFA89" w14:textId="77777777" w:rsidR="00787BAD" w:rsidRDefault="00787BAD">
            <w:pPr>
              <w:rPr>
                <w:sz w:val="20"/>
                <w:szCs w:val="20"/>
              </w:rPr>
            </w:pPr>
          </w:p>
        </w:tc>
        <w:tc>
          <w:tcPr>
            <w:tcW w:w="944" w:type="pct"/>
            <w:tcBorders>
              <w:top w:val="single" w:sz="8" w:space="0" w:color="auto"/>
              <w:left w:val="nil"/>
              <w:bottom w:val="single" w:sz="12" w:space="0" w:color="auto"/>
              <w:right w:val="nil"/>
            </w:tcBorders>
            <w:shd w:val="clear" w:color="auto" w:fill="auto"/>
            <w:noWrap/>
            <w:vAlign w:val="center"/>
            <w:hideMark/>
          </w:tcPr>
          <w:p w14:paraId="6D5B3328" w14:textId="77777777" w:rsidR="00787BAD" w:rsidRDefault="00787BAD">
            <w:pPr>
              <w:rPr>
                <w:color w:val="000000"/>
                <w:sz w:val="20"/>
                <w:szCs w:val="20"/>
              </w:rPr>
            </w:pPr>
            <w:r>
              <w:rPr>
                <w:color w:val="000000"/>
                <w:sz w:val="20"/>
                <w:szCs w:val="20"/>
              </w:rPr>
              <w:t xml:space="preserve">N3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12" w:space="0" w:color="auto"/>
              <w:right w:val="nil"/>
            </w:tcBorders>
            <w:shd w:val="clear" w:color="auto" w:fill="auto"/>
            <w:noWrap/>
            <w:vAlign w:val="center"/>
            <w:hideMark/>
          </w:tcPr>
          <w:p w14:paraId="5EC67A1E" w14:textId="7E0AC827" w:rsidR="00787BAD" w:rsidRDefault="00787BAD">
            <w:pPr>
              <w:rPr>
                <w:color w:val="000000"/>
                <w:sz w:val="20"/>
                <w:szCs w:val="20"/>
              </w:rPr>
            </w:pPr>
            <w:r>
              <w:rPr>
                <w:color w:val="000000"/>
                <w:sz w:val="20"/>
                <w:szCs w:val="20"/>
              </w:rPr>
              <w:t>-0.</w:t>
            </w:r>
            <w:r w:rsidR="00FD1F50">
              <w:rPr>
                <w:color w:val="000000"/>
                <w:sz w:val="20"/>
                <w:szCs w:val="20"/>
              </w:rPr>
              <w:t>001</w:t>
            </w:r>
            <w:r>
              <w:rPr>
                <w:color w:val="000000"/>
                <w:sz w:val="20"/>
                <w:szCs w:val="20"/>
              </w:rPr>
              <w:t xml:space="preserve"> (-</w:t>
            </w:r>
            <w:r w:rsidR="00FD1F50">
              <w:rPr>
                <w:color w:val="000000"/>
                <w:sz w:val="20"/>
                <w:szCs w:val="20"/>
              </w:rPr>
              <w:t>0.003</w:t>
            </w:r>
            <w:r>
              <w:rPr>
                <w:color w:val="000000"/>
                <w:sz w:val="20"/>
                <w:szCs w:val="20"/>
              </w:rPr>
              <w:t xml:space="preserve"> – </w:t>
            </w:r>
            <w:r w:rsidR="00FD1F50">
              <w:rPr>
                <w:color w:val="000000"/>
                <w:sz w:val="20"/>
                <w:szCs w:val="20"/>
              </w:rPr>
              <w:t>4.9</w:t>
            </w:r>
            <w:r w:rsidR="00E530C5" w:rsidRPr="006F462A">
              <w:rPr>
                <w:color w:val="000000"/>
                <w:sz w:val="20"/>
                <w:szCs w:val="20"/>
              </w:rPr>
              <w:t>e</w:t>
            </w:r>
            <w:r w:rsidR="00E530C5" w:rsidRPr="006F462A">
              <w:rPr>
                <w:color w:val="000000"/>
                <w:sz w:val="20"/>
                <w:szCs w:val="20"/>
                <w:vertAlign w:val="superscript"/>
              </w:rPr>
              <w:t>-4</w:t>
            </w:r>
            <w:r>
              <w:rPr>
                <w:color w:val="000000"/>
                <w:sz w:val="20"/>
                <w:szCs w:val="20"/>
              </w:rPr>
              <w:t>)</w:t>
            </w:r>
          </w:p>
        </w:tc>
        <w:tc>
          <w:tcPr>
            <w:tcW w:w="629" w:type="pct"/>
            <w:tcBorders>
              <w:top w:val="single" w:sz="8" w:space="0" w:color="auto"/>
              <w:left w:val="nil"/>
              <w:bottom w:val="single" w:sz="12" w:space="0" w:color="auto"/>
              <w:right w:val="nil"/>
            </w:tcBorders>
            <w:shd w:val="clear" w:color="auto" w:fill="auto"/>
            <w:noWrap/>
            <w:vAlign w:val="center"/>
            <w:hideMark/>
          </w:tcPr>
          <w:p w14:paraId="7F47C303" w14:textId="6A612A7C" w:rsidR="00787BAD" w:rsidRDefault="00FD1F50">
            <w:pPr>
              <w:jc w:val="center"/>
              <w:rPr>
                <w:color w:val="000000"/>
                <w:sz w:val="20"/>
                <w:szCs w:val="20"/>
              </w:rPr>
            </w:pPr>
            <w:r>
              <w:rPr>
                <w:color w:val="000000"/>
                <w:sz w:val="20"/>
                <w:szCs w:val="20"/>
              </w:rPr>
              <w:t>8.2</w:t>
            </w:r>
            <w:r w:rsidRPr="00FD1F50">
              <w:rPr>
                <w:color w:val="000000"/>
                <w:sz w:val="20"/>
                <w:szCs w:val="20"/>
                <w:vertAlign w:val="superscript"/>
              </w:rPr>
              <w:t>e</w:t>
            </w:r>
            <w:r>
              <w:rPr>
                <w:color w:val="000000"/>
                <w:sz w:val="20"/>
                <w:szCs w:val="20"/>
              </w:rPr>
              <w:t>-4</w:t>
            </w:r>
          </w:p>
        </w:tc>
        <w:tc>
          <w:tcPr>
            <w:tcW w:w="894" w:type="pct"/>
            <w:tcBorders>
              <w:top w:val="single" w:sz="8" w:space="0" w:color="auto"/>
              <w:left w:val="nil"/>
              <w:bottom w:val="single" w:sz="12" w:space="0" w:color="auto"/>
              <w:right w:val="nil"/>
            </w:tcBorders>
            <w:shd w:val="clear" w:color="auto" w:fill="auto"/>
            <w:noWrap/>
            <w:vAlign w:val="center"/>
            <w:hideMark/>
          </w:tcPr>
          <w:p w14:paraId="7F113C6D" w14:textId="03EA40C3" w:rsidR="00787BAD" w:rsidRDefault="00787BAD">
            <w:pPr>
              <w:jc w:val="center"/>
              <w:rPr>
                <w:color w:val="000000"/>
                <w:sz w:val="20"/>
                <w:szCs w:val="20"/>
              </w:rPr>
            </w:pPr>
            <w:r>
              <w:rPr>
                <w:color w:val="000000"/>
                <w:sz w:val="20"/>
                <w:szCs w:val="20"/>
              </w:rPr>
              <w:t>-0.</w:t>
            </w:r>
            <w:r w:rsidR="00E530C5">
              <w:rPr>
                <w:color w:val="000000"/>
                <w:sz w:val="20"/>
                <w:szCs w:val="20"/>
              </w:rPr>
              <w:t>19</w:t>
            </w:r>
          </w:p>
        </w:tc>
        <w:tc>
          <w:tcPr>
            <w:tcW w:w="274" w:type="pct"/>
            <w:tcBorders>
              <w:top w:val="single" w:sz="8" w:space="0" w:color="auto"/>
              <w:left w:val="nil"/>
              <w:bottom w:val="single" w:sz="12" w:space="0" w:color="auto"/>
              <w:right w:val="nil"/>
            </w:tcBorders>
            <w:shd w:val="clear" w:color="auto" w:fill="auto"/>
            <w:noWrap/>
            <w:vAlign w:val="center"/>
            <w:hideMark/>
          </w:tcPr>
          <w:p w14:paraId="534828FE" w14:textId="7399B2D9" w:rsidR="00787BAD" w:rsidRDefault="00787BAD">
            <w:pPr>
              <w:jc w:val="center"/>
              <w:rPr>
                <w:color w:val="000000"/>
                <w:sz w:val="20"/>
                <w:szCs w:val="20"/>
              </w:rPr>
            </w:pPr>
            <w:r>
              <w:rPr>
                <w:color w:val="000000"/>
                <w:sz w:val="20"/>
                <w:szCs w:val="20"/>
              </w:rPr>
              <w:t>0.1</w:t>
            </w:r>
            <w:r w:rsidR="00E530C5">
              <w:rPr>
                <w:color w:val="000000"/>
                <w:sz w:val="20"/>
                <w:szCs w:val="20"/>
              </w:rPr>
              <w:t>7</w:t>
            </w:r>
          </w:p>
        </w:tc>
      </w:tr>
      <w:tr w:rsidR="00787BAD" w14:paraId="77C4C359" w14:textId="77777777" w:rsidTr="00787BAD">
        <w:trPr>
          <w:trHeight w:val="320"/>
        </w:trPr>
        <w:tc>
          <w:tcPr>
            <w:tcW w:w="1000" w:type="pct"/>
            <w:tcBorders>
              <w:top w:val="single" w:sz="12" w:space="0" w:color="auto"/>
              <w:left w:val="nil"/>
              <w:bottom w:val="nil"/>
              <w:right w:val="nil"/>
            </w:tcBorders>
            <w:shd w:val="clear" w:color="auto" w:fill="auto"/>
            <w:noWrap/>
            <w:vAlign w:val="center"/>
            <w:hideMark/>
          </w:tcPr>
          <w:p w14:paraId="73D989F5" w14:textId="77777777" w:rsidR="00787BAD" w:rsidRDefault="00787BAD">
            <w:pPr>
              <w:rPr>
                <w:color w:val="000000"/>
                <w:sz w:val="20"/>
                <w:szCs w:val="20"/>
              </w:rPr>
            </w:pPr>
            <w:r>
              <w:rPr>
                <w:color w:val="000000"/>
                <w:sz w:val="20"/>
                <w:szCs w:val="20"/>
              </w:rPr>
              <w:t>Total BF volume</w:t>
            </w:r>
          </w:p>
        </w:tc>
        <w:tc>
          <w:tcPr>
            <w:tcW w:w="944" w:type="pct"/>
            <w:tcBorders>
              <w:top w:val="single" w:sz="12" w:space="0" w:color="auto"/>
              <w:left w:val="nil"/>
              <w:bottom w:val="single" w:sz="8" w:space="0" w:color="auto"/>
              <w:right w:val="nil"/>
            </w:tcBorders>
            <w:shd w:val="clear" w:color="auto" w:fill="auto"/>
            <w:noWrap/>
            <w:vAlign w:val="center"/>
            <w:hideMark/>
          </w:tcPr>
          <w:p w14:paraId="7B8E75AF" w14:textId="77777777" w:rsidR="00787BAD" w:rsidRDefault="00787BAD">
            <w:pPr>
              <w:rPr>
                <w:color w:val="000000"/>
                <w:sz w:val="20"/>
                <w:szCs w:val="20"/>
              </w:rPr>
            </w:pPr>
            <w:proofErr w:type="spellStart"/>
            <w:r>
              <w:rPr>
                <w:color w:val="000000"/>
                <w:sz w:val="20"/>
                <w:szCs w:val="20"/>
              </w:rPr>
              <w:t>Wakefulness</w:t>
            </w:r>
            <w:proofErr w:type="spellEnd"/>
            <w:r>
              <w:rPr>
                <w:color w:val="000000"/>
                <w:sz w:val="20"/>
                <w:szCs w:val="20"/>
              </w:rPr>
              <w:t xml:space="preserve"> (%)</w:t>
            </w:r>
          </w:p>
        </w:tc>
        <w:tc>
          <w:tcPr>
            <w:tcW w:w="1258" w:type="pct"/>
            <w:tcBorders>
              <w:top w:val="single" w:sz="12" w:space="0" w:color="auto"/>
              <w:left w:val="nil"/>
              <w:bottom w:val="single" w:sz="8" w:space="0" w:color="auto"/>
              <w:right w:val="nil"/>
            </w:tcBorders>
            <w:shd w:val="clear" w:color="auto" w:fill="auto"/>
            <w:noWrap/>
            <w:vAlign w:val="center"/>
            <w:hideMark/>
          </w:tcPr>
          <w:p w14:paraId="2345BA2E" w14:textId="0E9D3F1C" w:rsidR="00787BAD" w:rsidRDefault="00787BAD">
            <w:pPr>
              <w:rPr>
                <w:color w:val="000000"/>
                <w:sz w:val="20"/>
                <w:szCs w:val="20"/>
              </w:rPr>
            </w:pPr>
            <w:r>
              <w:rPr>
                <w:color w:val="000000"/>
                <w:sz w:val="20"/>
                <w:szCs w:val="20"/>
              </w:rPr>
              <w:t>0.14 (-0.81 – 1.09)</w:t>
            </w:r>
          </w:p>
        </w:tc>
        <w:tc>
          <w:tcPr>
            <w:tcW w:w="629" w:type="pct"/>
            <w:tcBorders>
              <w:top w:val="single" w:sz="12" w:space="0" w:color="auto"/>
              <w:left w:val="nil"/>
              <w:bottom w:val="single" w:sz="8" w:space="0" w:color="auto"/>
              <w:right w:val="nil"/>
            </w:tcBorders>
            <w:shd w:val="clear" w:color="auto" w:fill="auto"/>
            <w:noWrap/>
            <w:vAlign w:val="center"/>
            <w:hideMark/>
          </w:tcPr>
          <w:p w14:paraId="45043713" w14:textId="77777777" w:rsidR="00787BAD" w:rsidRDefault="00787BAD">
            <w:pPr>
              <w:jc w:val="center"/>
              <w:rPr>
                <w:color w:val="000000"/>
                <w:sz w:val="20"/>
                <w:szCs w:val="20"/>
              </w:rPr>
            </w:pPr>
            <w:r>
              <w:rPr>
                <w:color w:val="000000"/>
                <w:sz w:val="20"/>
                <w:szCs w:val="20"/>
              </w:rPr>
              <w:t>0.47</w:t>
            </w:r>
          </w:p>
        </w:tc>
        <w:tc>
          <w:tcPr>
            <w:tcW w:w="894" w:type="pct"/>
            <w:tcBorders>
              <w:top w:val="single" w:sz="12" w:space="0" w:color="auto"/>
              <w:left w:val="nil"/>
              <w:bottom w:val="single" w:sz="8" w:space="0" w:color="auto"/>
              <w:right w:val="nil"/>
            </w:tcBorders>
            <w:shd w:val="clear" w:color="auto" w:fill="auto"/>
            <w:noWrap/>
            <w:vAlign w:val="center"/>
            <w:hideMark/>
          </w:tcPr>
          <w:p w14:paraId="4DC1AEDD" w14:textId="77777777" w:rsidR="00787BAD" w:rsidRDefault="00787BAD">
            <w:pPr>
              <w:jc w:val="center"/>
              <w:rPr>
                <w:color w:val="000000"/>
                <w:sz w:val="20"/>
                <w:szCs w:val="20"/>
              </w:rPr>
            </w:pPr>
            <w:r>
              <w:rPr>
                <w:color w:val="000000"/>
                <w:sz w:val="20"/>
                <w:szCs w:val="20"/>
              </w:rPr>
              <w:t>0.04</w:t>
            </w:r>
          </w:p>
        </w:tc>
        <w:tc>
          <w:tcPr>
            <w:tcW w:w="274" w:type="pct"/>
            <w:tcBorders>
              <w:top w:val="single" w:sz="12" w:space="0" w:color="auto"/>
              <w:left w:val="nil"/>
              <w:bottom w:val="single" w:sz="8" w:space="0" w:color="auto"/>
              <w:right w:val="nil"/>
            </w:tcBorders>
            <w:shd w:val="clear" w:color="auto" w:fill="auto"/>
            <w:noWrap/>
            <w:vAlign w:val="center"/>
            <w:hideMark/>
          </w:tcPr>
          <w:p w14:paraId="1A5E41C2" w14:textId="77777777" w:rsidR="00787BAD" w:rsidRDefault="00787BAD">
            <w:pPr>
              <w:jc w:val="center"/>
              <w:rPr>
                <w:color w:val="000000"/>
                <w:sz w:val="20"/>
                <w:szCs w:val="20"/>
              </w:rPr>
            </w:pPr>
            <w:r>
              <w:rPr>
                <w:color w:val="000000"/>
                <w:sz w:val="20"/>
                <w:szCs w:val="20"/>
              </w:rPr>
              <w:t>0.77</w:t>
            </w:r>
          </w:p>
        </w:tc>
      </w:tr>
      <w:tr w:rsidR="00787BAD" w14:paraId="29342A51" w14:textId="77777777" w:rsidTr="00787BAD">
        <w:trPr>
          <w:trHeight w:val="320"/>
        </w:trPr>
        <w:tc>
          <w:tcPr>
            <w:tcW w:w="1000" w:type="pct"/>
            <w:tcBorders>
              <w:top w:val="nil"/>
              <w:left w:val="nil"/>
              <w:bottom w:val="nil"/>
              <w:right w:val="nil"/>
            </w:tcBorders>
            <w:shd w:val="clear" w:color="auto" w:fill="auto"/>
            <w:noWrap/>
            <w:vAlign w:val="center"/>
            <w:hideMark/>
          </w:tcPr>
          <w:p w14:paraId="52873759" w14:textId="77777777" w:rsidR="00787BAD" w:rsidRDefault="00787BAD">
            <w:pPr>
              <w:rPr>
                <w:sz w:val="20"/>
                <w:szCs w:val="20"/>
              </w:rPr>
            </w:pPr>
          </w:p>
        </w:tc>
        <w:tc>
          <w:tcPr>
            <w:tcW w:w="944" w:type="pct"/>
            <w:tcBorders>
              <w:top w:val="single" w:sz="8" w:space="0" w:color="auto"/>
              <w:left w:val="nil"/>
              <w:bottom w:val="single" w:sz="8" w:space="0" w:color="auto"/>
              <w:right w:val="nil"/>
            </w:tcBorders>
            <w:shd w:val="clear" w:color="auto" w:fill="auto"/>
            <w:noWrap/>
            <w:vAlign w:val="center"/>
            <w:hideMark/>
          </w:tcPr>
          <w:p w14:paraId="286341A7" w14:textId="77777777" w:rsidR="00787BAD" w:rsidRDefault="00787BAD">
            <w:pPr>
              <w:rPr>
                <w:color w:val="000000"/>
                <w:sz w:val="20"/>
                <w:szCs w:val="20"/>
              </w:rPr>
            </w:pPr>
            <w:r>
              <w:rPr>
                <w:color w:val="000000"/>
                <w:sz w:val="20"/>
                <w:szCs w:val="20"/>
              </w:rPr>
              <w:t xml:space="preserve">N1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8" w:space="0" w:color="auto"/>
              <w:right w:val="nil"/>
            </w:tcBorders>
            <w:shd w:val="clear" w:color="auto" w:fill="auto"/>
            <w:noWrap/>
            <w:vAlign w:val="center"/>
            <w:hideMark/>
          </w:tcPr>
          <w:p w14:paraId="02DA61DD" w14:textId="3F5E431A" w:rsidR="00787BAD" w:rsidRDefault="00787BAD">
            <w:pPr>
              <w:rPr>
                <w:color w:val="000000"/>
                <w:sz w:val="20"/>
                <w:szCs w:val="20"/>
              </w:rPr>
            </w:pPr>
            <w:r>
              <w:rPr>
                <w:color w:val="000000"/>
                <w:sz w:val="20"/>
                <w:szCs w:val="20"/>
              </w:rPr>
              <w:t>-0.56 (-1.86 – 0.74)</w:t>
            </w:r>
          </w:p>
        </w:tc>
        <w:tc>
          <w:tcPr>
            <w:tcW w:w="629" w:type="pct"/>
            <w:tcBorders>
              <w:top w:val="single" w:sz="8" w:space="0" w:color="auto"/>
              <w:left w:val="nil"/>
              <w:bottom w:val="single" w:sz="8" w:space="0" w:color="auto"/>
              <w:right w:val="nil"/>
            </w:tcBorders>
            <w:shd w:val="clear" w:color="auto" w:fill="auto"/>
            <w:noWrap/>
            <w:vAlign w:val="center"/>
            <w:hideMark/>
          </w:tcPr>
          <w:p w14:paraId="0EE9059F" w14:textId="77777777" w:rsidR="00787BAD" w:rsidRDefault="00787BAD">
            <w:pPr>
              <w:jc w:val="center"/>
              <w:rPr>
                <w:color w:val="000000"/>
                <w:sz w:val="20"/>
                <w:szCs w:val="20"/>
              </w:rPr>
            </w:pPr>
            <w:r>
              <w:rPr>
                <w:color w:val="000000"/>
                <w:sz w:val="20"/>
                <w:szCs w:val="20"/>
              </w:rPr>
              <w:t>0.65</w:t>
            </w:r>
          </w:p>
        </w:tc>
        <w:tc>
          <w:tcPr>
            <w:tcW w:w="894" w:type="pct"/>
            <w:tcBorders>
              <w:top w:val="single" w:sz="8" w:space="0" w:color="auto"/>
              <w:left w:val="nil"/>
              <w:bottom w:val="single" w:sz="8" w:space="0" w:color="auto"/>
              <w:right w:val="nil"/>
            </w:tcBorders>
            <w:shd w:val="clear" w:color="auto" w:fill="auto"/>
            <w:noWrap/>
            <w:vAlign w:val="center"/>
            <w:hideMark/>
          </w:tcPr>
          <w:p w14:paraId="1C89704B" w14:textId="77777777" w:rsidR="00787BAD" w:rsidRDefault="00787BAD">
            <w:pPr>
              <w:jc w:val="center"/>
              <w:rPr>
                <w:color w:val="000000"/>
                <w:sz w:val="20"/>
                <w:szCs w:val="20"/>
              </w:rPr>
            </w:pPr>
            <w:r>
              <w:rPr>
                <w:color w:val="000000"/>
                <w:sz w:val="20"/>
                <w:szCs w:val="20"/>
              </w:rPr>
              <w:t>-0.11</w:t>
            </w:r>
          </w:p>
        </w:tc>
        <w:tc>
          <w:tcPr>
            <w:tcW w:w="274" w:type="pct"/>
            <w:tcBorders>
              <w:top w:val="single" w:sz="8" w:space="0" w:color="auto"/>
              <w:left w:val="nil"/>
              <w:bottom w:val="single" w:sz="8" w:space="0" w:color="auto"/>
              <w:right w:val="nil"/>
            </w:tcBorders>
            <w:shd w:val="clear" w:color="auto" w:fill="auto"/>
            <w:noWrap/>
            <w:vAlign w:val="center"/>
            <w:hideMark/>
          </w:tcPr>
          <w:p w14:paraId="5FA5BB52" w14:textId="77777777" w:rsidR="00787BAD" w:rsidRDefault="00787BAD">
            <w:pPr>
              <w:jc w:val="center"/>
              <w:rPr>
                <w:color w:val="000000"/>
                <w:sz w:val="20"/>
                <w:szCs w:val="20"/>
              </w:rPr>
            </w:pPr>
            <w:r>
              <w:rPr>
                <w:color w:val="000000"/>
                <w:sz w:val="20"/>
                <w:szCs w:val="20"/>
              </w:rPr>
              <w:t>0.39</w:t>
            </w:r>
          </w:p>
        </w:tc>
      </w:tr>
      <w:tr w:rsidR="00787BAD" w14:paraId="582E3EE5" w14:textId="77777777" w:rsidTr="00787BAD">
        <w:trPr>
          <w:trHeight w:val="320"/>
        </w:trPr>
        <w:tc>
          <w:tcPr>
            <w:tcW w:w="1000" w:type="pct"/>
            <w:tcBorders>
              <w:top w:val="nil"/>
              <w:left w:val="nil"/>
              <w:right w:val="nil"/>
            </w:tcBorders>
            <w:shd w:val="clear" w:color="auto" w:fill="auto"/>
            <w:noWrap/>
            <w:vAlign w:val="center"/>
            <w:hideMark/>
          </w:tcPr>
          <w:p w14:paraId="51481F32" w14:textId="77777777" w:rsidR="00787BAD" w:rsidRDefault="00787BAD">
            <w:pPr>
              <w:rPr>
                <w:sz w:val="20"/>
                <w:szCs w:val="20"/>
              </w:rPr>
            </w:pPr>
          </w:p>
        </w:tc>
        <w:tc>
          <w:tcPr>
            <w:tcW w:w="944" w:type="pct"/>
            <w:tcBorders>
              <w:top w:val="single" w:sz="8" w:space="0" w:color="auto"/>
              <w:left w:val="nil"/>
              <w:bottom w:val="single" w:sz="8" w:space="0" w:color="auto"/>
              <w:right w:val="nil"/>
            </w:tcBorders>
            <w:shd w:val="clear" w:color="auto" w:fill="auto"/>
            <w:noWrap/>
            <w:vAlign w:val="center"/>
            <w:hideMark/>
          </w:tcPr>
          <w:p w14:paraId="56E19CBA" w14:textId="77777777" w:rsidR="00787BAD" w:rsidRDefault="00787BAD">
            <w:pPr>
              <w:rPr>
                <w:color w:val="000000"/>
                <w:sz w:val="20"/>
                <w:szCs w:val="20"/>
              </w:rPr>
            </w:pPr>
            <w:r>
              <w:rPr>
                <w:color w:val="000000"/>
                <w:sz w:val="20"/>
                <w:szCs w:val="20"/>
              </w:rPr>
              <w:t xml:space="preserve">N2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8" w:space="0" w:color="auto"/>
              <w:right w:val="nil"/>
            </w:tcBorders>
            <w:shd w:val="clear" w:color="auto" w:fill="auto"/>
            <w:noWrap/>
            <w:vAlign w:val="center"/>
            <w:hideMark/>
          </w:tcPr>
          <w:p w14:paraId="28466410" w14:textId="438D6E58" w:rsidR="00787BAD" w:rsidRDefault="00787BAD">
            <w:pPr>
              <w:rPr>
                <w:color w:val="000000"/>
                <w:sz w:val="20"/>
                <w:szCs w:val="20"/>
              </w:rPr>
            </w:pPr>
            <w:r>
              <w:rPr>
                <w:color w:val="000000"/>
                <w:sz w:val="20"/>
                <w:szCs w:val="20"/>
              </w:rPr>
              <w:t>0.46 (-0.75 – 1.67)</w:t>
            </w:r>
          </w:p>
        </w:tc>
        <w:tc>
          <w:tcPr>
            <w:tcW w:w="629" w:type="pct"/>
            <w:tcBorders>
              <w:top w:val="single" w:sz="8" w:space="0" w:color="auto"/>
              <w:left w:val="nil"/>
              <w:bottom w:val="single" w:sz="8" w:space="0" w:color="auto"/>
              <w:right w:val="nil"/>
            </w:tcBorders>
            <w:shd w:val="clear" w:color="auto" w:fill="auto"/>
            <w:noWrap/>
            <w:vAlign w:val="center"/>
            <w:hideMark/>
          </w:tcPr>
          <w:p w14:paraId="2F798125" w14:textId="77777777" w:rsidR="00787BAD" w:rsidRDefault="00787BAD">
            <w:pPr>
              <w:jc w:val="center"/>
              <w:rPr>
                <w:color w:val="000000"/>
                <w:sz w:val="20"/>
                <w:szCs w:val="20"/>
              </w:rPr>
            </w:pPr>
            <w:r>
              <w:rPr>
                <w:color w:val="000000"/>
                <w:sz w:val="20"/>
                <w:szCs w:val="20"/>
              </w:rPr>
              <w:t>0.61</w:t>
            </w:r>
          </w:p>
        </w:tc>
        <w:tc>
          <w:tcPr>
            <w:tcW w:w="894" w:type="pct"/>
            <w:tcBorders>
              <w:top w:val="single" w:sz="8" w:space="0" w:color="auto"/>
              <w:left w:val="nil"/>
              <w:bottom w:val="single" w:sz="8" w:space="0" w:color="auto"/>
              <w:right w:val="nil"/>
            </w:tcBorders>
            <w:shd w:val="clear" w:color="auto" w:fill="auto"/>
            <w:noWrap/>
            <w:vAlign w:val="center"/>
            <w:hideMark/>
          </w:tcPr>
          <w:p w14:paraId="635C3F48" w14:textId="77777777" w:rsidR="00787BAD" w:rsidRDefault="00787BAD">
            <w:pPr>
              <w:jc w:val="center"/>
              <w:rPr>
                <w:color w:val="000000"/>
                <w:sz w:val="20"/>
                <w:szCs w:val="20"/>
              </w:rPr>
            </w:pPr>
            <w:r>
              <w:rPr>
                <w:color w:val="000000"/>
                <w:sz w:val="20"/>
                <w:szCs w:val="20"/>
              </w:rPr>
              <w:t>0.09</w:t>
            </w:r>
          </w:p>
        </w:tc>
        <w:tc>
          <w:tcPr>
            <w:tcW w:w="274" w:type="pct"/>
            <w:tcBorders>
              <w:top w:val="single" w:sz="8" w:space="0" w:color="auto"/>
              <w:left w:val="nil"/>
              <w:bottom w:val="single" w:sz="8" w:space="0" w:color="auto"/>
              <w:right w:val="nil"/>
            </w:tcBorders>
            <w:shd w:val="clear" w:color="auto" w:fill="auto"/>
            <w:noWrap/>
            <w:vAlign w:val="center"/>
            <w:hideMark/>
          </w:tcPr>
          <w:p w14:paraId="64F49B00" w14:textId="77777777" w:rsidR="00787BAD" w:rsidRDefault="00787BAD">
            <w:pPr>
              <w:jc w:val="center"/>
              <w:rPr>
                <w:color w:val="000000"/>
                <w:sz w:val="20"/>
                <w:szCs w:val="20"/>
              </w:rPr>
            </w:pPr>
            <w:r>
              <w:rPr>
                <w:color w:val="000000"/>
                <w:sz w:val="20"/>
                <w:szCs w:val="20"/>
              </w:rPr>
              <w:t>0.45</w:t>
            </w:r>
          </w:p>
        </w:tc>
      </w:tr>
      <w:tr w:rsidR="00787BAD" w14:paraId="6BD3861A" w14:textId="77777777" w:rsidTr="00787BAD">
        <w:trPr>
          <w:trHeight w:val="320"/>
        </w:trPr>
        <w:tc>
          <w:tcPr>
            <w:tcW w:w="1000" w:type="pct"/>
            <w:tcBorders>
              <w:top w:val="nil"/>
              <w:left w:val="nil"/>
              <w:bottom w:val="single" w:sz="12" w:space="0" w:color="auto"/>
              <w:right w:val="nil"/>
            </w:tcBorders>
            <w:shd w:val="clear" w:color="auto" w:fill="auto"/>
            <w:noWrap/>
            <w:vAlign w:val="center"/>
            <w:hideMark/>
          </w:tcPr>
          <w:p w14:paraId="012FBCB9" w14:textId="77777777" w:rsidR="00787BAD" w:rsidRDefault="00787BAD">
            <w:pPr>
              <w:rPr>
                <w:sz w:val="20"/>
                <w:szCs w:val="20"/>
              </w:rPr>
            </w:pPr>
          </w:p>
        </w:tc>
        <w:tc>
          <w:tcPr>
            <w:tcW w:w="944" w:type="pct"/>
            <w:tcBorders>
              <w:top w:val="single" w:sz="8" w:space="0" w:color="auto"/>
              <w:left w:val="nil"/>
              <w:bottom w:val="single" w:sz="12" w:space="0" w:color="auto"/>
              <w:right w:val="nil"/>
            </w:tcBorders>
            <w:shd w:val="clear" w:color="auto" w:fill="auto"/>
            <w:noWrap/>
            <w:vAlign w:val="center"/>
            <w:hideMark/>
          </w:tcPr>
          <w:p w14:paraId="1F67BD68" w14:textId="77777777" w:rsidR="00787BAD" w:rsidRDefault="00787BAD">
            <w:pPr>
              <w:rPr>
                <w:color w:val="000000"/>
                <w:sz w:val="20"/>
                <w:szCs w:val="20"/>
              </w:rPr>
            </w:pPr>
            <w:r>
              <w:rPr>
                <w:color w:val="000000"/>
                <w:sz w:val="20"/>
                <w:szCs w:val="20"/>
              </w:rPr>
              <w:t xml:space="preserve">N3 </w:t>
            </w:r>
            <w:proofErr w:type="spellStart"/>
            <w:r>
              <w:rPr>
                <w:color w:val="000000"/>
                <w:sz w:val="20"/>
                <w:szCs w:val="20"/>
              </w:rPr>
              <w:t>sleep</w:t>
            </w:r>
            <w:proofErr w:type="spellEnd"/>
            <w:r>
              <w:rPr>
                <w:color w:val="000000"/>
                <w:sz w:val="20"/>
                <w:szCs w:val="20"/>
              </w:rPr>
              <w:t xml:space="preserve"> (%)</w:t>
            </w:r>
          </w:p>
        </w:tc>
        <w:tc>
          <w:tcPr>
            <w:tcW w:w="1258" w:type="pct"/>
            <w:tcBorders>
              <w:top w:val="single" w:sz="8" w:space="0" w:color="auto"/>
              <w:left w:val="nil"/>
              <w:bottom w:val="single" w:sz="12" w:space="0" w:color="auto"/>
              <w:right w:val="nil"/>
            </w:tcBorders>
            <w:shd w:val="clear" w:color="auto" w:fill="auto"/>
            <w:noWrap/>
            <w:vAlign w:val="center"/>
            <w:hideMark/>
          </w:tcPr>
          <w:p w14:paraId="69D9FB19" w14:textId="5829EF02" w:rsidR="00787BAD" w:rsidRDefault="00787BAD">
            <w:pPr>
              <w:rPr>
                <w:color w:val="000000"/>
                <w:sz w:val="20"/>
                <w:szCs w:val="20"/>
              </w:rPr>
            </w:pPr>
            <w:r>
              <w:rPr>
                <w:color w:val="000000"/>
                <w:sz w:val="20"/>
                <w:szCs w:val="20"/>
              </w:rPr>
              <w:t>-0.89 (-2.16 – 0.38)</w:t>
            </w:r>
          </w:p>
        </w:tc>
        <w:tc>
          <w:tcPr>
            <w:tcW w:w="629" w:type="pct"/>
            <w:tcBorders>
              <w:top w:val="single" w:sz="8" w:space="0" w:color="auto"/>
              <w:left w:val="nil"/>
              <w:bottom w:val="single" w:sz="12" w:space="0" w:color="auto"/>
              <w:right w:val="nil"/>
            </w:tcBorders>
            <w:shd w:val="clear" w:color="auto" w:fill="auto"/>
            <w:noWrap/>
            <w:vAlign w:val="center"/>
            <w:hideMark/>
          </w:tcPr>
          <w:p w14:paraId="6A82DBE3" w14:textId="77777777" w:rsidR="00787BAD" w:rsidRDefault="00787BAD">
            <w:pPr>
              <w:jc w:val="center"/>
              <w:rPr>
                <w:color w:val="000000"/>
                <w:sz w:val="20"/>
                <w:szCs w:val="20"/>
              </w:rPr>
            </w:pPr>
            <w:r>
              <w:rPr>
                <w:color w:val="000000"/>
                <w:sz w:val="20"/>
                <w:szCs w:val="20"/>
              </w:rPr>
              <w:t>0.64</w:t>
            </w:r>
          </w:p>
        </w:tc>
        <w:tc>
          <w:tcPr>
            <w:tcW w:w="894" w:type="pct"/>
            <w:tcBorders>
              <w:top w:val="single" w:sz="8" w:space="0" w:color="auto"/>
              <w:left w:val="nil"/>
              <w:bottom w:val="single" w:sz="12" w:space="0" w:color="auto"/>
              <w:right w:val="nil"/>
            </w:tcBorders>
            <w:shd w:val="clear" w:color="auto" w:fill="auto"/>
            <w:noWrap/>
            <w:vAlign w:val="center"/>
            <w:hideMark/>
          </w:tcPr>
          <w:p w14:paraId="393A87E7" w14:textId="77777777" w:rsidR="00787BAD" w:rsidRDefault="00787BAD">
            <w:pPr>
              <w:jc w:val="center"/>
              <w:rPr>
                <w:color w:val="000000"/>
                <w:sz w:val="20"/>
                <w:szCs w:val="20"/>
              </w:rPr>
            </w:pPr>
            <w:r>
              <w:rPr>
                <w:color w:val="000000"/>
                <w:sz w:val="20"/>
                <w:szCs w:val="20"/>
              </w:rPr>
              <w:t>-0.18</w:t>
            </w:r>
          </w:p>
        </w:tc>
        <w:tc>
          <w:tcPr>
            <w:tcW w:w="274" w:type="pct"/>
            <w:tcBorders>
              <w:top w:val="single" w:sz="8" w:space="0" w:color="auto"/>
              <w:left w:val="nil"/>
              <w:bottom w:val="single" w:sz="12" w:space="0" w:color="auto"/>
              <w:right w:val="nil"/>
            </w:tcBorders>
            <w:shd w:val="clear" w:color="auto" w:fill="auto"/>
            <w:noWrap/>
            <w:vAlign w:val="center"/>
            <w:hideMark/>
          </w:tcPr>
          <w:p w14:paraId="157C8D1A" w14:textId="77777777" w:rsidR="00787BAD" w:rsidRDefault="00787BAD">
            <w:pPr>
              <w:jc w:val="center"/>
              <w:rPr>
                <w:color w:val="000000"/>
                <w:sz w:val="20"/>
                <w:szCs w:val="20"/>
              </w:rPr>
            </w:pPr>
            <w:r>
              <w:rPr>
                <w:color w:val="000000"/>
                <w:sz w:val="20"/>
                <w:szCs w:val="20"/>
              </w:rPr>
              <w:t>0.17</w:t>
            </w:r>
          </w:p>
        </w:tc>
      </w:tr>
    </w:tbl>
    <w:p w14:paraId="0C9EC3E2" w14:textId="77777777" w:rsidR="009E352F" w:rsidRDefault="009E352F" w:rsidP="009E352F">
      <w:pPr>
        <w:tabs>
          <w:tab w:val="left" w:pos="2060"/>
        </w:tabs>
        <w:jc w:val="both"/>
        <w:rPr>
          <w:lang w:val="en-GB"/>
        </w:rPr>
      </w:pPr>
    </w:p>
    <w:p w14:paraId="73E800B1" w14:textId="7A14BF23" w:rsidR="000523A7" w:rsidRDefault="000523A7" w:rsidP="000523A7">
      <w:pPr>
        <w:tabs>
          <w:tab w:val="left" w:pos="2060"/>
        </w:tabs>
        <w:spacing w:line="360" w:lineRule="auto"/>
        <w:jc w:val="both"/>
        <w:rPr>
          <w:lang w:val="en-GB"/>
        </w:rPr>
      </w:pPr>
      <w:r>
        <w:rPr>
          <w:lang w:val="en-GB"/>
        </w:rPr>
        <w:t xml:space="preserve">Results of multiple regressions performed with </w:t>
      </w:r>
      <w:r w:rsidR="00030694">
        <w:rPr>
          <w:lang w:val="en-GB"/>
        </w:rPr>
        <w:t xml:space="preserve">NREM sleep and wakefulness </w:t>
      </w:r>
      <w:r w:rsidR="001401F7">
        <w:rPr>
          <w:lang w:val="en-GB"/>
        </w:rPr>
        <w:t>duration or proportion</w:t>
      </w:r>
      <w:r w:rsidR="00030694">
        <w:rPr>
          <w:lang w:val="en-GB"/>
        </w:rPr>
        <w:t xml:space="preserve"> as predictors, and </w:t>
      </w:r>
      <w:r w:rsidR="00F974D6">
        <w:rPr>
          <w:lang w:val="en-GB"/>
        </w:rPr>
        <w:t xml:space="preserve">the </w:t>
      </w:r>
      <w:r w:rsidR="001401F7">
        <w:rPr>
          <w:lang w:val="en-GB"/>
        </w:rPr>
        <w:t>volume</w:t>
      </w:r>
      <w:r w:rsidR="00F974D6">
        <w:rPr>
          <w:lang w:val="en-GB"/>
        </w:rPr>
        <w:t xml:space="preserve"> of BF subregions (i.e., total BF, Ch1-2-3 and Ch4) </w:t>
      </w:r>
      <w:r>
        <w:rPr>
          <w:lang w:val="en-GB"/>
        </w:rPr>
        <w:t>as outcomes, separately, controlling for age, sex and the total intracranial volume.</w:t>
      </w:r>
    </w:p>
    <w:p w14:paraId="33A48ADC" w14:textId="3A76AC0C" w:rsidR="000523A7" w:rsidRDefault="000523A7" w:rsidP="004E18E8">
      <w:pPr>
        <w:spacing w:line="360" w:lineRule="auto"/>
        <w:jc w:val="both"/>
        <w:rPr>
          <w:lang w:val="en-GB"/>
        </w:rPr>
      </w:pPr>
      <w:r w:rsidRPr="006F4054">
        <w:rPr>
          <w:u w:val="single"/>
          <w:lang w:val="en-GB"/>
        </w:rPr>
        <w:t>Abbreviations</w:t>
      </w:r>
      <w:r w:rsidRPr="006F4054">
        <w:rPr>
          <w:lang w:val="en-GB"/>
        </w:rPr>
        <w:t xml:space="preserve">: BF, basal forebrain; </w:t>
      </w:r>
      <w:r>
        <w:rPr>
          <w:lang w:val="en-GB"/>
        </w:rPr>
        <w:t>CI, confidence interval; N</w:t>
      </w:r>
      <w:r w:rsidRPr="006F4054">
        <w:rPr>
          <w:lang w:val="en-GB"/>
        </w:rPr>
        <w:t>REM</w:t>
      </w:r>
      <w:r w:rsidR="0006372C">
        <w:rPr>
          <w:lang w:val="en-GB"/>
        </w:rPr>
        <w:t>-S</w:t>
      </w:r>
      <w:r w:rsidRPr="006F4054">
        <w:rPr>
          <w:lang w:val="en-GB"/>
        </w:rPr>
        <w:t xml:space="preserve">, </w:t>
      </w:r>
      <w:r>
        <w:rPr>
          <w:lang w:val="en-GB"/>
        </w:rPr>
        <w:t>non-</w:t>
      </w:r>
      <w:r w:rsidRPr="006F4054">
        <w:rPr>
          <w:lang w:val="en-GB"/>
        </w:rPr>
        <w:t>rapid eye movement</w:t>
      </w:r>
      <w:r w:rsidR="0006372C">
        <w:rPr>
          <w:lang w:val="en-GB"/>
        </w:rPr>
        <w:t xml:space="preserve"> sleep.</w:t>
      </w:r>
    </w:p>
    <w:p w14:paraId="245730F4" w14:textId="77777777" w:rsidR="006B36B1" w:rsidRDefault="006B36B1" w:rsidP="004E18E8">
      <w:pPr>
        <w:spacing w:line="360" w:lineRule="auto"/>
        <w:jc w:val="both"/>
        <w:rPr>
          <w:lang w:val="en-GB"/>
        </w:rPr>
      </w:pPr>
    </w:p>
    <w:p w14:paraId="00FBBDEA" w14:textId="77777777" w:rsidR="006B36B1" w:rsidRDefault="006B36B1">
      <w:pPr>
        <w:spacing w:after="200" w:line="252" w:lineRule="auto"/>
        <w:rPr>
          <w:b/>
          <w:u w:val="single"/>
          <w:lang w:val="en-GB"/>
        </w:rPr>
      </w:pPr>
      <w:r>
        <w:rPr>
          <w:b/>
          <w:u w:val="single"/>
          <w:lang w:val="en-GB"/>
        </w:rPr>
        <w:br w:type="page"/>
      </w:r>
    </w:p>
    <w:p w14:paraId="3DEFF0EE" w14:textId="27EDEE93" w:rsidR="006B36B1" w:rsidRDefault="006B36B1" w:rsidP="006B36B1">
      <w:pPr>
        <w:tabs>
          <w:tab w:val="left" w:pos="2060"/>
        </w:tabs>
        <w:spacing w:line="360" w:lineRule="auto"/>
        <w:jc w:val="both"/>
        <w:rPr>
          <w:b/>
          <w:lang w:val="en-GB"/>
        </w:rPr>
      </w:pPr>
      <w:r w:rsidRPr="0075266D">
        <w:rPr>
          <w:b/>
          <w:u w:val="single"/>
          <w:lang w:val="en-GB"/>
        </w:rPr>
        <w:lastRenderedPageBreak/>
        <w:t xml:space="preserve">Supplementary Table </w:t>
      </w:r>
      <w:r>
        <w:rPr>
          <w:b/>
          <w:u w:val="single"/>
          <w:lang w:val="en-GB"/>
        </w:rPr>
        <w:t>4</w:t>
      </w:r>
      <w:r w:rsidRPr="0075266D">
        <w:rPr>
          <w:b/>
          <w:lang w:val="en-GB"/>
        </w:rPr>
        <w:t xml:space="preserve">: </w:t>
      </w:r>
      <w:r>
        <w:rPr>
          <w:b/>
          <w:lang w:val="en-GB"/>
        </w:rPr>
        <w:t>Partial correlations between REM sleep duration and the volume of control brain regions</w:t>
      </w:r>
      <w:r w:rsidRPr="0075266D">
        <w:rPr>
          <w:b/>
          <w:lang w:val="en-GB"/>
        </w:rPr>
        <w:t>.</w:t>
      </w:r>
    </w:p>
    <w:tbl>
      <w:tblPr>
        <w:tblW w:w="5000" w:type="pct"/>
        <w:tblCellMar>
          <w:left w:w="70" w:type="dxa"/>
          <w:right w:w="70" w:type="dxa"/>
        </w:tblCellMar>
        <w:tblLook w:val="04A0" w:firstRow="1" w:lastRow="0" w:firstColumn="1" w:lastColumn="0" w:noHBand="0" w:noVBand="1"/>
      </w:tblPr>
      <w:tblGrid>
        <w:gridCol w:w="3158"/>
        <w:gridCol w:w="1858"/>
        <w:gridCol w:w="4048"/>
      </w:tblGrid>
      <w:tr w:rsidR="00F70638" w:rsidRPr="000363E4" w14:paraId="12D5C461" w14:textId="77777777" w:rsidTr="00F70638">
        <w:trPr>
          <w:trHeight w:val="279"/>
        </w:trPr>
        <w:tc>
          <w:tcPr>
            <w:tcW w:w="2767" w:type="pct"/>
            <w:gridSpan w:val="2"/>
            <w:tcBorders>
              <w:top w:val="single" w:sz="12" w:space="0" w:color="auto"/>
              <w:left w:val="nil"/>
              <w:bottom w:val="single" w:sz="12" w:space="0" w:color="auto"/>
              <w:right w:val="nil"/>
            </w:tcBorders>
            <w:shd w:val="clear" w:color="auto" w:fill="auto"/>
            <w:noWrap/>
            <w:vAlign w:val="center"/>
            <w:hideMark/>
          </w:tcPr>
          <w:p w14:paraId="17F544B2" w14:textId="77777777" w:rsidR="00F70638" w:rsidRPr="000363E4" w:rsidRDefault="00F70638" w:rsidP="00045A08">
            <w:pPr>
              <w:rPr>
                <w:b/>
                <w:bCs/>
                <w:color w:val="000000"/>
                <w:sz w:val="20"/>
                <w:szCs w:val="20"/>
              </w:rPr>
            </w:pPr>
            <w:r w:rsidRPr="000363E4">
              <w:rPr>
                <w:b/>
                <w:bCs/>
                <w:color w:val="000000"/>
                <w:sz w:val="20"/>
                <w:szCs w:val="20"/>
              </w:rPr>
              <w:t>Variable</w:t>
            </w:r>
          </w:p>
        </w:tc>
        <w:tc>
          <w:tcPr>
            <w:tcW w:w="2233" w:type="pct"/>
            <w:tcBorders>
              <w:top w:val="single" w:sz="12" w:space="0" w:color="auto"/>
              <w:left w:val="nil"/>
              <w:bottom w:val="single" w:sz="12" w:space="0" w:color="auto"/>
              <w:right w:val="nil"/>
            </w:tcBorders>
            <w:shd w:val="clear" w:color="auto" w:fill="auto"/>
            <w:noWrap/>
            <w:vAlign w:val="center"/>
            <w:hideMark/>
          </w:tcPr>
          <w:p w14:paraId="37591B8F" w14:textId="77777777" w:rsidR="00F70638" w:rsidRPr="000363E4" w:rsidRDefault="00F70638" w:rsidP="00045A08">
            <w:pPr>
              <w:jc w:val="center"/>
              <w:rPr>
                <w:b/>
                <w:bCs/>
                <w:color w:val="000000"/>
                <w:sz w:val="20"/>
                <w:szCs w:val="20"/>
              </w:rPr>
            </w:pPr>
            <w:r w:rsidRPr="000363E4">
              <w:rPr>
                <w:b/>
                <w:bCs/>
                <w:color w:val="000000"/>
                <w:sz w:val="20"/>
                <w:szCs w:val="20"/>
              </w:rPr>
              <w:t xml:space="preserve">REM </w:t>
            </w:r>
            <w:proofErr w:type="spellStart"/>
            <w:r w:rsidRPr="000363E4">
              <w:rPr>
                <w:b/>
                <w:bCs/>
                <w:color w:val="000000"/>
                <w:sz w:val="20"/>
                <w:szCs w:val="20"/>
              </w:rPr>
              <w:t>sleep</w:t>
            </w:r>
            <w:proofErr w:type="spellEnd"/>
            <w:r w:rsidRPr="000363E4">
              <w:rPr>
                <w:b/>
                <w:bCs/>
                <w:color w:val="000000"/>
                <w:sz w:val="20"/>
                <w:szCs w:val="20"/>
              </w:rPr>
              <w:t xml:space="preserve"> duration (%)</w:t>
            </w:r>
          </w:p>
        </w:tc>
      </w:tr>
      <w:tr w:rsidR="00F70638" w:rsidRPr="000363E4" w14:paraId="3B84E03A" w14:textId="77777777" w:rsidTr="00F70638">
        <w:trPr>
          <w:trHeight w:val="263"/>
        </w:trPr>
        <w:tc>
          <w:tcPr>
            <w:tcW w:w="1742" w:type="pct"/>
            <w:tcBorders>
              <w:top w:val="single" w:sz="12" w:space="0" w:color="auto"/>
              <w:left w:val="nil"/>
              <w:bottom w:val="single" w:sz="12" w:space="0" w:color="auto"/>
              <w:right w:val="nil"/>
            </w:tcBorders>
            <w:shd w:val="clear" w:color="000000" w:fill="E7E6E6"/>
            <w:noWrap/>
            <w:vAlign w:val="center"/>
            <w:hideMark/>
          </w:tcPr>
          <w:p w14:paraId="2DDB85B2" w14:textId="77777777" w:rsidR="00F70638" w:rsidRPr="000363E4" w:rsidRDefault="00F70638" w:rsidP="00045A08">
            <w:pPr>
              <w:rPr>
                <w:b/>
                <w:bCs/>
                <w:color w:val="000000"/>
                <w:sz w:val="20"/>
                <w:szCs w:val="20"/>
              </w:rPr>
            </w:pPr>
            <w:r w:rsidRPr="000363E4">
              <w:rPr>
                <w:b/>
                <w:bCs/>
                <w:color w:val="000000"/>
                <w:sz w:val="20"/>
                <w:szCs w:val="20"/>
              </w:rPr>
              <w:t xml:space="preserve">Full </w:t>
            </w:r>
            <w:proofErr w:type="spellStart"/>
            <w:r w:rsidRPr="000363E4">
              <w:rPr>
                <w:b/>
                <w:bCs/>
                <w:color w:val="000000"/>
                <w:sz w:val="20"/>
                <w:szCs w:val="20"/>
              </w:rPr>
              <w:t>sample</w:t>
            </w:r>
            <w:proofErr w:type="spellEnd"/>
            <w:r w:rsidRPr="000363E4">
              <w:rPr>
                <w:b/>
                <w:bCs/>
                <w:color w:val="000000"/>
                <w:sz w:val="20"/>
                <w:szCs w:val="20"/>
              </w:rPr>
              <w:t xml:space="preserve"> (n=62)</w:t>
            </w:r>
          </w:p>
        </w:tc>
        <w:tc>
          <w:tcPr>
            <w:tcW w:w="1025" w:type="pct"/>
            <w:tcBorders>
              <w:top w:val="single" w:sz="12" w:space="0" w:color="auto"/>
              <w:left w:val="nil"/>
              <w:bottom w:val="single" w:sz="12" w:space="0" w:color="auto"/>
              <w:right w:val="nil"/>
            </w:tcBorders>
            <w:shd w:val="clear" w:color="000000" w:fill="E7E6E6"/>
            <w:noWrap/>
            <w:vAlign w:val="center"/>
            <w:hideMark/>
          </w:tcPr>
          <w:p w14:paraId="59A4C9F1" w14:textId="77777777" w:rsidR="00F70638" w:rsidRPr="000363E4" w:rsidRDefault="00F70638" w:rsidP="00045A08">
            <w:pPr>
              <w:rPr>
                <w:b/>
                <w:bCs/>
                <w:color w:val="000000"/>
                <w:sz w:val="20"/>
                <w:szCs w:val="20"/>
              </w:rPr>
            </w:pPr>
            <w:r w:rsidRPr="000363E4">
              <w:rPr>
                <w:b/>
                <w:bCs/>
                <w:color w:val="000000"/>
                <w:sz w:val="20"/>
                <w:szCs w:val="20"/>
              </w:rPr>
              <w:t> </w:t>
            </w:r>
          </w:p>
        </w:tc>
        <w:tc>
          <w:tcPr>
            <w:tcW w:w="2233" w:type="pct"/>
            <w:tcBorders>
              <w:top w:val="single" w:sz="12" w:space="0" w:color="auto"/>
              <w:left w:val="nil"/>
              <w:bottom w:val="single" w:sz="12" w:space="0" w:color="auto"/>
              <w:right w:val="nil"/>
            </w:tcBorders>
            <w:shd w:val="clear" w:color="000000" w:fill="E7E6E6"/>
            <w:noWrap/>
            <w:vAlign w:val="center"/>
            <w:hideMark/>
          </w:tcPr>
          <w:p w14:paraId="21E3F8F2" w14:textId="77777777" w:rsidR="00F70638" w:rsidRPr="000363E4" w:rsidRDefault="00F70638" w:rsidP="00045A08">
            <w:pPr>
              <w:rPr>
                <w:b/>
                <w:bCs/>
                <w:color w:val="000000"/>
                <w:sz w:val="20"/>
                <w:szCs w:val="20"/>
              </w:rPr>
            </w:pPr>
            <w:r w:rsidRPr="000363E4">
              <w:rPr>
                <w:b/>
                <w:bCs/>
                <w:color w:val="000000"/>
                <w:sz w:val="20"/>
                <w:szCs w:val="20"/>
              </w:rPr>
              <w:t> </w:t>
            </w:r>
          </w:p>
        </w:tc>
      </w:tr>
      <w:tr w:rsidR="00F70638" w:rsidRPr="000363E4" w14:paraId="0E1933A3" w14:textId="77777777" w:rsidTr="00F70638">
        <w:trPr>
          <w:trHeight w:val="263"/>
        </w:trPr>
        <w:tc>
          <w:tcPr>
            <w:tcW w:w="1742" w:type="pct"/>
            <w:vMerge w:val="restart"/>
            <w:tcBorders>
              <w:top w:val="single" w:sz="12" w:space="0" w:color="auto"/>
              <w:left w:val="nil"/>
              <w:bottom w:val="single" w:sz="8" w:space="0" w:color="000000"/>
              <w:right w:val="nil"/>
            </w:tcBorders>
            <w:shd w:val="clear" w:color="auto" w:fill="auto"/>
            <w:noWrap/>
            <w:vAlign w:val="center"/>
            <w:hideMark/>
          </w:tcPr>
          <w:p w14:paraId="739AE55D" w14:textId="77777777" w:rsidR="00F70638" w:rsidRPr="000363E4" w:rsidRDefault="00F70638" w:rsidP="00045A08">
            <w:pPr>
              <w:rPr>
                <w:color w:val="000000"/>
                <w:sz w:val="20"/>
                <w:szCs w:val="20"/>
              </w:rPr>
            </w:pPr>
            <w:r w:rsidRPr="000363E4">
              <w:rPr>
                <w:color w:val="000000"/>
                <w:sz w:val="20"/>
                <w:szCs w:val="20"/>
              </w:rPr>
              <w:t>Total GMV (cm</w:t>
            </w:r>
            <w:r w:rsidRPr="000363E4">
              <w:rPr>
                <w:color w:val="000000"/>
                <w:sz w:val="20"/>
                <w:szCs w:val="20"/>
                <w:vertAlign w:val="superscript"/>
              </w:rPr>
              <w:t>3</w:t>
            </w:r>
            <w:r w:rsidRPr="000363E4">
              <w:rPr>
                <w:color w:val="000000"/>
                <w:sz w:val="20"/>
                <w:szCs w:val="20"/>
              </w:rPr>
              <w:t>)</w:t>
            </w:r>
          </w:p>
        </w:tc>
        <w:tc>
          <w:tcPr>
            <w:tcW w:w="1025" w:type="pct"/>
            <w:tcBorders>
              <w:top w:val="single" w:sz="12" w:space="0" w:color="auto"/>
              <w:left w:val="nil"/>
              <w:bottom w:val="nil"/>
              <w:right w:val="nil"/>
            </w:tcBorders>
            <w:shd w:val="clear" w:color="auto" w:fill="auto"/>
            <w:noWrap/>
            <w:vAlign w:val="center"/>
            <w:hideMark/>
          </w:tcPr>
          <w:p w14:paraId="185E07E4"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single" w:sz="12" w:space="0" w:color="auto"/>
              <w:left w:val="nil"/>
              <w:bottom w:val="nil"/>
              <w:right w:val="nil"/>
            </w:tcBorders>
            <w:shd w:val="clear" w:color="auto" w:fill="auto"/>
            <w:noWrap/>
            <w:vAlign w:val="center"/>
            <w:hideMark/>
          </w:tcPr>
          <w:p w14:paraId="6A6166E7" w14:textId="77777777" w:rsidR="00F70638" w:rsidRPr="000363E4" w:rsidRDefault="00F70638" w:rsidP="00045A08">
            <w:pPr>
              <w:jc w:val="center"/>
              <w:rPr>
                <w:color w:val="000000"/>
                <w:sz w:val="20"/>
                <w:szCs w:val="20"/>
              </w:rPr>
            </w:pPr>
            <w:r w:rsidRPr="000363E4">
              <w:rPr>
                <w:color w:val="000000"/>
                <w:sz w:val="20"/>
                <w:szCs w:val="20"/>
              </w:rPr>
              <w:t>-0.08 (-0.30 – 0.13)</w:t>
            </w:r>
          </w:p>
        </w:tc>
      </w:tr>
      <w:tr w:rsidR="00F70638" w:rsidRPr="000363E4" w14:paraId="602E20F4" w14:textId="77777777" w:rsidTr="00F70638">
        <w:trPr>
          <w:trHeight w:val="263"/>
        </w:trPr>
        <w:tc>
          <w:tcPr>
            <w:tcW w:w="1742" w:type="pct"/>
            <w:vMerge/>
            <w:tcBorders>
              <w:top w:val="nil"/>
              <w:left w:val="nil"/>
              <w:bottom w:val="single" w:sz="8" w:space="0" w:color="000000"/>
              <w:right w:val="nil"/>
            </w:tcBorders>
            <w:vAlign w:val="center"/>
            <w:hideMark/>
          </w:tcPr>
          <w:p w14:paraId="77DEBD91"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371B5D36"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2FD3AC12" w14:textId="77777777" w:rsidR="00F70638" w:rsidRPr="000363E4" w:rsidRDefault="00F70638" w:rsidP="00045A08">
            <w:pPr>
              <w:jc w:val="center"/>
              <w:rPr>
                <w:color w:val="000000"/>
                <w:sz w:val="20"/>
                <w:szCs w:val="20"/>
              </w:rPr>
            </w:pPr>
            <w:r w:rsidRPr="000363E4">
              <w:rPr>
                <w:color w:val="000000"/>
                <w:sz w:val="20"/>
                <w:szCs w:val="20"/>
              </w:rPr>
              <w:t>0.54</w:t>
            </w:r>
          </w:p>
        </w:tc>
      </w:tr>
      <w:tr w:rsidR="00F70638" w:rsidRPr="000363E4" w14:paraId="42237C87"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64B3145E" w14:textId="77777777" w:rsidR="00F70638" w:rsidRPr="000363E4" w:rsidRDefault="00F70638" w:rsidP="00045A08">
            <w:pPr>
              <w:rPr>
                <w:color w:val="000000"/>
                <w:sz w:val="20"/>
                <w:szCs w:val="20"/>
              </w:rPr>
            </w:pPr>
            <w:r w:rsidRPr="000363E4">
              <w:rPr>
                <w:color w:val="000000"/>
                <w:sz w:val="20"/>
                <w:szCs w:val="20"/>
              </w:rPr>
              <w:t>ACC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45215149"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2A383004" w14:textId="77777777" w:rsidR="00F70638" w:rsidRPr="000363E4" w:rsidRDefault="00F70638" w:rsidP="00045A08">
            <w:pPr>
              <w:jc w:val="center"/>
              <w:rPr>
                <w:color w:val="000000"/>
                <w:sz w:val="20"/>
                <w:szCs w:val="20"/>
              </w:rPr>
            </w:pPr>
            <w:r w:rsidRPr="000363E4">
              <w:rPr>
                <w:color w:val="000000"/>
                <w:sz w:val="20"/>
                <w:szCs w:val="20"/>
              </w:rPr>
              <w:t>0.05 (-0.18 – 0.26)</w:t>
            </w:r>
          </w:p>
        </w:tc>
      </w:tr>
      <w:tr w:rsidR="00F70638" w:rsidRPr="000363E4" w14:paraId="55FA6217" w14:textId="77777777" w:rsidTr="00F70638">
        <w:trPr>
          <w:trHeight w:val="263"/>
        </w:trPr>
        <w:tc>
          <w:tcPr>
            <w:tcW w:w="1742" w:type="pct"/>
            <w:vMerge/>
            <w:tcBorders>
              <w:top w:val="nil"/>
              <w:left w:val="nil"/>
              <w:bottom w:val="single" w:sz="8" w:space="0" w:color="000000"/>
              <w:right w:val="nil"/>
            </w:tcBorders>
            <w:vAlign w:val="center"/>
            <w:hideMark/>
          </w:tcPr>
          <w:p w14:paraId="666D12A5"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01712859"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6D25A117" w14:textId="77777777" w:rsidR="00F70638" w:rsidRPr="000363E4" w:rsidRDefault="00F70638" w:rsidP="00045A08">
            <w:pPr>
              <w:jc w:val="center"/>
              <w:rPr>
                <w:color w:val="000000"/>
                <w:sz w:val="20"/>
                <w:szCs w:val="20"/>
              </w:rPr>
            </w:pPr>
            <w:r w:rsidRPr="000363E4">
              <w:rPr>
                <w:color w:val="000000"/>
                <w:sz w:val="20"/>
                <w:szCs w:val="20"/>
              </w:rPr>
              <w:t>0.72</w:t>
            </w:r>
          </w:p>
        </w:tc>
      </w:tr>
      <w:tr w:rsidR="00F70638" w:rsidRPr="000363E4" w14:paraId="31A814D9"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0191F449" w14:textId="77777777" w:rsidR="00F70638" w:rsidRPr="000363E4" w:rsidRDefault="00F70638" w:rsidP="00045A08">
            <w:pPr>
              <w:rPr>
                <w:color w:val="000000"/>
                <w:sz w:val="20"/>
                <w:szCs w:val="20"/>
              </w:rPr>
            </w:pPr>
            <w:proofErr w:type="spellStart"/>
            <w:r w:rsidRPr="000363E4">
              <w:rPr>
                <w:color w:val="000000"/>
                <w:sz w:val="20"/>
                <w:szCs w:val="20"/>
              </w:rPr>
              <w:t>Amygdala</w:t>
            </w:r>
            <w:proofErr w:type="spellEnd"/>
            <w:r w:rsidRPr="000363E4">
              <w:rPr>
                <w:color w:val="000000"/>
                <w:sz w:val="20"/>
                <w:szCs w:val="20"/>
              </w:rPr>
              <w:t xml:space="preserve">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57554586"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7D58F793" w14:textId="77777777" w:rsidR="00F70638" w:rsidRPr="000363E4" w:rsidRDefault="00F70638" w:rsidP="00045A08">
            <w:pPr>
              <w:jc w:val="center"/>
              <w:rPr>
                <w:color w:val="000000"/>
                <w:sz w:val="20"/>
                <w:szCs w:val="20"/>
              </w:rPr>
            </w:pPr>
            <w:r w:rsidRPr="000363E4">
              <w:rPr>
                <w:color w:val="000000"/>
                <w:sz w:val="20"/>
                <w:szCs w:val="20"/>
              </w:rPr>
              <w:t>0.14 (-0.11 – 0.34)</w:t>
            </w:r>
          </w:p>
        </w:tc>
      </w:tr>
      <w:tr w:rsidR="00F70638" w:rsidRPr="000363E4" w14:paraId="77536A49" w14:textId="77777777" w:rsidTr="00F70638">
        <w:trPr>
          <w:trHeight w:val="263"/>
        </w:trPr>
        <w:tc>
          <w:tcPr>
            <w:tcW w:w="1742" w:type="pct"/>
            <w:vMerge/>
            <w:tcBorders>
              <w:top w:val="nil"/>
              <w:left w:val="nil"/>
              <w:bottom w:val="single" w:sz="8" w:space="0" w:color="000000"/>
              <w:right w:val="nil"/>
            </w:tcBorders>
            <w:vAlign w:val="center"/>
            <w:hideMark/>
          </w:tcPr>
          <w:p w14:paraId="18349915"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34E182B6"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4A604FEA" w14:textId="77777777" w:rsidR="00F70638" w:rsidRPr="000363E4" w:rsidRDefault="00F70638" w:rsidP="00045A08">
            <w:pPr>
              <w:jc w:val="center"/>
              <w:rPr>
                <w:color w:val="000000"/>
                <w:sz w:val="20"/>
                <w:szCs w:val="20"/>
              </w:rPr>
            </w:pPr>
            <w:r w:rsidRPr="000363E4">
              <w:rPr>
                <w:color w:val="000000"/>
                <w:sz w:val="20"/>
                <w:szCs w:val="20"/>
              </w:rPr>
              <w:t>0.28</w:t>
            </w:r>
          </w:p>
        </w:tc>
      </w:tr>
      <w:tr w:rsidR="00F70638" w:rsidRPr="000363E4" w14:paraId="5A24207E"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56217724" w14:textId="77777777" w:rsidR="00F70638" w:rsidRPr="000363E4" w:rsidRDefault="00F70638" w:rsidP="00045A08">
            <w:pPr>
              <w:rPr>
                <w:color w:val="000000"/>
                <w:sz w:val="20"/>
                <w:szCs w:val="20"/>
              </w:rPr>
            </w:pPr>
            <w:r w:rsidRPr="000363E4">
              <w:rPr>
                <w:color w:val="000000"/>
                <w:sz w:val="20"/>
                <w:szCs w:val="20"/>
              </w:rPr>
              <w:t>Cuneus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5CE48D66"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47115C6B" w14:textId="77777777" w:rsidR="00F70638" w:rsidRPr="000363E4" w:rsidRDefault="00F70638" w:rsidP="00045A08">
            <w:pPr>
              <w:jc w:val="center"/>
              <w:rPr>
                <w:color w:val="000000"/>
                <w:sz w:val="20"/>
                <w:szCs w:val="20"/>
              </w:rPr>
            </w:pPr>
            <w:r w:rsidRPr="000363E4">
              <w:rPr>
                <w:color w:val="000000"/>
                <w:sz w:val="20"/>
                <w:szCs w:val="20"/>
              </w:rPr>
              <w:t>-0.08 (-0.35 – 0.19)</w:t>
            </w:r>
          </w:p>
        </w:tc>
      </w:tr>
      <w:tr w:rsidR="00F70638" w:rsidRPr="000363E4" w14:paraId="1616BAA6" w14:textId="77777777" w:rsidTr="00F70638">
        <w:trPr>
          <w:trHeight w:val="263"/>
        </w:trPr>
        <w:tc>
          <w:tcPr>
            <w:tcW w:w="1742" w:type="pct"/>
            <w:vMerge/>
            <w:tcBorders>
              <w:top w:val="nil"/>
              <w:left w:val="nil"/>
              <w:bottom w:val="single" w:sz="8" w:space="0" w:color="000000"/>
              <w:right w:val="nil"/>
            </w:tcBorders>
            <w:vAlign w:val="center"/>
            <w:hideMark/>
          </w:tcPr>
          <w:p w14:paraId="36FF68E5"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7F67E47E"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4FB5A4AB" w14:textId="77777777" w:rsidR="00F70638" w:rsidRPr="000363E4" w:rsidRDefault="00F70638" w:rsidP="00045A08">
            <w:pPr>
              <w:jc w:val="center"/>
              <w:rPr>
                <w:color w:val="000000"/>
                <w:sz w:val="20"/>
                <w:szCs w:val="20"/>
              </w:rPr>
            </w:pPr>
            <w:r w:rsidRPr="000363E4">
              <w:rPr>
                <w:color w:val="000000"/>
                <w:sz w:val="20"/>
                <w:szCs w:val="20"/>
              </w:rPr>
              <w:t>0.55</w:t>
            </w:r>
          </w:p>
        </w:tc>
      </w:tr>
      <w:tr w:rsidR="00F70638" w:rsidRPr="000363E4" w14:paraId="7028D116"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01031F91" w14:textId="77777777" w:rsidR="00F70638" w:rsidRPr="000363E4" w:rsidRDefault="00F70638" w:rsidP="00045A08">
            <w:pPr>
              <w:rPr>
                <w:color w:val="000000"/>
                <w:sz w:val="20"/>
                <w:szCs w:val="20"/>
              </w:rPr>
            </w:pPr>
            <w:proofErr w:type="spellStart"/>
            <w:r w:rsidRPr="000363E4">
              <w:rPr>
                <w:color w:val="000000"/>
                <w:sz w:val="20"/>
                <w:szCs w:val="20"/>
              </w:rPr>
              <w:t>Hippocampus</w:t>
            </w:r>
            <w:proofErr w:type="spellEnd"/>
            <w:r w:rsidRPr="000363E4">
              <w:rPr>
                <w:color w:val="000000"/>
                <w:sz w:val="20"/>
                <w:szCs w:val="20"/>
              </w:rPr>
              <w:t xml:space="preserve">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6FDEA60F"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4B9589FB" w14:textId="77777777" w:rsidR="00F70638" w:rsidRPr="000363E4" w:rsidRDefault="00F70638" w:rsidP="00045A08">
            <w:pPr>
              <w:jc w:val="center"/>
              <w:rPr>
                <w:color w:val="000000"/>
                <w:sz w:val="20"/>
                <w:szCs w:val="20"/>
              </w:rPr>
            </w:pPr>
            <w:r w:rsidRPr="000363E4">
              <w:rPr>
                <w:color w:val="000000"/>
                <w:sz w:val="20"/>
                <w:szCs w:val="20"/>
              </w:rPr>
              <w:t>0.16 (-0.10 – 0.36)</w:t>
            </w:r>
          </w:p>
        </w:tc>
      </w:tr>
      <w:tr w:rsidR="00F70638" w:rsidRPr="000363E4" w14:paraId="7E83DB10" w14:textId="77777777" w:rsidTr="00F70638">
        <w:trPr>
          <w:trHeight w:val="263"/>
        </w:trPr>
        <w:tc>
          <w:tcPr>
            <w:tcW w:w="1742" w:type="pct"/>
            <w:vMerge/>
            <w:tcBorders>
              <w:top w:val="nil"/>
              <w:left w:val="nil"/>
              <w:bottom w:val="single" w:sz="8" w:space="0" w:color="000000"/>
              <w:right w:val="nil"/>
            </w:tcBorders>
            <w:vAlign w:val="center"/>
            <w:hideMark/>
          </w:tcPr>
          <w:p w14:paraId="68EA2B41"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7A8A5CF6"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291D4F57" w14:textId="77777777" w:rsidR="00F70638" w:rsidRPr="000363E4" w:rsidRDefault="00F70638" w:rsidP="00045A08">
            <w:pPr>
              <w:jc w:val="center"/>
              <w:rPr>
                <w:color w:val="000000"/>
                <w:sz w:val="20"/>
                <w:szCs w:val="20"/>
              </w:rPr>
            </w:pPr>
            <w:r w:rsidRPr="000363E4">
              <w:rPr>
                <w:color w:val="000000"/>
                <w:sz w:val="20"/>
                <w:szCs w:val="20"/>
              </w:rPr>
              <w:t>0.22</w:t>
            </w:r>
          </w:p>
        </w:tc>
      </w:tr>
      <w:tr w:rsidR="00F70638" w:rsidRPr="000363E4" w14:paraId="46FC7193"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2377E44F" w14:textId="77777777" w:rsidR="00F70638" w:rsidRPr="000363E4" w:rsidRDefault="00F70638" w:rsidP="00045A08">
            <w:pPr>
              <w:rPr>
                <w:color w:val="000000"/>
                <w:sz w:val="20"/>
                <w:szCs w:val="20"/>
              </w:rPr>
            </w:pPr>
            <w:r w:rsidRPr="000363E4">
              <w:rPr>
                <w:color w:val="000000"/>
                <w:sz w:val="20"/>
                <w:szCs w:val="20"/>
              </w:rPr>
              <w:t>ITG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497E68F7"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118DA366" w14:textId="77777777" w:rsidR="00F70638" w:rsidRPr="000363E4" w:rsidRDefault="00F70638" w:rsidP="00045A08">
            <w:pPr>
              <w:jc w:val="center"/>
              <w:rPr>
                <w:color w:val="000000"/>
                <w:sz w:val="20"/>
                <w:szCs w:val="20"/>
              </w:rPr>
            </w:pPr>
            <w:r w:rsidRPr="000363E4">
              <w:rPr>
                <w:color w:val="000000"/>
                <w:sz w:val="20"/>
                <w:szCs w:val="20"/>
              </w:rPr>
              <w:t>-0.07 (-0.30 – 0.14)</w:t>
            </w:r>
          </w:p>
        </w:tc>
      </w:tr>
      <w:tr w:rsidR="00F70638" w:rsidRPr="000363E4" w14:paraId="6A18EF74" w14:textId="77777777" w:rsidTr="00F70638">
        <w:trPr>
          <w:trHeight w:val="263"/>
        </w:trPr>
        <w:tc>
          <w:tcPr>
            <w:tcW w:w="1742" w:type="pct"/>
            <w:vMerge/>
            <w:tcBorders>
              <w:top w:val="nil"/>
              <w:left w:val="nil"/>
              <w:bottom w:val="single" w:sz="8" w:space="0" w:color="000000"/>
              <w:right w:val="nil"/>
            </w:tcBorders>
            <w:vAlign w:val="center"/>
            <w:hideMark/>
          </w:tcPr>
          <w:p w14:paraId="5D9DEA32"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0E2E592F"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23200B76" w14:textId="77777777" w:rsidR="00F70638" w:rsidRPr="000363E4" w:rsidRDefault="00F70638" w:rsidP="00045A08">
            <w:pPr>
              <w:jc w:val="center"/>
              <w:rPr>
                <w:color w:val="000000"/>
                <w:sz w:val="20"/>
                <w:szCs w:val="20"/>
              </w:rPr>
            </w:pPr>
            <w:r w:rsidRPr="000363E4">
              <w:rPr>
                <w:color w:val="000000"/>
                <w:sz w:val="20"/>
                <w:szCs w:val="20"/>
              </w:rPr>
              <w:t>0.59</w:t>
            </w:r>
          </w:p>
        </w:tc>
      </w:tr>
      <w:tr w:rsidR="00F70638" w:rsidRPr="000363E4" w14:paraId="13BEBF13"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59A723F5" w14:textId="77777777" w:rsidR="00F70638" w:rsidRPr="000363E4" w:rsidRDefault="00F70638" w:rsidP="00045A08">
            <w:pPr>
              <w:rPr>
                <w:color w:val="000000"/>
                <w:sz w:val="20"/>
                <w:szCs w:val="20"/>
              </w:rPr>
            </w:pPr>
            <w:r w:rsidRPr="000363E4">
              <w:rPr>
                <w:color w:val="000000"/>
                <w:sz w:val="20"/>
                <w:szCs w:val="20"/>
              </w:rPr>
              <w:t>PCC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7C1B60A4"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41577055" w14:textId="77777777" w:rsidR="00F70638" w:rsidRPr="000363E4" w:rsidRDefault="00F70638" w:rsidP="00045A08">
            <w:pPr>
              <w:jc w:val="center"/>
              <w:rPr>
                <w:color w:val="000000"/>
                <w:sz w:val="20"/>
                <w:szCs w:val="20"/>
              </w:rPr>
            </w:pPr>
            <w:r w:rsidRPr="000363E4">
              <w:rPr>
                <w:color w:val="000000"/>
                <w:sz w:val="20"/>
                <w:szCs w:val="20"/>
              </w:rPr>
              <w:t>-0.12 (-0.37 – 0.15)</w:t>
            </w:r>
          </w:p>
        </w:tc>
      </w:tr>
      <w:tr w:rsidR="00F70638" w:rsidRPr="000363E4" w14:paraId="0106C544" w14:textId="77777777" w:rsidTr="00F70638">
        <w:trPr>
          <w:trHeight w:val="263"/>
        </w:trPr>
        <w:tc>
          <w:tcPr>
            <w:tcW w:w="1742" w:type="pct"/>
            <w:vMerge/>
            <w:tcBorders>
              <w:top w:val="nil"/>
              <w:left w:val="nil"/>
              <w:bottom w:val="single" w:sz="8" w:space="0" w:color="000000"/>
              <w:right w:val="nil"/>
            </w:tcBorders>
            <w:vAlign w:val="center"/>
            <w:hideMark/>
          </w:tcPr>
          <w:p w14:paraId="17B4EA36"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1289D6D6"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4D039294" w14:textId="77777777" w:rsidR="00F70638" w:rsidRPr="000363E4" w:rsidRDefault="00F70638" w:rsidP="00045A08">
            <w:pPr>
              <w:jc w:val="center"/>
              <w:rPr>
                <w:color w:val="000000"/>
                <w:sz w:val="20"/>
                <w:szCs w:val="20"/>
              </w:rPr>
            </w:pPr>
            <w:r w:rsidRPr="000363E4">
              <w:rPr>
                <w:color w:val="000000"/>
                <w:sz w:val="20"/>
                <w:szCs w:val="20"/>
              </w:rPr>
              <w:t>0.37</w:t>
            </w:r>
          </w:p>
        </w:tc>
      </w:tr>
      <w:tr w:rsidR="00F70638" w:rsidRPr="000363E4" w14:paraId="1A5DF3FC"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7BCA6E0F" w14:textId="77777777" w:rsidR="00F70638" w:rsidRPr="000363E4" w:rsidRDefault="00F70638" w:rsidP="00045A08">
            <w:pPr>
              <w:rPr>
                <w:color w:val="000000"/>
                <w:sz w:val="20"/>
                <w:szCs w:val="20"/>
              </w:rPr>
            </w:pPr>
            <w:proofErr w:type="spellStart"/>
            <w:r w:rsidRPr="000363E4">
              <w:rPr>
                <w:color w:val="000000"/>
                <w:sz w:val="20"/>
                <w:szCs w:val="20"/>
              </w:rPr>
              <w:t>Precuneus</w:t>
            </w:r>
            <w:proofErr w:type="spellEnd"/>
            <w:r w:rsidRPr="000363E4">
              <w:rPr>
                <w:color w:val="000000"/>
                <w:sz w:val="20"/>
                <w:szCs w:val="20"/>
              </w:rPr>
              <w:t xml:space="preserve">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1FED23AC"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677E43FD" w14:textId="77777777" w:rsidR="00F70638" w:rsidRPr="000363E4" w:rsidRDefault="00F70638" w:rsidP="00045A08">
            <w:pPr>
              <w:jc w:val="center"/>
              <w:rPr>
                <w:color w:val="000000"/>
                <w:sz w:val="20"/>
                <w:szCs w:val="20"/>
              </w:rPr>
            </w:pPr>
            <w:r w:rsidRPr="000363E4">
              <w:rPr>
                <w:color w:val="000000"/>
                <w:sz w:val="20"/>
                <w:szCs w:val="20"/>
              </w:rPr>
              <w:t>-0.20 (-0.40 – 0.06)</w:t>
            </w:r>
          </w:p>
        </w:tc>
      </w:tr>
      <w:tr w:rsidR="00F70638" w:rsidRPr="000363E4" w14:paraId="0E57DBE7" w14:textId="77777777" w:rsidTr="00F70638">
        <w:trPr>
          <w:trHeight w:val="263"/>
        </w:trPr>
        <w:tc>
          <w:tcPr>
            <w:tcW w:w="1742" w:type="pct"/>
            <w:vMerge/>
            <w:tcBorders>
              <w:top w:val="nil"/>
              <w:left w:val="nil"/>
              <w:bottom w:val="single" w:sz="8" w:space="0" w:color="000000"/>
              <w:right w:val="nil"/>
            </w:tcBorders>
            <w:vAlign w:val="center"/>
            <w:hideMark/>
          </w:tcPr>
          <w:p w14:paraId="2165D122"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5A14C860"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6A57E3DA" w14:textId="77777777" w:rsidR="00F70638" w:rsidRPr="000363E4" w:rsidRDefault="00F70638" w:rsidP="00045A08">
            <w:pPr>
              <w:jc w:val="center"/>
              <w:rPr>
                <w:color w:val="000000"/>
                <w:sz w:val="20"/>
                <w:szCs w:val="20"/>
              </w:rPr>
            </w:pPr>
            <w:r w:rsidRPr="000363E4">
              <w:rPr>
                <w:color w:val="000000"/>
                <w:sz w:val="20"/>
                <w:szCs w:val="20"/>
              </w:rPr>
              <w:t>0.14</w:t>
            </w:r>
          </w:p>
        </w:tc>
      </w:tr>
      <w:tr w:rsidR="00F70638" w:rsidRPr="000363E4" w14:paraId="0F310D7B" w14:textId="77777777" w:rsidTr="00F70638">
        <w:trPr>
          <w:trHeight w:val="263"/>
        </w:trPr>
        <w:tc>
          <w:tcPr>
            <w:tcW w:w="1742" w:type="pct"/>
            <w:vMerge w:val="restart"/>
            <w:tcBorders>
              <w:top w:val="nil"/>
              <w:left w:val="nil"/>
              <w:bottom w:val="single" w:sz="8" w:space="0" w:color="000000"/>
              <w:right w:val="nil"/>
            </w:tcBorders>
            <w:shd w:val="clear" w:color="auto" w:fill="auto"/>
            <w:noWrap/>
            <w:vAlign w:val="center"/>
            <w:hideMark/>
          </w:tcPr>
          <w:p w14:paraId="5B9BD467" w14:textId="77777777" w:rsidR="00F70638" w:rsidRPr="000363E4" w:rsidRDefault="00F70638" w:rsidP="00045A08">
            <w:pPr>
              <w:rPr>
                <w:color w:val="000000"/>
                <w:sz w:val="20"/>
                <w:szCs w:val="20"/>
              </w:rPr>
            </w:pPr>
            <w:r w:rsidRPr="000363E4">
              <w:rPr>
                <w:color w:val="000000"/>
                <w:sz w:val="20"/>
                <w:szCs w:val="20"/>
              </w:rPr>
              <w:t>SFG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0430690F"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503B1EAB" w14:textId="77777777" w:rsidR="00F70638" w:rsidRPr="000363E4" w:rsidRDefault="00F70638" w:rsidP="00045A08">
            <w:pPr>
              <w:jc w:val="center"/>
              <w:rPr>
                <w:color w:val="000000"/>
                <w:sz w:val="20"/>
                <w:szCs w:val="20"/>
              </w:rPr>
            </w:pPr>
            <w:r w:rsidRPr="000363E4">
              <w:rPr>
                <w:color w:val="000000"/>
                <w:sz w:val="20"/>
                <w:szCs w:val="20"/>
              </w:rPr>
              <w:t>-0.09 (-0.34 – 0.14)</w:t>
            </w:r>
          </w:p>
        </w:tc>
      </w:tr>
      <w:tr w:rsidR="00F70638" w:rsidRPr="000363E4" w14:paraId="38A9083A" w14:textId="77777777" w:rsidTr="00F70638">
        <w:trPr>
          <w:trHeight w:val="263"/>
        </w:trPr>
        <w:tc>
          <w:tcPr>
            <w:tcW w:w="1742" w:type="pct"/>
            <w:vMerge/>
            <w:tcBorders>
              <w:top w:val="nil"/>
              <w:left w:val="nil"/>
              <w:bottom w:val="single" w:sz="8" w:space="0" w:color="000000"/>
              <w:right w:val="nil"/>
            </w:tcBorders>
            <w:vAlign w:val="center"/>
            <w:hideMark/>
          </w:tcPr>
          <w:p w14:paraId="67DEE965"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6DACACFE"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14757C4B" w14:textId="77777777" w:rsidR="00F70638" w:rsidRPr="000363E4" w:rsidRDefault="00F70638" w:rsidP="00045A08">
            <w:pPr>
              <w:jc w:val="center"/>
              <w:rPr>
                <w:color w:val="000000"/>
                <w:sz w:val="20"/>
                <w:szCs w:val="20"/>
              </w:rPr>
            </w:pPr>
            <w:r w:rsidRPr="000363E4">
              <w:rPr>
                <w:color w:val="000000"/>
                <w:sz w:val="20"/>
                <w:szCs w:val="20"/>
              </w:rPr>
              <w:t>0.48</w:t>
            </w:r>
          </w:p>
        </w:tc>
      </w:tr>
      <w:tr w:rsidR="00F70638" w:rsidRPr="000363E4" w14:paraId="52BC3BAA" w14:textId="77777777" w:rsidTr="00F70638">
        <w:trPr>
          <w:trHeight w:val="263"/>
        </w:trPr>
        <w:tc>
          <w:tcPr>
            <w:tcW w:w="1742" w:type="pct"/>
            <w:vMerge w:val="restart"/>
            <w:tcBorders>
              <w:top w:val="nil"/>
              <w:left w:val="nil"/>
              <w:bottom w:val="single" w:sz="12" w:space="0" w:color="000000"/>
              <w:right w:val="nil"/>
            </w:tcBorders>
            <w:shd w:val="clear" w:color="auto" w:fill="auto"/>
            <w:noWrap/>
            <w:vAlign w:val="center"/>
            <w:hideMark/>
          </w:tcPr>
          <w:p w14:paraId="47AD6C8A" w14:textId="77777777" w:rsidR="00F70638" w:rsidRPr="000363E4" w:rsidRDefault="00F70638" w:rsidP="00045A08">
            <w:pPr>
              <w:rPr>
                <w:color w:val="000000"/>
                <w:sz w:val="20"/>
                <w:szCs w:val="20"/>
              </w:rPr>
            </w:pPr>
            <w:r w:rsidRPr="000363E4">
              <w:rPr>
                <w:color w:val="000000"/>
                <w:sz w:val="20"/>
                <w:szCs w:val="20"/>
              </w:rPr>
              <w:t>SMG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6329D14F"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564FA21C" w14:textId="77777777" w:rsidR="00F70638" w:rsidRPr="000363E4" w:rsidRDefault="00F70638" w:rsidP="00045A08">
            <w:pPr>
              <w:jc w:val="center"/>
              <w:rPr>
                <w:color w:val="000000"/>
                <w:sz w:val="20"/>
                <w:szCs w:val="20"/>
              </w:rPr>
            </w:pPr>
            <w:r w:rsidRPr="000363E4">
              <w:rPr>
                <w:color w:val="000000"/>
                <w:sz w:val="20"/>
                <w:szCs w:val="20"/>
              </w:rPr>
              <w:t>0.13 (-0.15 – 0.38)</w:t>
            </w:r>
          </w:p>
        </w:tc>
      </w:tr>
      <w:tr w:rsidR="00F70638" w:rsidRPr="000363E4" w14:paraId="4A58C9EE" w14:textId="77777777" w:rsidTr="00F70638">
        <w:trPr>
          <w:trHeight w:val="263"/>
        </w:trPr>
        <w:tc>
          <w:tcPr>
            <w:tcW w:w="1742" w:type="pct"/>
            <w:vMerge/>
            <w:tcBorders>
              <w:top w:val="nil"/>
              <w:left w:val="nil"/>
              <w:bottom w:val="single" w:sz="12" w:space="0" w:color="000000"/>
              <w:right w:val="nil"/>
            </w:tcBorders>
            <w:vAlign w:val="center"/>
            <w:hideMark/>
          </w:tcPr>
          <w:p w14:paraId="1A49C3E0" w14:textId="77777777" w:rsidR="00F70638" w:rsidRPr="000363E4" w:rsidRDefault="00F70638" w:rsidP="00045A08">
            <w:pPr>
              <w:rPr>
                <w:color w:val="000000"/>
                <w:sz w:val="20"/>
                <w:szCs w:val="20"/>
              </w:rPr>
            </w:pPr>
          </w:p>
        </w:tc>
        <w:tc>
          <w:tcPr>
            <w:tcW w:w="1025" w:type="pct"/>
            <w:tcBorders>
              <w:top w:val="nil"/>
              <w:left w:val="nil"/>
              <w:bottom w:val="single" w:sz="12" w:space="0" w:color="auto"/>
              <w:right w:val="nil"/>
            </w:tcBorders>
            <w:shd w:val="clear" w:color="auto" w:fill="auto"/>
            <w:noWrap/>
            <w:vAlign w:val="center"/>
            <w:hideMark/>
          </w:tcPr>
          <w:p w14:paraId="1AEC170F"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12" w:space="0" w:color="auto"/>
              <w:right w:val="nil"/>
            </w:tcBorders>
            <w:shd w:val="clear" w:color="auto" w:fill="auto"/>
            <w:noWrap/>
            <w:vAlign w:val="center"/>
            <w:hideMark/>
          </w:tcPr>
          <w:p w14:paraId="6E3D5424" w14:textId="77777777" w:rsidR="00F70638" w:rsidRPr="000363E4" w:rsidRDefault="00F70638" w:rsidP="00045A08">
            <w:pPr>
              <w:jc w:val="center"/>
              <w:rPr>
                <w:color w:val="000000"/>
                <w:sz w:val="20"/>
                <w:szCs w:val="20"/>
              </w:rPr>
            </w:pPr>
            <w:r w:rsidRPr="000363E4">
              <w:rPr>
                <w:color w:val="000000"/>
                <w:sz w:val="20"/>
                <w:szCs w:val="20"/>
              </w:rPr>
              <w:t>0.33</w:t>
            </w:r>
          </w:p>
        </w:tc>
      </w:tr>
      <w:tr w:rsidR="00F70638" w:rsidRPr="000363E4" w14:paraId="639411C7" w14:textId="77777777" w:rsidTr="00F70638">
        <w:trPr>
          <w:trHeight w:val="279"/>
        </w:trPr>
        <w:tc>
          <w:tcPr>
            <w:tcW w:w="1742" w:type="pct"/>
            <w:tcBorders>
              <w:top w:val="single" w:sz="12" w:space="0" w:color="000000"/>
              <w:left w:val="nil"/>
              <w:bottom w:val="single" w:sz="12" w:space="0" w:color="auto"/>
              <w:right w:val="nil"/>
            </w:tcBorders>
            <w:shd w:val="clear" w:color="000000" w:fill="E7E6E6"/>
            <w:noWrap/>
            <w:vAlign w:val="center"/>
            <w:hideMark/>
          </w:tcPr>
          <w:p w14:paraId="4B4785B4" w14:textId="77777777" w:rsidR="00F70638" w:rsidRPr="000363E4" w:rsidRDefault="00F70638" w:rsidP="00045A08">
            <w:pPr>
              <w:rPr>
                <w:b/>
                <w:bCs/>
                <w:color w:val="000000"/>
                <w:sz w:val="20"/>
                <w:szCs w:val="20"/>
              </w:rPr>
            </w:pPr>
            <w:r w:rsidRPr="000363E4">
              <w:rPr>
                <w:b/>
                <w:bCs/>
                <w:color w:val="000000"/>
                <w:sz w:val="20"/>
                <w:szCs w:val="20"/>
              </w:rPr>
              <w:t>MCI group (n=31)</w:t>
            </w:r>
          </w:p>
        </w:tc>
        <w:tc>
          <w:tcPr>
            <w:tcW w:w="1025" w:type="pct"/>
            <w:tcBorders>
              <w:top w:val="nil"/>
              <w:left w:val="nil"/>
              <w:bottom w:val="nil"/>
              <w:right w:val="nil"/>
            </w:tcBorders>
            <w:shd w:val="clear" w:color="000000" w:fill="E7E6E6"/>
            <w:noWrap/>
            <w:vAlign w:val="center"/>
            <w:hideMark/>
          </w:tcPr>
          <w:p w14:paraId="11E126DB" w14:textId="77777777" w:rsidR="00F70638" w:rsidRPr="000363E4" w:rsidRDefault="00F70638" w:rsidP="00045A08">
            <w:pPr>
              <w:rPr>
                <w:color w:val="000000"/>
                <w:sz w:val="20"/>
                <w:szCs w:val="20"/>
              </w:rPr>
            </w:pPr>
            <w:r w:rsidRPr="000363E4">
              <w:rPr>
                <w:color w:val="000000"/>
                <w:sz w:val="20"/>
                <w:szCs w:val="20"/>
              </w:rPr>
              <w:t> </w:t>
            </w:r>
          </w:p>
        </w:tc>
        <w:tc>
          <w:tcPr>
            <w:tcW w:w="2233" w:type="pct"/>
            <w:tcBorders>
              <w:top w:val="nil"/>
              <w:left w:val="nil"/>
              <w:bottom w:val="nil"/>
              <w:right w:val="nil"/>
            </w:tcBorders>
            <w:shd w:val="clear" w:color="000000" w:fill="E7E6E6"/>
            <w:noWrap/>
            <w:vAlign w:val="center"/>
            <w:hideMark/>
          </w:tcPr>
          <w:p w14:paraId="059C5895" w14:textId="77777777" w:rsidR="00F70638" w:rsidRPr="000363E4" w:rsidRDefault="00F70638" w:rsidP="00045A08">
            <w:pPr>
              <w:rPr>
                <w:color w:val="000000"/>
                <w:sz w:val="20"/>
                <w:szCs w:val="20"/>
              </w:rPr>
            </w:pPr>
            <w:r w:rsidRPr="000363E4">
              <w:rPr>
                <w:color w:val="000000"/>
                <w:sz w:val="20"/>
                <w:szCs w:val="20"/>
              </w:rPr>
              <w:t> </w:t>
            </w:r>
          </w:p>
        </w:tc>
      </w:tr>
      <w:tr w:rsidR="00F70638" w:rsidRPr="000363E4" w14:paraId="76DECB8B" w14:textId="77777777" w:rsidTr="00F70638">
        <w:trPr>
          <w:trHeight w:val="263"/>
        </w:trPr>
        <w:tc>
          <w:tcPr>
            <w:tcW w:w="1742" w:type="pct"/>
            <w:vMerge w:val="restart"/>
            <w:tcBorders>
              <w:top w:val="single" w:sz="12" w:space="0" w:color="auto"/>
              <w:left w:val="nil"/>
              <w:bottom w:val="single" w:sz="8" w:space="0" w:color="000000"/>
              <w:right w:val="nil"/>
            </w:tcBorders>
            <w:shd w:val="clear" w:color="auto" w:fill="auto"/>
            <w:noWrap/>
            <w:vAlign w:val="center"/>
            <w:hideMark/>
          </w:tcPr>
          <w:p w14:paraId="427AF95A" w14:textId="77777777" w:rsidR="00F70638" w:rsidRPr="000363E4" w:rsidRDefault="00F70638" w:rsidP="00045A08">
            <w:pPr>
              <w:rPr>
                <w:color w:val="000000"/>
                <w:sz w:val="20"/>
                <w:szCs w:val="20"/>
              </w:rPr>
            </w:pPr>
            <w:r w:rsidRPr="000363E4">
              <w:rPr>
                <w:color w:val="000000"/>
                <w:sz w:val="20"/>
                <w:szCs w:val="20"/>
              </w:rPr>
              <w:t>Total GMV (cm</w:t>
            </w:r>
            <w:r w:rsidRPr="000363E4">
              <w:rPr>
                <w:color w:val="000000"/>
                <w:sz w:val="20"/>
                <w:szCs w:val="20"/>
                <w:vertAlign w:val="superscript"/>
              </w:rPr>
              <w:t>3</w:t>
            </w:r>
            <w:r w:rsidRPr="000363E4">
              <w:rPr>
                <w:color w:val="000000"/>
                <w:sz w:val="20"/>
                <w:szCs w:val="20"/>
              </w:rPr>
              <w:t>)</w:t>
            </w:r>
          </w:p>
        </w:tc>
        <w:tc>
          <w:tcPr>
            <w:tcW w:w="1025" w:type="pct"/>
            <w:tcBorders>
              <w:top w:val="single" w:sz="12" w:space="0" w:color="auto"/>
              <w:left w:val="nil"/>
              <w:bottom w:val="nil"/>
              <w:right w:val="nil"/>
            </w:tcBorders>
            <w:shd w:val="clear" w:color="auto" w:fill="auto"/>
            <w:noWrap/>
            <w:vAlign w:val="center"/>
            <w:hideMark/>
          </w:tcPr>
          <w:p w14:paraId="02BCC76B"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single" w:sz="12" w:space="0" w:color="auto"/>
              <w:left w:val="nil"/>
              <w:bottom w:val="nil"/>
              <w:right w:val="nil"/>
            </w:tcBorders>
            <w:shd w:val="clear" w:color="auto" w:fill="auto"/>
            <w:noWrap/>
            <w:vAlign w:val="center"/>
            <w:hideMark/>
          </w:tcPr>
          <w:p w14:paraId="1F3AFF8E" w14:textId="77777777" w:rsidR="00F70638" w:rsidRPr="000363E4" w:rsidRDefault="00F70638" w:rsidP="00045A08">
            <w:pPr>
              <w:jc w:val="center"/>
              <w:rPr>
                <w:color w:val="000000"/>
                <w:sz w:val="20"/>
                <w:szCs w:val="20"/>
              </w:rPr>
            </w:pPr>
            <w:r w:rsidRPr="000363E4">
              <w:rPr>
                <w:color w:val="000000"/>
                <w:sz w:val="20"/>
                <w:szCs w:val="20"/>
              </w:rPr>
              <w:t>-0.01 (-0.38 – 0.35)</w:t>
            </w:r>
          </w:p>
        </w:tc>
      </w:tr>
      <w:tr w:rsidR="00F70638" w:rsidRPr="000363E4" w14:paraId="1EA3BFD3" w14:textId="77777777" w:rsidTr="00F70638">
        <w:trPr>
          <w:trHeight w:val="263"/>
        </w:trPr>
        <w:tc>
          <w:tcPr>
            <w:tcW w:w="1742" w:type="pct"/>
            <w:vMerge/>
            <w:tcBorders>
              <w:top w:val="nil"/>
              <w:left w:val="nil"/>
              <w:bottom w:val="single" w:sz="8" w:space="0" w:color="000000"/>
              <w:right w:val="nil"/>
            </w:tcBorders>
            <w:vAlign w:val="center"/>
            <w:hideMark/>
          </w:tcPr>
          <w:p w14:paraId="5C339B6A"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42DE1E87"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5E4605E5" w14:textId="77777777" w:rsidR="00F70638" w:rsidRPr="000363E4" w:rsidRDefault="00F70638" w:rsidP="00045A08">
            <w:pPr>
              <w:jc w:val="center"/>
              <w:rPr>
                <w:color w:val="000000"/>
                <w:sz w:val="20"/>
                <w:szCs w:val="20"/>
              </w:rPr>
            </w:pPr>
            <w:r w:rsidRPr="000363E4">
              <w:rPr>
                <w:color w:val="000000"/>
                <w:sz w:val="20"/>
                <w:szCs w:val="20"/>
              </w:rPr>
              <w:t>0.97</w:t>
            </w:r>
          </w:p>
        </w:tc>
      </w:tr>
      <w:tr w:rsidR="00F70638" w:rsidRPr="000363E4" w14:paraId="69852A44"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0B02BA87" w14:textId="77777777" w:rsidR="00F70638" w:rsidRPr="000363E4" w:rsidRDefault="00F70638" w:rsidP="00045A08">
            <w:pPr>
              <w:rPr>
                <w:color w:val="000000"/>
                <w:sz w:val="20"/>
                <w:szCs w:val="20"/>
              </w:rPr>
            </w:pPr>
            <w:r w:rsidRPr="000363E4">
              <w:rPr>
                <w:color w:val="000000"/>
                <w:sz w:val="20"/>
                <w:szCs w:val="20"/>
              </w:rPr>
              <w:t>ACC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02BA7B5A"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471AE8E9" w14:textId="77777777" w:rsidR="00F70638" w:rsidRPr="000363E4" w:rsidRDefault="00F70638" w:rsidP="00045A08">
            <w:pPr>
              <w:jc w:val="center"/>
              <w:rPr>
                <w:color w:val="000000"/>
                <w:sz w:val="20"/>
                <w:szCs w:val="20"/>
              </w:rPr>
            </w:pPr>
            <w:r w:rsidRPr="000363E4">
              <w:rPr>
                <w:color w:val="000000"/>
                <w:sz w:val="20"/>
                <w:szCs w:val="20"/>
              </w:rPr>
              <w:t>0.04 (-0.36 – 0.40)</w:t>
            </w:r>
          </w:p>
        </w:tc>
      </w:tr>
      <w:tr w:rsidR="00F70638" w:rsidRPr="000363E4" w14:paraId="4E3A0289" w14:textId="77777777" w:rsidTr="00F70638">
        <w:trPr>
          <w:trHeight w:val="263"/>
        </w:trPr>
        <w:tc>
          <w:tcPr>
            <w:tcW w:w="1742" w:type="pct"/>
            <w:vMerge/>
            <w:tcBorders>
              <w:top w:val="nil"/>
              <w:left w:val="nil"/>
              <w:bottom w:val="single" w:sz="8" w:space="0" w:color="000000"/>
              <w:right w:val="nil"/>
            </w:tcBorders>
            <w:vAlign w:val="center"/>
            <w:hideMark/>
          </w:tcPr>
          <w:p w14:paraId="34B34FC4"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5E07DC9B"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6EA70E4E" w14:textId="77777777" w:rsidR="00F70638" w:rsidRPr="000363E4" w:rsidRDefault="00F70638" w:rsidP="00045A08">
            <w:pPr>
              <w:jc w:val="center"/>
              <w:rPr>
                <w:color w:val="000000"/>
                <w:sz w:val="20"/>
                <w:szCs w:val="20"/>
              </w:rPr>
            </w:pPr>
            <w:r w:rsidRPr="000363E4">
              <w:rPr>
                <w:color w:val="000000"/>
                <w:sz w:val="20"/>
                <w:szCs w:val="20"/>
              </w:rPr>
              <w:t>0.86</w:t>
            </w:r>
          </w:p>
        </w:tc>
      </w:tr>
      <w:tr w:rsidR="00F70638" w:rsidRPr="000363E4" w14:paraId="363D59C0"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2280225B" w14:textId="77777777" w:rsidR="00F70638" w:rsidRPr="000363E4" w:rsidRDefault="00F70638" w:rsidP="00045A08">
            <w:pPr>
              <w:rPr>
                <w:color w:val="000000"/>
                <w:sz w:val="20"/>
                <w:szCs w:val="20"/>
              </w:rPr>
            </w:pPr>
            <w:proofErr w:type="spellStart"/>
            <w:r w:rsidRPr="000363E4">
              <w:rPr>
                <w:color w:val="000000"/>
                <w:sz w:val="20"/>
                <w:szCs w:val="20"/>
              </w:rPr>
              <w:t>Amygdala</w:t>
            </w:r>
            <w:proofErr w:type="spellEnd"/>
            <w:r w:rsidRPr="000363E4">
              <w:rPr>
                <w:color w:val="000000"/>
                <w:sz w:val="20"/>
                <w:szCs w:val="20"/>
              </w:rPr>
              <w:t xml:space="preserve">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28B2B5B5"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6AF1A084" w14:textId="77777777" w:rsidR="00F70638" w:rsidRPr="000363E4" w:rsidRDefault="00F70638" w:rsidP="00045A08">
            <w:pPr>
              <w:jc w:val="center"/>
              <w:rPr>
                <w:color w:val="000000"/>
                <w:sz w:val="20"/>
                <w:szCs w:val="20"/>
              </w:rPr>
            </w:pPr>
            <w:r w:rsidRPr="000363E4">
              <w:rPr>
                <w:color w:val="000000"/>
                <w:sz w:val="20"/>
                <w:szCs w:val="20"/>
              </w:rPr>
              <w:t>0.20 (-0.13 – 0.47)</w:t>
            </w:r>
          </w:p>
        </w:tc>
      </w:tr>
      <w:tr w:rsidR="00F70638" w:rsidRPr="000363E4" w14:paraId="01147F31" w14:textId="77777777" w:rsidTr="00F70638">
        <w:trPr>
          <w:trHeight w:val="263"/>
        </w:trPr>
        <w:tc>
          <w:tcPr>
            <w:tcW w:w="1742" w:type="pct"/>
            <w:vMerge/>
            <w:tcBorders>
              <w:top w:val="nil"/>
              <w:left w:val="nil"/>
              <w:bottom w:val="single" w:sz="8" w:space="0" w:color="000000"/>
              <w:right w:val="nil"/>
            </w:tcBorders>
            <w:vAlign w:val="center"/>
            <w:hideMark/>
          </w:tcPr>
          <w:p w14:paraId="6AA8DC29"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6B1300AF"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530E3A13" w14:textId="77777777" w:rsidR="00F70638" w:rsidRPr="000363E4" w:rsidRDefault="00F70638" w:rsidP="00045A08">
            <w:pPr>
              <w:jc w:val="center"/>
              <w:rPr>
                <w:color w:val="000000"/>
                <w:sz w:val="20"/>
                <w:szCs w:val="20"/>
              </w:rPr>
            </w:pPr>
            <w:r w:rsidRPr="000363E4">
              <w:rPr>
                <w:color w:val="000000"/>
                <w:sz w:val="20"/>
                <w:szCs w:val="20"/>
              </w:rPr>
              <w:t>0.31</w:t>
            </w:r>
          </w:p>
        </w:tc>
      </w:tr>
      <w:tr w:rsidR="00F70638" w:rsidRPr="000363E4" w14:paraId="3039E1B5"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0A6038D8" w14:textId="77777777" w:rsidR="00F70638" w:rsidRPr="000363E4" w:rsidRDefault="00F70638" w:rsidP="00045A08">
            <w:pPr>
              <w:rPr>
                <w:color w:val="000000"/>
                <w:sz w:val="20"/>
                <w:szCs w:val="20"/>
              </w:rPr>
            </w:pPr>
            <w:r w:rsidRPr="000363E4">
              <w:rPr>
                <w:color w:val="000000"/>
                <w:sz w:val="20"/>
                <w:szCs w:val="20"/>
              </w:rPr>
              <w:t>Cuneus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2871793C"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2444ABB5" w14:textId="77777777" w:rsidR="00F70638" w:rsidRPr="000363E4" w:rsidRDefault="00F70638" w:rsidP="00045A08">
            <w:pPr>
              <w:jc w:val="center"/>
              <w:rPr>
                <w:color w:val="000000"/>
                <w:sz w:val="20"/>
                <w:szCs w:val="20"/>
              </w:rPr>
            </w:pPr>
            <w:r w:rsidRPr="000363E4">
              <w:rPr>
                <w:color w:val="000000"/>
                <w:sz w:val="20"/>
                <w:szCs w:val="20"/>
              </w:rPr>
              <w:t>-0.18 (-0.55 – 0.30)</w:t>
            </w:r>
          </w:p>
        </w:tc>
      </w:tr>
      <w:tr w:rsidR="00F70638" w:rsidRPr="000363E4" w14:paraId="3B28DD67" w14:textId="77777777" w:rsidTr="00F70638">
        <w:trPr>
          <w:trHeight w:val="263"/>
        </w:trPr>
        <w:tc>
          <w:tcPr>
            <w:tcW w:w="1742" w:type="pct"/>
            <w:vMerge/>
            <w:tcBorders>
              <w:top w:val="nil"/>
              <w:left w:val="nil"/>
              <w:bottom w:val="single" w:sz="8" w:space="0" w:color="000000"/>
              <w:right w:val="nil"/>
            </w:tcBorders>
            <w:vAlign w:val="center"/>
            <w:hideMark/>
          </w:tcPr>
          <w:p w14:paraId="3794A609"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5CB27378"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4504B862" w14:textId="77777777" w:rsidR="00F70638" w:rsidRPr="000363E4" w:rsidRDefault="00F70638" w:rsidP="00045A08">
            <w:pPr>
              <w:jc w:val="center"/>
              <w:rPr>
                <w:color w:val="000000"/>
                <w:sz w:val="20"/>
                <w:szCs w:val="20"/>
              </w:rPr>
            </w:pPr>
            <w:r w:rsidRPr="000363E4">
              <w:rPr>
                <w:color w:val="000000"/>
                <w:sz w:val="20"/>
                <w:szCs w:val="20"/>
              </w:rPr>
              <w:t>0.36</w:t>
            </w:r>
          </w:p>
        </w:tc>
      </w:tr>
      <w:tr w:rsidR="00F70638" w:rsidRPr="000363E4" w14:paraId="68ECCF1B"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29C27B08" w14:textId="77777777" w:rsidR="00F70638" w:rsidRPr="000363E4" w:rsidRDefault="00F70638" w:rsidP="00045A08">
            <w:pPr>
              <w:rPr>
                <w:color w:val="000000"/>
                <w:sz w:val="20"/>
                <w:szCs w:val="20"/>
              </w:rPr>
            </w:pPr>
            <w:proofErr w:type="spellStart"/>
            <w:r w:rsidRPr="000363E4">
              <w:rPr>
                <w:color w:val="000000"/>
                <w:sz w:val="20"/>
                <w:szCs w:val="20"/>
              </w:rPr>
              <w:t>Hippocampus</w:t>
            </w:r>
            <w:proofErr w:type="spellEnd"/>
            <w:r w:rsidRPr="000363E4">
              <w:rPr>
                <w:color w:val="000000"/>
                <w:sz w:val="20"/>
                <w:szCs w:val="20"/>
              </w:rPr>
              <w:t xml:space="preserve">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24F6A7BE"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258DE297" w14:textId="77777777" w:rsidR="00F70638" w:rsidRPr="000363E4" w:rsidRDefault="00F70638" w:rsidP="00045A08">
            <w:pPr>
              <w:jc w:val="center"/>
              <w:rPr>
                <w:color w:val="000000"/>
                <w:sz w:val="20"/>
                <w:szCs w:val="20"/>
              </w:rPr>
            </w:pPr>
            <w:r w:rsidRPr="000363E4">
              <w:rPr>
                <w:color w:val="000000"/>
                <w:sz w:val="20"/>
                <w:szCs w:val="20"/>
              </w:rPr>
              <w:t>0.26 (-0.15 – 0.55)</w:t>
            </w:r>
          </w:p>
        </w:tc>
      </w:tr>
      <w:tr w:rsidR="00F70638" w:rsidRPr="000363E4" w14:paraId="59E6C489" w14:textId="77777777" w:rsidTr="00F70638">
        <w:trPr>
          <w:trHeight w:val="263"/>
        </w:trPr>
        <w:tc>
          <w:tcPr>
            <w:tcW w:w="1742" w:type="pct"/>
            <w:vMerge/>
            <w:tcBorders>
              <w:top w:val="nil"/>
              <w:left w:val="nil"/>
              <w:bottom w:val="single" w:sz="8" w:space="0" w:color="000000"/>
              <w:right w:val="nil"/>
            </w:tcBorders>
            <w:vAlign w:val="center"/>
            <w:hideMark/>
          </w:tcPr>
          <w:p w14:paraId="5FD240CF"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200D24A9"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33442A9B" w14:textId="77777777" w:rsidR="00F70638" w:rsidRPr="000363E4" w:rsidRDefault="00F70638" w:rsidP="00045A08">
            <w:pPr>
              <w:jc w:val="center"/>
              <w:rPr>
                <w:color w:val="000000"/>
                <w:sz w:val="20"/>
                <w:szCs w:val="20"/>
              </w:rPr>
            </w:pPr>
            <w:r w:rsidRPr="000363E4">
              <w:rPr>
                <w:color w:val="000000"/>
                <w:sz w:val="20"/>
                <w:szCs w:val="20"/>
              </w:rPr>
              <w:t>0.18</w:t>
            </w:r>
          </w:p>
        </w:tc>
      </w:tr>
      <w:tr w:rsidR="00F70638" w:rsidRPr="000363E4" w14:paraId="06769767"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050EA340" w14:textId="77777777" w:rsidR="00F70638" w:rsidRPr="000363E4" w:rsidRDefault="00F70638" w:rsidP="00045A08">
            <w:pPr>
              <w:rPr>
                <w:color w:val="000000"/>
                <w:sz w:val="20"/>
                <w:szCs w:val="20"/>
              </w:rPr>
            </w:pPr>
            <w:r w:rsidRPr="000363E4">
              <w:rPr>
                <w:color w:val="000000"/>
                <w:sz w:val="20"/>
                <w:szCs w:val="20"/>
              </w:rPr>
              <w:t>ITG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1D997BCF"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242F7876" w14:textId="77777777" w:rsidR="00F70638" w:rsidRPr="000363E4" w:rsidRDefault="00F70638" w:rsidP="00045A08">
            <w:pPr>
              <w:jc w:val="center"/>
              <w:rPr>
                <w:color w:val="000000"/>
                <w:sz w:val="20"/>
                <w:szCs w:val="20"/>
              </w:rPr>
            </w:pPr>
            <w:r w:rsidRPr="000363E4">
              <w:rPr>
                <w:color w:val="000000"/>
                <w:sz w:val="20"/>
                <w:szCs w:val="20"/>
              </w:rPr>
              <w:t>0.04 (-0.34 – 0.35)</w:t>
            </w:r>
          </w:p>
        </w:tc>
      </w:tr>
      <w:tr w:rsidR="00F70638" w:rsidRPr="000363E4" w14:paraId="089B0089" w14:textId="77777777" w:rsidTr="00F70638">
        <w:trPr>
          <w:trHeight w:val="263"/>
        </w:trPr>
        <w:tc>
          <w:tcPr>
            <w:tcW w:w="1742" w:type="pct"/>
            <w:vMerge/>
            <w:tcBorders>
              <w:top w:val="nil"/>
              <w:left w:val="nil"/>
              <w:bottom w:val="single" w:sz="8" w:space="0" w:color="000000"/>
              <w:right w:val="nil"/>
            </w:tcBorders>
            <w:vAlign w:val="center"/>
            <w:hideMark/>
          </w:tcPr>
          <w:p w14:paraId="0E9B0098"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6B728735"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23B9DABE" w14:textId="77777777" w:rsidR="00F70638" w:rsidRPr="000363E4" w:rsidRDefault="00F70638" w:rsidP="00045A08">
            <w:pPr>
              <w:jc w:val="center"/>
              <w:rPr>
                <w:color w:val="000000"/>
                <w:sz w:val="20"/>
                <w:szCs w:val="20"/>
              </w:rPr>
            </w:pPr>
            <w:r w:rsidRPr="000363E4">
              <w:rPr>
                <w:color w:val="000000"/>
                <w:sz w:val="20"/>
                <w:szCs w:val="20"/>
              </w:rPr>
              <w:t>0.85</w:t>
            </w:r>
          </w:p>
        </w:tc>
      </w:tr>
      <w:tr w:rsidR="00F70638" w:rsidRPr="000363E4" w14:paraId="2400CC94"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3D703973" w14:textId="77777777" w:rsidR="00F70638" w:rsidRPr="000363E4" w:rsidRDefault="00F70638" w:rsidP="00045A08">
            <w:pPr>
              <w:rPr>
                <w:color w:val="000000"/>
                <w:sz w:val="20"/>
                <w:szCs w:val="20"/>
              </w:rPr>
            </w:pPr>
            <w:r w:rsidRPr="000363E4">
              <w:rPr>
                <w:color w:val="000000"/>
                <w:sz w:val="20"/>
                <w:szCs w:val="20"/>
              </w:rPr>
              <w:t>PCC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1558B4AA"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0717A6F7" w14:textId="77777777" w:rsidR="00F70638" w:rsidRPr="000363E4" w:rsidRDefault="00F70638" w:rsidP="00045A08">
            <w:pPr>
              <w:jc w:val="center"/>
              <w:rPr>
                <w:color w:val="000000"/>
                <w:sz w:val="20"/>
                <w:szCs w:val="20"/>
              </w:rPr>
            </w:pPr>
            <w:r w:rsidRPr="000363E4">
              <w:rPr>
                <w:color w:val="000000"/>
                <w:sz w:val="20"/>
                <w:szCs w:val="20"/>
              </w:rPr>
              <w:t>0.22 (-0.20 – 0.59)</w:t>
            </w:r>
          </w:p>
        </w:tc>
      </w:tr>
      <w:tr w:rsidR="00F70638" w:rsidRPr="000363E4" w14:paraId="486D80EB" w14:textId="77777777" w:rsidTr="00F70638">
        <w:trPr>
          <w:trHeight w:val="263"/>
        </w:trPr>
        <w:tc>
          <w:tcPr>
            <w:tcW w:w="1742" w:type="pct"/>
            <w:vMerge/>
            <w:tcBorders>
              <w:top w:val="nil"/>
              <w:left w:val="nil"/>
              <w:bottom w:val="single" w:sz="8" w:space="0" w:color="000000"/>
              <w:right w:val="nil"/>
            </w:tcBorders>
            <w:vAlign w:val="center"/>
            <w:hideMark/>
          </w:tcPr>
          <w:p w14:paraId="4DB4FDB1"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3375446C"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34CEA3E6" w14:textId="77777777" w:rsidR="00F70638" w:rsidRPr="000363E4" w:rsidRDefault="00F70638" w:rsidP="00045A08">
            <w:pPr>
              <w:jc w:val="center"/>
              <w:rPr>
                <w:color w:val="000000"/>
                <w:sz w:val="20"/>
                <w:szCs w:val="20"/>
              </w:rPr>
            </w:pPr>
            <w:r w:rsidRPr="000363E4">
              <w:rPr>
                <w:color w:val="000000"/>
                <w:sz w:val="20"/>
                <w:szCs w:val="20"/>
              </w:rPr>
              <w:t>0.25</w:t>
            </w:r>
          </w:p>
        </w:tc>
      </w:tr>
      <w:tr w:rsidR="00F70638" w:rsidRPr="000363E4" w14:paraId="4AFD4F5F"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2BF78419" w14:textId="77777777" w:rsidR="00F70638" w:rsidRPr="000363E4" w:rsidRDefault="00F70638" w:rsidP="00045A08">
            <w:pPr>
              <w:rPr>
                <w:color w:val="000000"/>
                <w:sz w:val="20"/>
                <w:szCs w:val="20"/>
              </w:rPr>
            </w:pPr>
            <w:proofErr w:type="spellStart"/>
            <w:r w:rsidRPr="000363E4">
              <w:rPr>
                <w:color w:val="000000"/>
                <w:sz w:val="20"/>
                <w:szCs w:val="20"/>
              </w:rPr>
              <w:t>Precuneus</w:t>
            </w:r>
            <w:proofErr w:type="spellEnd"/>
            <w:r w:rsidRPr="000363E4">
              <w:rPr>
                <w:color w:val="000000"/>
                <w:sz w:val="20"/>
                <w:szCs w:val="20"/>
              </w:rPr>
              <w:t xml:space="preserve">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51938CEC"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24920B69" w14:textId="77777777" w:rsidR="00F70638" w:rsidRPr="000363E4" w:rsidRDefault="00F70638" w:rsidP="00045A08">
            <w:pPr>
              <w:jc w:val="center"/>
              <w:rPr>
                <w:color w:val="000000"/>
                <w:sz w:val="20"/>
                <w:szCs w:val="20"/>
              </w:rPr>
            </w:pPr>
            <w:r w:rsidRPr="000363E4">
              <w:rPr>
                <w:color w:val="000000"/>
                <w:sz w:val="20"/>
                <w:szCs w:val="20"/>
              </w:rPr>
              <w:t>-0.13 (-0.53 – 0.32)</w:t>
            </w:r>
          </w:p>
        </w:tc>
      </w:tr>
      <w:tr w:rsidR="00F70638" w:rsidRPr="000363E4" w14:paraId="44586BD6" w14:textId="77777777" w:rsidTr="00F70638">
        <w:trPr>
          <w:trHeight w:val="263"/>
        </w:trPr>
        <w:tc>
          <w:tcPr>
            <w:tcW w:w="1742" w:type="pct"/>
            <w:vMerge/>
            <w:tcBorders>
              <w:top w:val="nil"/>
              <w:left w:val="nil"/>
              <w:bottom w:val="single" w:sz="8" w:space="0" w:color="000000"/>
              <w:right w:val="nil"/>
            </w:tcBorders>
            <w:vAlign w:val="center"/>
            <w:hideMark/>
          </w:tcPr>
          <w:p w14:paraId="72DABB7C"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4C578B4B"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558790D7" w14:textId="77777777" w:rsidR="00F70638" w:rsidRPr="000363E4" w:rsidRDefault="00F70638" w:rsidP="00045A08">
            <w:pPr>
              <w:jc w:val="center"/>
              <w:rPr>
                <w:color w:val="000000"/>
                <w:sz w:val="20"/>
                <w:szCs w:val="20"/>
              </w:rPr>
            </w:pPr>
            <w:r w:rsidRPr="000363E4">
              <w:rPr>
                <w:color w:val="000000"/>
                <w:sz w:val="20"/>
                <w:szCs w:val="20"/>
              </w:rPr>
              <w:t>0.52</w:t>
            </w:r>
          </w:p>
        </w:tc>
      </w:tr>
      <w:tr w:rsidR="00F70638" w:rsidRPr="000363E4" w14:paraId="7C0E2E07" w14:textId="77777777" w:rsidTr="00F70638">
        <w:trPr>
          <w:trHeight w:val="248"/>
        </w:trPr>
        <w:tc>
          <w:tcPr>
            <w:tcW w:w="1742" w:type="pct"/>
            <w:vMerge w:val="restart"/>
            <w:tcBorders>
              <w:top w:val="nil"/>
              <w:left w:val="nil"/>
              <w:bottom w:val="single" w:sz="8" w:space="0" w:color="000000"/>
              <w:right w:val="nil"/>
            </w:tcBorders>
            <w:shd w:val="clear" w:color="auto" w:fill="auto"/>
            <w:noWrap/>
            <w:vAlign w:val="center"/>
            <w:hideMark/>
          </w:tcPr>
          <w:p w14:paraId="0F2DCCD5" w14:textId="77777777" w:rsidR="00F70638" w:rsidRPr="000363E4" w:rsidRDefault="00F70638" w:rsidP="00045A08">
            <w:pPr>
              <w:rPr>
                <w:color w:val="000000"/>
                <w:sz w:val="20"/>
                <w:szCs w:val="20"/>
              </w:rPr>
            </w:pPr>
            <w:r w:rsidRPr="000363E4">
              <w:rPr>
                <w:color w:val="000000"/>
                <w:sz w:val="20"/>
                <w:szCs w:val="20"/>
              </w:rPr>
              <w:t>SFG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6B17C3EB"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09C40596" w14:textId="77777777" w:rsidR="00F70638" w:rsidRPr="000363E4" w:rsidRDefault="00F70638" w:rsidP="00045A08">
            <w:pPr>
              <w:jc w:val="center"/>
              <w:rPr>
                <w:color w:val="000000"/>
                <w:sz w:val="20"/>
                <w:szCs w:val="20"/>
              </w:rPr>
            </w:pPr>
            <w:r w:rsidRPr="000363E4">
              <w:rPr>
                <w:color w:val="000000"/>
                <w:sz w:val="20"/>
                <w:szCs w:val="20"/>
              </w:rPr>
              <w:t>0.02 (-0.39 – 0.47)</w:t>
            </w:r>
          </w:p>
        </w:tc>
      </w:tr>
      <w:tr w:rsidR="00F70638" w:rsidRPr="000363E4" w14:paraId="6E66C733" w14:textId="77777777" w:rsidTr="00F70638">
        <w:trPr>
          <w:trHeight w:val="263"/>
        </w:trPr>
        <w:tc>
          <w:tcPr>
            <w:tcW w:w="1742" w:type="pct"/>
            <w:vMerge/>
            <w:tcBorders>
              <w:top w:val="nil"/>
              <w:left w:val="nil"/>
              <w:bottom w:val="single" w:sz="8" w:space="0" w:color="000000"/>
              <w:right w:val="nil"/>
            </w:tcBorders>
            <w:vAlign w:val="center"/>
            <w:hideMark/>
          </w:tcPr>
          <w:p w14:paraId="4708B5A2" w14:textId="77777777" w:rsidR="00F70638" w:rsidRPr="000363E4" w:rsidRDefault="00F70638" w:rsidP="00045A08">
            <w:pPr>
              <w:rPr>
                <w:color w:val="000000"/>
                <w:sz w:val="20"/>
                <w:szCs w:val="20"/>
              </w:rPr>
            </w:pPr>
          </w:p>
        </w:tc>
        <w:tc>
          <w:tcPr>
            <w:tcW w:w="1025" w:type="pct"/>
            <w:tcBorders>
              <w:top w:val="nil"/>
              <w:left w:val="nil"/>
              <w:bottom w:val="single" w:sz="8" w:space="0" w:color="auto"/>
              <w:right w:val="nil"/>
            </w:tcBorders>
            <w:shd w:val="clear" w:color="auto" w:fill="auto"/>
            <w:noWrap/>
            <w:vAlign w:val="center"/>
            <w:hideMark/>
          </w:tcPr>
          <w:p w14:paraId="342CE1B1"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8" w:space="0" w:color="auto"/>
              <w:right w:val="nil"/>
            </w:tcBorders>
            <w:shd w:val="clear" w:color="auto" w:fill="auto"/>
            <w:noWrap/>
            <w:vAlign w:val="center"/>
            <w:hideMark/>
          </w:tcPr>
          <w:p w14:paraId="38DB14F9" w14:textId="77777777" w:rsidR="00F70638" w:rsidRPr="000363E4" w:rsidRDefault="00F70638" w:rsidP="00045A08">
            <w:pPr>
              <w:jc w:val="center"/>
              <w:rPr>
                <w:color w:val="000000"/>
                <w:sz w:val="20"/>
                <w:szCs w:val="20"/>
              </w:rPr>
            </w:pPr>
            <w:r w:rsidRPr="000363E4">
              <w:rPr>
                <w:color w:val="000000"/>
                <w:sz w:val="20"/>
                <w:szCs w:val="20"/>
              </w:rPr>
              <w:t>0.92</w:t>
            </w:r>
          </w:p>
        </w:tc>
      </w:tr>
      <w:tr w:rsidR="00F70638" w:rsidRPr="000363E4" w14:paraId="75ECDE5F" w14:textId="77777777" w:rsidTr="00F70638">
        <w:trPr>
          <w:trHeight w:val="248"/>
        </w:trPr>
        <w:tc>
          <w:tcPr>
            <w:tcW w:w="1742" w:type="pct"/>
            <w:vMerge w:val="restart"/>
            <w:tcBorders>
              <w:top w:val="nil"/>
              <w:left w:val="nil"/>
              <w:bottom w:val="single" w:sz="12" w:space="0" w:color="000000"/>
              <w:right w:val="nil"/>
            </w:tcBorders>
            <w:shd w:val="clear" w:color="auto" w:fill="auto"/>
            <w:noWrap/>
            <w:vAlign w:val="center"/>
            <w:hideMark/>
          </w:tcPr>
          <w:p w14:paraId="77F4E1DD" w14:textId="77777777" w:rsidR="00F70638" w:rsidRPr="000363E4" w:rsidRDefault="00F70638" w:rsidP="00045A08">
            <w:pPr>
              <w:rPr>
                <w:color w:val="000000"/>
                <w:sz w:val="20"/>
                <w:szCs w:val="20"/>
              </w:rPr>
            </w:pPr>
            <w:r w:rsidRPr="000363E4">
              <w:rPr>
                <w:color w:val="000000"/>
                <w:sz w:val="20"/>
                <w:szCs w:val="20"/>
              </w:rPr>
              <w:t>SMG volume (mm</w:t>
            </w:r>
            <w:r w:rsidRPr="000363E4">
              <w:rPr>
                <w:color w:val="000000"/>
                <w:sz w:val="20"/>
                <w:szCs w:val="20"/>
                <w:vertAlign w:val="superscript"/>
              </w:rPr>
              <w:t>3</w:t>
            </w:r>
            <w:r w:rsidRPr="000363E4">
              <w:rPr>
                <w:color w:val="000000"/>
                <w:sz w:val="20"/>
                <w:szCs w:val="20"/>
              </w:rPr>
              <w:t>)</w:t>
            </w:r>
          </w:p>
        </w:tc>
        <w:tc>
          <w:tcPr>
            <w:tcW w:w="1025" w:type="pct"/>
            <w:tcBorders>
              <w:top w:val="nil"/>
              <w:left w:val="nil"/>
              <w:bottom w:val="nil"/>
              <w:right w:val="nil"/>
            </w:tcBorders>
            <w:shd w:val="clear" w:color="auto" w:fill="auto"/>
            <w:noWrap/>
            <w:vAlign w:val="center"/>
            <w:hideMark/>
          </w:tcPr>
          <w:p w14:paraId="0889E2AF" w14:textId="77777777" w:rsidR="00F70638" w:rsidRPr="000363E4" w:rsidRDefault="00F70638" w:rsidP="00045A08">
            <w:pPr>
              <w:rPr>
                <w:color w:val="000000"/>
                <w:sz w:val="20"/>
                <w:szCs w:val="20"/>
              </w:rPr>
            </w:pPr>
            <w:r w:rsidRPr="000363E4">
              <w:rPr>
                <w:color w:val="000000"/>
                <w:sz w:val="20"/>
                <w:szCs w:val="20"/>
              </w:rPr>
              <w:t>r (95% CI)</w:t>
            </w:r>
          </w:p>
        </w:tc>
        <w:tc>
          <w:tcPr>
            <w:tcW w:w="2233" w:type="pct"/>
            <w:tcBorders>
              <w:top w:val="nil"/>
              <w:left w:val="nil"/>
              <w:bottom w:val="nil"/>
              <w:right w:val="nil"/>
            </w:tcBorders>
            <w:shd w:val="clear" w:color="auto" w:fill="auto"/>
            <w:noWrap/>
            <w:vAlign w:val="center"/>
            <w:hideMark/>
          </w:tcPr>
          <w:p w14:paraId="2CCA0FBE" w14:textId="77777777" w:rsidR="00F70638" w:rsidRPr="000363E4" w:rsidRDefault="00F70638" w:rsidP="00045A08">
            <w:pPr>
              <w:jc w:val="center"/>
              <w:rPr>
                <w:color w:val="000000"/>
                <w:sz w:val="20"/>
                <w:szCs w:val="20"/>
              </w:rPr>
            </w:pPr>
            <w:r w:rsidRPr="000363E4">
              <w:rPr>
                <w:color w:val="000000"/>
                <w:sz w:val="20"/>
                <w:szCs w:val="20"/>
              </w:rPr>
              <w:t>0.09 (-0.32 – 0.53)</w:t>
            </w:r>
          </w:p>
        </w:tc>
      </w:tr>
      <w:tr w:rsidR="00F70638" w:rsidRPr="000363E4" w14:paraId="437EDC7C" w14:textId="77777777" w:rsidTr="00F70638">
        <w:trPr>
          <w:trHeight w:val="263"/>
        </w:trPr>
        <w:tc>
          <w:tcPr>
            <w:tcW w:w="1742" w:type="pct"/>
            <w:vMerge/>
            <w:tcBorders>
              <w:top w:val="nil"/>
              <w:left w:val="nil"/>
              <w:bottom w:val="single" w:sz="12" w:space="0" w:color="000000"/>
              <w:right w:val="nil"/>
            </w:tcBorders>
            <w:vAlign w:val="center"/>
            <w:hideMark/>
          </w:tcPr>
          <w:p w14:paraId="1B1BE21E" w14:textId="77777777" w:rsidR="00F70638" w:rsidRPr="000363E4" w:rsidRDefault="00F70638" w:rsidP="00045A08">
            <w:pPr>
              <w:rPr>
                <w:color w:val="000000"/>
                <w:sz w:val="20"/>
                <w:szCs w:val="20"/>
              </w:rPr>
            </w:pPr>
          </w:p>
        </w:tc>
        <w:tc>
          <w:tcPr>
            <w:tcW w:w="1025" w:type="pct"/>
            <w:tcBorders>
              <w:top w:val="nil"/>
              <w:left w:val="nil"/>
              <w:bottom w:val="single" w:sz="12" w:space="0" w:color="auto"/>
              <w:right w:val="nil"/>
            </w:tcBorders>
            <w:shd w:val="clear" w:color="auto" w:fill="auto"/>
            <w:noWrap/>
            <w:vAlign w:val="center"/>
            <w:hideMark/>
          </w:tcPr>
          <w:p w14:paraId="17BE5944" w14:textId="77777777" w:rsidR="00F70638" w:rsidRPr="000363E4" w:rsidRDefault="00F70638" w:rsidP="00045A08">
            <w:pPr>
              <w:rPr>
                <w:color w:val="000000"/>
                <w:sz w:val="20"/>
                <w:szCs w:val="20"/>
              </w:rPr>
            </w:pPr>
            <w:r w:rsidRPr="000363E4">
              <w:rPr>
                <w:color w:val="000000"/>
                <w:sz w:val="20"/>
                <w:szCs w:val="20"/>
              </w:rPr>
              <w:t>p-value</w:t>
            </w:r>
          </w:p>
        </w:tc>
        <w:tc>
          <w:tcPr>
            <w:tcW w:w="2233" w:type="pct"/>
            <w:tcBorders>
              <w:top w:val="nil"/>
              <w:left w:val="nil"/>
              <w:bottom w:val="single" w:sz="12" w:space="0" w:color="auto"/>
              <w:right w:val="nil"/>
            </w:tcBorders>
            <w:shd w:val="clear" w:color="auto" w:fill="auto"/>
            <w:noWrap/>
            <w:vAlign w:val="center"/>
            <w:hideMark/>
          </w:tcPr>
          <w:p w14:paraId="7C733A4D" w14:textId="77777777" w:rsidR="00F70638" w:rsidRPr="000363E4" w:rsidRDefault="00F70638" w:rsidP="00045A08">
            <w:pPr>
              <w:jc w:val="center"/>
              <w:rPr>
                <w:color w:val="000000"/>
                <w:sz w:val="20"/>
                <w:szCs w:val="20"/>
              </w:rPr>
            </w:pPr>
            <w:r w:rsidRPr="000363E4">
              <w:rPr>
                <w:color w:val="000000"/>
                <w:sz w:val="20"/>
                <w:szCs w:val="20"/>
              </w:rPr>
              <w:t>0.65</w:t>
            </w:r>
          </w:p>
        </w:tc>
      </w:tr>
    </w:tbl>
    <w:p w14:paraId="2E054AA6" w14:textId="77777777" w:rsidR="006B36B1" w:rsidRDefault="006B36B1" w:rsidP="006B36B1">
      <w:pPr>
        <w:jc w:val="both"/>
        <w:rPr>
          <w:color w:val="000000"/>
          <w:lang w:val="en-US"/>
        </w:rPr>
      </w:pPr>
    </w:p>
    <w:p w14:paraId="4E2D734D" w14:textId="54AAE7FF" w:rsidR="00780B81" w:rsidRPr="006B36B1" w:rsidRDefault="006B36B1" w:rsidP="006B36B1">
      <w:pPr>
        <w:spacing w:line="360" w:lineRule="auto"/>
        <w:jc w:val="both"/>
        <w:rPr>
          <w:color w:val="000000"/>
          <w:lang w:val="en-US"/>
        </w:rPr>
      </w:pPr>
      <w:r w:rsidRPr="006B36B1">
        <w:rPr>
          <w:color w:val="000000"/>
          <w:lang w:val="en-US"/>
        </w:rPr>
        <w:lastRenderedPageBreak/>
        <w:t xml:space="preserve">Table showing the result of partial correlations between the volume of control regions </w:t>
      </w:r>
      <w:r w:rsidR="004B0652">
        <w:rPr>
          <w:color w:val="000000"/>
          <w:lang w:val="en-US"/>
        </w:rPr>
        <w:t xml:space="preserve">and </w:t>
      </w:r>
      <w:r w:rsidRPr="006B36B1">
        <w:rPr>
          <w:color w:val="000000"/>
          <w:lang w:val="en-US"/>
        </w:rPr>
        <w:t xml:space="preserve">REM sleep percentage, controlling for age, sex and the TIV. Results in bold are significant at the p&lt;0.05 (uncorrected) </w:t>
      </w:r>
      <w:r w:rsidRPr="00780B81">
        <w:rPr>
          <w:color w:val="000000"/>
          <w:lang w:val="en-US"/>
        </w:rPr>
        <w:t>level.</w:t>
      </w:r>
      <w:r w:rsidR="00780B81" w:rsidRPr="00780B81">
        <w:rPr>
          <w:color w:val="000000"/>
          <w:lang w:val="en-US"/>
        </w:rPr>
        <w:t xml:space="preserve"> Confidence intervals are based on 1000 bootstrap replicates.</w:t>
      </w:r>
    </w:p>
    <w:p w14:paraId="042E0C0B" w14:textId="77777777" w:rsidR="006B36B1" w:rsidRPr="006B36B1" w:rsidRDefault="006B36B1" w:rsidP="006B36B1">
      <w:pPr>
        <w:spacing w:line="360" w:lineRule="auto"/>
        <w:jc w:val="both"/>
        <w:rPr>
          <w:color w:val="000000"/>
          <w:lang w:val="en-US"/>
        </w:rPr>
      </w:pPr>
      <w:r w:rsidRPr="006B36B1">
        <w:rPr>
          <w:color w:val="000000"/>
          <w:u w:val="single"/>
          <w:lang w:val="en-US"/>
        </w:rPr>
        <w:t>Abbreviations</w:t>
      </w:r>
      <w:r w:rsidRPr="006B36B1">
        <w:rPr>
          <w:color w:val="000000"/>
          <w:lang w:val="en-US"/>
        </w:rPr>
        <w:t xml:space="preserve">: ACC, anterior cingulate cortex; BF, basal forebrain; Ch4, nucleus basalis of </w:t>
      </w:r>
      <w:proofErr w:type="spellStart"/>
      <w:r w:rsidRPr="006B36B1">
        <w:rPr>
          <w:color w:val="000000"/>
          <w:lang w:val="en-US"/>
        </w:rPr>
        <w:t>Meynert</w:t>
      </w:r>
      <w:proofErr w:type="spellEnd"/>
      <w:r w:rsidRPr="006B36B1">
        <w:rPr>
          <w:color w:val="000000"/>
          <w:lang w:val="en-US"/>
        </w:rPr>
        <w:t>; GMV, gray matter volume; ITG, inferior temporal gyrus; PCC, posterior cingulate cortex; REM, rapid eye movement; SFG, superior frontal gyrus; SMG, supramarginal gyrus.</w:t>
      </w:r>
    </w:p>
    <w:p w14:paraId="083D97A9" w14:textId="77777777" w:rsidR="006B36B1" w:rsidRPr="006B36B1" w:rsidRDefault="006B36B1" w:rsidP="006B36B1">
      <w:pPr>
        <w:spacing w:line="276" w:lineRule="auto"/>
        <w:jc w:val="both"/>
        <w:rPr>
          <w:lang w:val="en-US"/>
        </w:rPr>
      </w:pPr>
    </w:p>
    <w:sectPr w:rsidR="006B36B1" w:rsidRPr="006B36B1" w:rsidSect="00685547">
      <w:footerReference w:type="default" r:id="rId11"/>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CD6A7" w14:textId="77777777" w:rsidR="00662952" w:rsidRDefault="00662952" w:rsidP="003469EA">
      <w:r>
        <w:separator/>
      </w:r>
    </w:p>
  </w:endnote>
  <w:endnote w:type="continuationSeparator" w:id="0">
    <w:p w14:paraId="16C5C884" w14:textId="77777777" w:rsidR="00662952" w:rsidRDefault="00662952" w:rsidP="00346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rade Gothic LT Std">
    <w:altName w:val="Cambria"/>
    <w:panose1 w:val="020B0604020202020204"/>
    <w:charset w:val="00"/>
    <w:family w:val="swiss"/>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432156"/>
      <w:docPartObj>
        <w:docPartGallery w:val="Page Numbers (Bottom of Page)"/>
        <w:docPartUnique/>
      </w:docPartObj>
    </w:sdtPr>
    <w:sdtContent>
      <w:p w14:paraId="5A36D8E2" w14:textId="4639F2A1" w:rsidR="00E62BE9" w:rsidRDefault="00E62BE9">
        <w:pPr>
          <w:pStyle w:val="Pieddepage"/>
          <w:jc w:val="right"/>
        </w:pPr>
        <w:r>
          <w:fldChar w:fldCharType="begin"/>
        </w:r>
        <w:r>
          <w:instrText>PAGE   \* MERGEFORMAT</w:instrText>
        </w:r>
        <w:r>
          <w:fldChar w:fldCharType="separate"/>
        </w:r>
        <w:r w:rsidR="00D2698C">
          <w:rPr>
            <w:noProof/>
          </w:rPr>
          <w:t>23</w:t>
        </w:r>
        <w:r>
          <w:fldChar w:fldCharType="end"/>
        </w:r>
      </w:p>
    </w:sdtContent>
  </w:sdt>
  <w:p w14:paraId="638262A8" w14:textId="77777777" w:rsidR="00E62BE9" w:rsidRDefault="00E62B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0A28F" w14:textId="77777777" w:rsidR="00662952" w:rsidRDefault="00662952" w:rsidP="003469EA">
      <w:r>
        <w:separator/>
      </w:r>
    </w:p>
  </w:footnote>
  <w:footnote w:type="continuationSeparator" w:id="0">
    <w:p w14:paraId="43AB29E5" w14:textId="77777777" w:rsidR="00662952" w:rsidRDefault="00662952" w:rsidP="00346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37284"/>
    <w:multiLevelType w:val="hybridMultilevel"/>
    <w:tmpl w:val="13FC329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501500A4"/>
    <w:multiLevelType w:val="hybridMultilevel"/>
    <w:tmpl w:val="A6E65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4F756DD"/>
    <w:multiLevelType w:val="hybridMultilevel"/>
    <w:tmpl w:val="2A1260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5A1938AA"/>
    <w:multiLevelType w:val="hybridMultilevel"/>
    <w:tmpl w:val="321001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517889"/>
    <w:multiLevelType w:val="hybridMultilevel"/>
    <w:tmpl w:val="03FE84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620E034D"/>
    <w:multiLevelType w:val="hybridMultilevel"/>
    <w:tmpl w:val="7F78B6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73839075">
    <w:abstractNumId w:val="4"/>
  </w:num>
  <w:num w:numId="2" w16cid:durableId="1922761927">
    <w:abstractNumId w:val="0"/>
  </w:num>
  <w:num w:numId="3" w16cid:durableId="698164492">
    <w:abstractNumId w:val="5"/>
  </w:num>
  <w:num w:numId="4" w16cid:durableId="1666474084">
    <w:abstractNumId w:val="2"/>
  </w:num>
  <w:num w:numId="5" w16cid:durableId="1345281900">
    <w:abstractNumId w:val="1"/>
  </w:num>
  <w:num w:numId="6" w16cid:durableId="161605442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CA"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72A"/>
    <w:rsid w:val="00000394"/>
    <w:rsid w:val="0000134F"/>
    <w:rsid w:val="0000143F"/>
    <w:rsid w:val="0000167C"/>
    <w:rsid w:val="000019F7"/>
    <w:rsid w:val="0000207A"/>
    <w:rsid w:val="00002480"/>
    <w:rsid w:val="00002E43"/>
    <w:rsid w:val="00003491"/>
    <w:rsid w:val="00004220"/>
    <w:rsid w:val="00004363"/>
    <w:rsid w:val="000046CF"/>
    <w:rsid w:val="000047A1"/>
    <w:rsid w:val="00005019"/>
    <w:rsid w:val="000056F7"/>
    <w:rsid w:val="00005BA6"/>
    <w:rsid w:val="00005CC8"/>
    <w:rsid w:val="00006004"/>
    <w:rsid w:val="00006CCE"/>
    <w:rsid w:val="00006D85"/>
    <w:rsid w:val="00007584"/>
    <w:rsid w:val="00010D50"/>
    <w:rsid w:val="00011003"/>
    <w:rsid w:val="000111F7"/>
    <w:rsid w:val="000113BA"/>
    <w:rsid w:val="0001170C"/>
    <w:rsid w:val="00011893"/>
    <w:rsid w:val="0001202C"/>
    <w:rsid w:val="00012902"/>
    <w:rsid w:val="00013720"/>
    <w:rsid w:val="000137D1"/>
    <w:rsid w:val="00013D28"/>
    <w:rsid w:val="00014207"/>
    <w:rsid w:val="00014876"/>
    <w:rsid w:val="00014D07"/>
    <w:rsid w:val="00014E71"/>
    <w:rsid w:val="00014FC0"/>
    <w:rsid w:val="00015118"/>
    <w:rsid w:val="0001581F"/>
    <w:rsid w:val="00015D0D"/>
    <w:rsid w:val="00016156"/>
    <w:rsid w:val="0001628C"/>
    <w:rsid w:val="000165FE"/>
    <w:rsid w:val="00016A7D"/>
    <w:rsid w:val="00016D0F"/>
    <w:rsid w:val="000173F6"/>
    <w:rsid w:val="000174D1"/>
    <w:rsid w:val="00017553"/>
    <w:rsid w:val="00017DFB"/>
    <w:rsid w:val="00017F47"/>
    <w:rsid w:val="00020296"/>
    <w:rsid w:val="00020779"/>
    <w:rsid w:val="00020DEE"/>
    <w:rsid w:val="0002190C"/>
    <w:rsid w:val="00021AFE"/>
    <w:rsid w:val="00021CAA"/>
    <w:rsid w:val="00021F60"/>
    <w:rsid w:val="00021F96"/>
    <w:rsid w:val="00023060"/>
    <w:rsid w:val="00023BFD"/>
    <w:rsid w:val="000241E3"/>
    <w:rsid w:val="00024989"/>
    <w:rsid w:val="000250A3"/>
    <w:rsid w:val="000251CB"/>
    <w:rsid w:val="00025550"/>
    <w:rsid w:val="00026005"/>
    <w:rsid w:val="00026173"/>
    <w:rsid w:val="00026719"/>
    <w:rsid w:val="000269FB"/>
    <w:rsid w:val="00026A5C"/>
    <w:rsid w:val="000273F9"/>
    <w:rsid w:val="000279B7"/>
    <w:rsid w:val="00027BA4"/>
    <w:rsid w:val="0003001E"/>
    <w:rsid w:val="0003016C"/>
    <w:rsid w:val="000301D7"/>
    <w:rsid w:val="000304B8"/>
    <w:rsid w:val="00030553"/>
    <w:rsid w:val="00030694"/>
    <w:rsid w:val="00030E29"/>
    <w:rsid w:val="00031952"/>
    <w:rsid w:val="00031B3E"/>
    <w:rsid w:val="00031EAB"/>
    <w:rsid w:val="00031ED8"/>
    <w:rsid w:val="0003211F"/>
    <w:rsid w:val="0003234B"/>
    <w:rsid w:val="000323C1"/>
    <w:rsid w:val="00032EC3"/>
    <w:rsid w:val="0003308D"/>
    <w:rsid w:val="000333C5"/>
    <w:rsid w:val="0003389B"/>
    <w:rsid w:val="0003423A"/>
    <w:rsid w:val="000343A7"/>
    <w:rsid w:val="00034850"/>
    <w:rsid w:val="00035788"/>
    <w:rsid w:val="00035A10"/>
    <w:rsid w:val="00036BDE"/>
    <w:rsid w:val="00036C86"/>
    <w:rsid w:val="00036DBE"/>
    <w:rsid w:val="0003772B"/>
    <w:rsid w:val="000377B0"/>
    <w:rsid w:val="00040524"/>
    <w:rsid w:val="00040B2A"/>
    <w:rsid w:val="00040B34"/>
    <w:rsid w:val="00040F0C"/>
    <w:rsid w:val="00040F5F"/>
    <w:rsid w:val="000414C7"/>
    <w:rsid w:val="00041BB9"/>
    <w:rsid w:val="00042383"/>
    <w:rsid w:val="0004291F"/>
    <w:rsid w:val="00042A01"/>
    <w:rsid w:val="00042B1D"/>
    <w:rsid w:val="00042BDE"/>
    <w:rsid w:val="00042F83"/>
    <w:rsid w:val="00042FEA"/>
    <w:rsid w:val="00043470"/>
    <w:rsid w:val="000436C1"/>
    <w:rsid w:val="00043719"/>
    <w:rsid w:val="0004383E"/>
    <w:rsid w:val="000445D3"/>
    <w:rsid w:val="00045FF5"/>
    <w:rsid w:val="00046289"/>
    <w:rsid w:val="0004642D"/>
    <w:rsid w:val="000468C3"/>
    <w:rsid w:val="00046AF4"/>
    <w:rsid w:val="00046D43"/>
    <w:rsid w:val="00046E5C"/>
    <w:rsid w:val="0004700F"/>
    <w:rsid w:val="000471B3"/>
    <w:rsid w:val="00047DE6"/>
    <w:rsid w:val="0005038A"/>
    <w:rsid w:val="00050CC7"/>
    <w:rsid w:val="00050FFE"/>
    <w:rsid w:val="000510B0"/>
    <w:rsid w:val="00051932"/>
    <w:rsid w:val="00051A7F"/>
    <w:rsid w:val="0005200F"/>
    <w:rsid w:val="00052119"/>
    <w:rsid w:val="000523A7"/>
    <w:rsid w:val="000526CC"/>
    <w:rsid w:val="00052902"/>
    <w:rsid w:val="00052CA3"/>
    <w:rsid w:val="00052CDD"/>
    <w:rsid w:val="00052FF5"/>
    <w:rsid w:val="000531F6"/>
    <w:rsid w:val="0005379D"/>
    <w:rsid w:val="0005385A"/>
    <w:rsid w:val="00053CBC"/>
    <w:rsid w:val="00054492"/>
    <w:rsid w:val="000544E7"/>
    <w:rsid w:val="00054A02"/>
    <w:rsid w:val="0005511F"/>
    <w:rsid w:val="000552DB"/>
    <w:rsid w:val="0005536D"/>
    <w:rsid w:val="0005559B"/>
    <w:rsid w:val="000558B1"/>
    <w:rsid w:val="000558C3"/>
    <w:rsid w:val="00055C79"/>
    <w:rsid w:val="00056052"/>
    <w:rsid w:val="000560E5"/>
    <w:rsid w:val="0005643C"/>
    <w:rsid w:val="00056581"/>
    <w:rsid w:val="000569FA"/>
    <w:rsid w:val="00056C9B"/>
    <w:rsid w:val="00056E77"/>
    <w:rsid w:val="00057511"/>
    <w:rsid w:val="00057901"/>
    <w:rsid w:val="00057DDC"/>
    <w:rsid w:val="000603CE"/>
    <w:rsid w:val="0006098F"/>
    <w:rsid w:val="00060E34"/>
    <w:rsid w:val="00060F8D"/>
    <w:rsid w:val="000613AE"/>
    <w:rsid w:val="00062063"/>
    <w:rsid w:val="00062662"/>
    <w:rsid w:val="0006301D"/>
    <w:rsid w:val="00063393"/>
    <w:rsid w:val="000636CF"/>
    <w:rsid w:val="0006372C"/>
    <w:rsid w:val="0006375D"/>
    <w:rsid w:val="00063863"/>
    <w:rsid w:val="000638DD"/>
    <w:rsid w:val="000639FC"/>
    <w:rsid w:val="00063DA1"/>
    <w:rsid w:val="00064076"/>
    <w:rsid w:val="00064414"/>
    <w:rsid w:val="000649BB"/>
    <w:rsid w:val="000649EA"/>
    <w:rsid w:val="00064D9B"/>
    <w:rsid w:val="00064E4A"/>
    <w:rsid w:val="00064EA2"/>
    <w:rsid w:val="000656D5"/>
    <w:rsid w:val="0006578A"/>
    <w:rsid w:val="00065912"/>
    <w:rsid w:val="00065AC6"/>
    <w:rsid w:val="00066B8E"/>
    <w:rsid w:val="00066D38"/>
    <w:rsid w:val="0006769A"/>
    <w:rsid w:val="000676FF"/>
    <w:rsid w:val="0006783E"/>
    <w:rsid w:val="00067A08"/>
    <w:rsid w:val="00067AB6"/>
    <w:rsid w:val="00067DF7"/>
    <w:rsid w:val="00067F3F"/>
    <w:rsid w:val="00067FD9"/>
    <w:rsid w:val="00070C81"/>
    <w:rsid w:val="00070D24"/>
    <w:rsid w:val="00070E3F"/>
    <w:rsid w:val="00071453"/>
    <w:rsid w:val="0007164C"/>
    <w:rsid w:val="000716AD"/>
    <w:rsid w:val="00071B04"/>
    <w:rsid w:val="0007209A"/>
    <w:rsid w:val="00072281"/>
    <w:rsid w:val="000723C2"/>
    <w:rsid w:val="0007273D"/>
    <w:rsid w:val="00072EB5"/>
    <w:rsid w:val="000745D4"/>
    <w:rsid w:val="0007486A"/>
    <w:rsid w:val="000750D2"/>
    <w:rsid w:val="000753DE"/>
    <w:rsid w:val="00075E52"/>
    <w:rsid w:val="00076330"/>
    <w:rsid w:val="00076612"/>
    <w:rsid w:val="00076763"/>
    <w:rsid w:val="00076FCA"/>
    <w:rsid w:val="0007706F"/>
    <w:rsid w:val="00077E29"/>
    <w:rsid w:val="00080208"/>
    <w:rsid w:val="0008084F"/>
    <w:rsid w:val="00080B72"/>
    <w:rsid w:val="00081016"/>
    <w:rsid w:val="00081B4C"/>
    <w:rsid w:val="00081CEB"/>
    <w:rsid w:val="00081E85"/>
    <w:rsid w:val="00081F49"/>
    <w:rsid w:val="0008203A"/>
    <w:rsid w:val="00082391"/>
    <w:rsid w:val="0008267B"/>
    <w:rsid w:val="00082D9A"/>
    <w:rsid w:val="00083878"/>
    <w:rsid w:val="000838D8"/>
    <w:rsid w:val="000842C5"/>
    <w:rsid w:val="00084455"/>
    <w:rsid w:val="00084CCE"/>
    <w:rsid w:val="00085886"/>
    <w:rsid w:val="00085AC2"/>
    <w:rsid w:val="00085C73"/>
    <w:rsid w:val="00085DCD"/>
    <w:rsid w:val="00086238"/>
    <w:rsid w:val="00086EB6"/>
    <w:rsid w:val="000870BD"/>
    <w:rsid w:val="00087376"/>
    <w:rsid w:val="00087409"/>
    <w:rsid w:val="00087E85"/>
    <w:rsid w:val="00090C22"/>
    <w:rsid w:val="00090C6D"/>
    <w:rsid w:val="00090E36"/>
    <w:rsid w:val="00091406"/>
    <w:rsid w:val="00091A15"/>
    <w:rsid w:val="00091BE3"/>
    <w:rsid w:val="00091D2F"/>
    <w:rsid w:val="00091F44"/>
    <w:rsid w:val="00092163"/>
    <w:rsid w:val="0009274F"/>
    <w:rsid w:val="000930C0"/>
    <w:rsid w:val="0009412E"/>
    <w:rsid w:val="0009480E"/>
    <w:rsid w:val="00094DA2"/>
    <w:rsid w:val="0009538B"/>
    <w:rsid w:val="00095B5D"/>
    <w:rsid w:val="00096367"/>
    <w:rsid w:val="00096396"/>
    <w:rsid w:val="000968A4"/>
    <w:rsid w:val="0009710B"/>
    <w:rsid w:val="00097B70"/>
    <w:rsid w:val="000A0378"/>
    <w:rsid w:val="000A076A"/>
    <w:rsid w:val="000A0FCB"/>
    <w:rsid w:val="000A0FEF"/>
    <w:rsid w:val="000A101F"/>
    <w:rsid w:val="000A1E11"/>
    <w:rsid w:val="000A26A5"/>
    <w:rsid w:val="000A282F"/>
    <w:rsid w:val="000A2E21"/>
    <w:rsid w:val="000A3020"/>
    <w:rsid w:val="000A3436"/>
    <w:rsid w:val="000A37C3"/>
    <w:rsid w:val="000A391B"/>
    <w:rsid w:val="000A3B06"/>
    <w:rsid w:val="000A3DE2"/>
    <w:rsid w:val="000A4112"/>
    <w:rsid w:val="000A43EF"/>
    <w:rsid w:val="000A465C"/>
    <w:rsid w:val="000A4A7B"/>
    <w:rsid w:val="000A4BFB"/>
    <w:rsid w:val="000A5872"/>
    <w:rsid w:val="000A611C"/>
    <w:rsid w:val="000A6419"/>
    <w:rsid w:val="000A753C"/>
    <w:rsid w:val="000A7C8B"/>
    <w:rsid w:val="000B0480"/>
    <w:rsid w:val="000B04FC"/>
    <w:rsid w:val="000B05BA"/>
    <w:rsid w:val="000B06A8"/>
    <w:rsid w:val="000B0A9A"/>
    <w:rsid w:val="000B0B63"/>
    <w:rsid w:val="000B0D62"/>
    <w:rsid w:val="000B0FAC"/>
    <w:rsid w:val="000B11A6"/>
    <w:rsid w:val="000B128B"/>
    <w:rsid w:val="000B2794"/>
    <w:rsid w:val="000B32DB"/>
    <w:rsid w:val="000B3BEB"/>
    <w:rsid w:val="000B3E92"/>
    <w:rsid w:val="000B3F44"/>
    <w:rsid w:val="000B468B"/>
    <w:rsid w:val="000B48F6"/>
    <w:rsid w:val="000B4EF8"/>
    <w:rsid w:val="000B5013"/>
    <w:rsid w:val="000B5091"/>
    <w:rsid w:val="000B55D2"/>
    <w:rsid w:val="000B5AA7"/>
    <w:rsid w:val="000B5D04"/>
    <w:rsid w:val="000B60A4"/>
    <w:rsid w:val="000B6883"/>
    <w:rsid w:val="000B7D63"/>
    <w:rsid w:val="000C0491"/>
    <w:rsid w:val="000C15C5"/>
    <w:rsid w:val="000C1BE7"/>
    <w:rsid w:val="000C2372"/>
    <w:rsid w:val="000C2BE6"/>
    <w:rsid w:val="000C2C0F"/>
    <w:rsid w:val="000C2FD1"/>
    <w:rsid w:val="000C3114"/>
    <w:rsid w:val="000C32F6"/>
    <w:rsid w:val="000C36FF"/>
    <w:rsid w:val="000C3E58"/>
    <w:rsid w:val="000C46D1"/>
    <w:rsid w:val="000C4A3C"/>
    <w:rsid w:val="000C4A5D"/>
    <w:rsid w:val="000C4AFC"/>
    <w:rsid w:val="000C4B63"/>
    <w:rsid w:val="000C54A7"/>
    <w:rsid w:val="000C555A"/>
    <w:rsid w:val="000C676C"/>
    <w:rsid w:val="000C67D4"/>
    <w:rsid w:val="000C6F41"/>
    <w:rsid w:val="000C7572"/>
    <w:rsid w:val="000D069B"/>
    <w:rsid w:val="000D0B75"/>
    <w:rsid w:val="000D0D62"/>
    <w:rsid w:val="000D102F"/>
    <w:rsid w:val="000D1181"/>
    <w:rsid w:val="000D15EF"/>
    <w:rsid w:val="000D17E8"/>
    <w:rsid w:val="000D1E3E"/>
    <w:rsid w:val="000D2120"/>
    <w:rsid w:val="000D2173"/>
    <w:rsid w:val="000D29BD"/>
    <w:rsid w:val="000D2BF6"/>
    <w:rsid w:val="000D30B3"/>
    <w:rsid w:val="000D31EF"/>
    <w:rsid w:val="000D3732"/>
    <w:rsid w:val="000D3DE2"/>
    <w:rsid w:val="000D51E2"/>
    <w:rsid w:val="000D5704"/>
    <w:rsid w:val="000D579D"/>
    <w:rsid w:val="000D5B39"/>
    <w:rsid w:val="000D5D8D"/>
    <w:rsid w:val="000D6317"/>
    <w:rsid w:val="000D6814"/>
    <w:rsid w:val="000D6A1A"/>
    <w:rsid w:val="000D70D6"/>
    <w:rsid w:val="000D734C"/>
    <w:rsid w:val="000D752C"/>
    <w:rsid w:val="000D78AF"/>
    <w:rsid w:val="000D7D6F"/>
    <w:rsid w:val="000D7E34"/>
    <w:rsid w:val="000E08F8"/>
    <w:rsid w:val="000E0911"/>
    <w:rsid w:val="000E0BE3"/>
    <w:rsid w:val="000E0EFA"/>
    <w:rsid w:val="000E1C3F"/>
    <w:rsid w:val="000E268F"/>
    <w:rsid w:val="000E2A2C"/>
    <w:rsid w:val="000E2C45"/>
    <w:rsid w:val="000E2F3A"/>
    <w:rsid w:val="000E34EE"/>
    <w:rsid w:val="000E35C7"/>
    <w:rsid w:val="000E4065"/>
    <w:rsid w:val="000E43E8"/>
    <w:rsid w:val="000E48F4"/>
    <w:rsid w:val="000E4E28"/>
    <w:rsid w:val="000E4EE1"/>
    <w:rsid w:val="000E53D9"/>
    <w:rsid w:val="000E5D1F"/>
    <w:rsid w:val="000E5E5F"/>
    <w:rsid w:val="000E663C"/>
    <w:rsid w:val="000E6D80"/>
    <w:rsid w:val="000E7609"/>
    <w:rsid w:val="000E7DE3"/>
    <w:rsid w:val="000F02A1"/>
    <w:rsid w:val="000F15BE"/>
    <w:rsid w:val="000F1651"/>
    <w:rsid w:val="000F1A32"/>
    <w:rsid w:val="000F1F4B"/>
    <w:rsid w:val="000F200D"/>
    <w:rsid w:val="000F2430"/>
    <w:rsid w:val="000F2A49"/>
    <w:rsid w:val="000F2ED2"/>
    <w:rsid w:val="000F36B9"/>
    <w:rsid w:val="000F3A17"/>
    <w:rsid w:val="000F3B01"/>
    <w:rsid w:val="000F4229"/>
    <w:rsid w:val="000F437A"/>
    <w:rsid w:val="000F4E22"/>
    <w:rsid w:val="000F5495"/>
    <w:rsid w:val="000F555E"/>
    <w:rsid w:val="000F58F3"/>
    <w:rsid w:val="000F5B1A"/>
    <w:rsid w:val="000F5C7A"/>
    <w:rsid w:val="000F623D"/>
    <w:rsid w:val="000F669E"/>
    <w:rsid w:val="000F6939"/>
    <w:rsid w:val="000F6BA5"/>
    <w:rsid w:val="000F6FE8"/>
    <w:rsid w:val="000F73DC"/>
    <w:rsid w:val="000F7896"/>
    <w:rsid w:val="000F7DA4"/>
    <w:rsid w:val="00100840"/>
    <w:rsid w:val="00100890"/>
    <w:rsid w:val="00100A9E"/>
    <w:rsid w:val="00100C06"/>
    <w:rsid w:val="00100CA3"/>
    <w:rsid w:val="0010167B"/>
    <w:rsid w:val="00101771"/>
    <w:rsid w:val="00101EE9"/>
    <w:rsid w:val="001025B7"/>
    <w:rsid w:val="00102718"/>
    <w:rsid w:val="00102D51"/>
    <w:rsid w:val="0010340C"/>
    <w:rsid w:val="001034AF"/>
    <w:rsid w:val="00103BE3"/>
    <w:rsid w:val="0010416F"/>
    <w:rsid w:val="00104656"/>
    <w:rsid w:val="00104776"/>
    <w:rsid w:val="001048D6"/>
    <w:rsid w:val="0010493D"/>
    <w:rsid w:val="0010513F"/>
    <w:rsid w:val="00105202"/>
    <w:rsid w:val="001052D3"/>
    <w:rsid w:val="001058FC"/>
    <w:rsid w:val="00105F22"/>
    <w:rsid w:val="00106292"/>
    <w:rsid w:val="0010690F"/>
    <w:rsid w:val="00106A96"/>
    <w:rsid w:val="001075F5"/>
    <w:rsid w:val="001079BA"/>
    <w:rsid w:val="00107AE0"/>
    <w:rsid w:val="0011007B"/>
    <w:rsid w:val="00110617"/>
    <w:rsid w:val="00110AA5"/>
    <w:rsid w:val="001114F6"/>
    <w:rsid w:val="0011170E"/>
    <w:rsid w:val="00111EE7"/>
    <w:rsid w:val="00112684"/>
    <w:rsid w:val="00112DA7"/>
    <w:rsid w:val="00113158"/>
    <w:rsid w:val="00113AEE"/>
    <w:rsid w:val="00113F90"/>
    <w:rsid w:val="00114494"/>
    <w:rsid w:val="0011463D"/>
    <w:rsid w:val="001149B3"/>
    <w:rsid w:val="001151AB"/>
    <w:rsid w:val="001151C2"/>
    <w:rsid w:val="00115340"/>
    <w:rsid w:val="00115755"/>
    <w:rsid w:val="00115FD3"/>
    <w:rsid w:val="00115FFC"/>
    <w:rsid w:val="0011636D"/>
    <w:rsid w:val="001166B9"/>
    <w:rsid w:val="00117005"/>
    <w:rsid w:val="00117357"/>
    <w:rsid w:val="00117890"/>
    <w:rsid w:val="001178BD"/>
    <w:rsid w:val="001178D3"/>
    <w:rsid w:val="0012002B"/>
    <w:rsid w:val="00120122"/>
    <w:rsid w:val="001205C0"/>
    <w:rsid w:val="001205DA"/>
    <w:rsid w:val="001206F0"/>
    <w:rsid w:val="00120831"/>
    <w:rsid w:val="00120DFF"/>
    <w:rsid w:val="0012129A"/>
    <w:rsid w:val="00121AAA"/>
    <w:rsid w:val="00121C90"/>
    <w:rsid w:val="001225ED"/>
    <w:rsid w:val="00122CD5"/>
    <w:rsid w:val="00122D20"/>
    <w:rsid w:val="00122D9C"/>
    <w:rsid w:val="00122F75"/>
    <w:rsid w:val="00123250"/>
    <w:rsid w:val="0012381C"/>
    <w:rsid w:val="00123CA7"/>
    <w:rsid w:val="0012410C"/>
    <w:rsid w:val="00125201"/>
    <w:rsid w:val="001256D4"/>
    <w:rsid w:val="001263C1"/>
    <w:rsid w:val="00126668"/>
    <w:rsid w:val="00126B72"/>
    <w:rsid w:val="00126E4A"/>
    <w:rsid w:val="00127238"/>
    <w:rsid w:val="0012749C"/>
    <w:rsid w:val="001277FD"/>
    <w:rsid w:val="0012790C"/>
    <w:rsid w:val="00127BF0"/>
    <w:rsid w:val="00127D1F"/>
    <w:rsid w:val="0013086B"/>
    <w:rsid w:val="00130D2C"/>
    <w:rsid w:val="00131040"/>
    <w:rsid w:val="00131270"/>
    <w:rsid w:val="001313DB"/>
    <w:rsid w:val="0013140C"/>
    <w:rsid w:val="00131D2E"/>
    <w:rsid w:val="00132393"/>
    <w:rsid w:val="00132A0B"/>
    <w:rsid w:val="00132EE4"/>
    <w:rsid w:val="001336DE"/>
    <w:rsid w:val="00133A91"/>
    <w:rsid w:val="001347B8"/>
    <w:rsid w:val="001351AC"/>
    <w:rsid w:val="00135272"/>
    <w:rsid w:val="00135EB8"/>
    <w:rsid w:val="00135F51"/>
    <w:rsid w:val="00135F6C"/>
    <w:rsid w:val="001360C6"/>
    <w:rsid w:val="001361C7"/>
    <w:rsid w:val="00137F6A"/>
    <w:rsid w:val="001401F7"/>
    <w:rsid w:val="0014048E"/>
    <w:rsid w:val="001404A5"/>
    <w:rsid w:val="0014130C"/>
    <w:rsid w:val="0014223F"/>
    <w:rsid w:val="0014250B"/>
    <w:rsid w:val="00142653"/>
    <w:rsid w:val="00142A03"/>
    <w:rsid w:val="00142E27"/>
    <w:rsid w:val="0014317F"/>
    <w:rsid w:val="0014351A"/>
    <w:rsid w:val="00143C3F"/>
    <w:rsid w:val="0014475E"/>
    <w:rsid w:val="00145887"/>
    <w:rsid w:val="001458A9"/>
    <w:rsid w:val="001459DC"/>
    <w:rsid w:val="00145BB7"/>
    <w:rsid w:val="00145E81"/>
    <w:rsid w:val="00146862"/>
    <w:rsid w:val="00146D1B"/>
    <w:rsid w:val="00146F01"/>
    <w:rsid w:val="00147197"/>
    <w:rsid w:val="00147855"/>
    <w:rsid w:val="001479E2"/>
    <w:rsid w:val="00147D3C"/>
    <w:rsid w:val="00147F6E"/>
    <w:rsid w:val="0015030B"/>
    <w:rsid w:val="00150387"/>
    <w:rsid w:val="001506AD"/>
    <w:rsid w:val="00150764"/>
    <w:rsid w:val="0015077B"/>
    <w:rsid w:val="00151144"/>
    <w:rsid w:val="00151A68"/>
    <w:rsid w:val="00151B9C"/>
    <w:rsid w:val="00151C17"/>
    <w:rsid w:val="00152C81"/>
    <w:rsid w:val="0015307D"/>
    <w:rsid w:val="00153955"/>
    <w:rsid w:val="00153F56"/>
    <w:rsid w:val="001543D6"/>
    <w:rsid w:val="00154675"/>
    <w:rsid w:val="00154868"/>
    <w:rsid w:val="00154CD7"/>
    <w:rsid w:val="00154D55"/>
    <w:rsid w:val="00154EA6"/>
    <w:rsid w:val="0015508B"/>
    <w:rsid w:val="0015509D"/>
    <w:rsid w:val="001550B0"/>
    <w:rsid w:val="00155538"/>
    <w:rsid w:val="00155AFA"/>
    <w:rsid w:val="00155C46"/>
    <w:rsid w:val="00155D2D"/>
    <w:rsid w:val="0015652F"/>
    <w:rsid w:val="00156736"/>
    <w:rsid w:val="00156804"/>
    <w:rsid w:val="00156B8A"/>
    <w:rsid w:val="00156F6D"/>
    <w:rsid w:val="00157043"/>
    <w:rsid w:val="00157174"/>
    <w:rsid w:val="00157630"/>
    <w:rsid w:val="00157A81"/>
    <w:rsid w:val="00157FB1"/>
    <w:rsid w:val="00160134"/>
    <w:rsid w:val="00160C6C"/>
    <w:rsid w:val="00160C9C"/>
    <w:rsid w:val="00160D84"/>
    <w:rsid w:val="00160DF8"/>
    <w:rsid w:val="0016176D"/>
    <w:rsid w:val="00161C42"/>
    <w:rsid w:val="00161D2E"/>
    <w:rsid w:val="00161EBD"/>
    <w:rsid w:val="00162206"/>
    <w:rsid w:val="0016249F"/>
    <w:rsid w:val="001626F9"/>
    <w:rsid w:val="00162D2A"/>
    <w:rsid w:val="00162DE6"/>
    <w:rsid w:val="00162E34"/>
    <w:rsid w:val="00163046"/>
    <w:rsid w:val="00163102"/>
    <w:rsid w:val="001635DD"/>
    <w:rsid w:val="00163774"/>
    <w:rsid w:val="001637C1"/>
    <w:rsid w:val="00163DDC"/>
    <w:rsid w:val="00164AA8"/>
    <w:rsid w:val="00164D5B"/>
    <w:rsid w:val="00165924"/>
    <w:rsid w:val="00166246"/>
    <w:rsid w:val="00166452"/>
    <w:rsid w:val="001666BD"/>
    <w:rsid w:val="00166E83"/>
    <w:rsid w:val="0016776D"/>
    <w:rsid w:val="00167985"/>
    <w:rsid w:val="00167A93"/>
    <w:rsid w:val="00170277"/>
    <w:rsid w:val="001702E8"/>
    <w:rsid w:val="00170E2E"/>
    <w:rsid w:val="00171A2C"/>
    <w:rsid w:val="00171FB1"/>
    <w:rsid w:val="0017297F"/>
    <w:rsid w:val="00172A09"/>
    <w:rsid w:val="0017322F"/>
    <w:rsid w:val="001732F4"/>
    <w:rsid w:val="00173BBF"/>
    <w:rsid w:val="00173E74"/>
    <w:rsid w:val="00173ECD"/>
    <w:rsid w:val="0017471A"/>
    <w:rsid w:val="001748B9"/>
    <w:rsid w:val="00174913"/>
    <w:rsid w:val="00176555"/>
    <w:rsid w:val="00176C4D"/>
    <w:rsid w:val="00176FB1"/>
    <w:rsid w:val="0017778E"/>
    <w:rsid w:val="00177A08"/>
    <w:rsid w:val="001802CA"/>
    <w:rsid w:val="00180985"/>
    <w:rsid w:val="00180A93"/>
    <w:rsid w:val="00180BEB"/>
    <w:rsid w:val="00180EC4"/>
    <w:rsid w:val="00181293"/>
    <w:rsid w:val="00181573"/>
    <w:rsid w:val="001818E2"/>
    <w:rsid w:val="001819B6"/>
    <w:rsid w:val="00181CD0"/>
    <w:rsid w:val="00181F01"/>
    <w:rsid w:val="00182010"/>
    <w:rsid w:val="00182074"/>
    <w:rsid w:val="0018209C"/>
    <w:rsid w:val="0018243A"/>
    <w:rsid w:val="00182ACE"/>
    <w:rsid w:val="00182E3F"/>
    <w:rsid w:val="001836CA"/>
    <w:rsid w:val="001838DD"/>
    <w:rsid w:val="00183E22"/>
    <w:rsid w:val="00183F39"/>
    <w:rsid w:val="001846AD"/>
    <w:rsid w:val="0018494A"/>
    <w:rsid w:val="00184988"/>
    <w:rsid w:val="00184D33"/>
    <w:rsid w:val="00185399"/>
    <w:rsid w:val="00185563"/>
    <w:rsid w:val="00185C88"/>
    <w:rsid w:val="00185EA7"/>
    <w:rsid w:val="00186831"/>
    <w:rsid w:val="00186913"/>
    <w:rsid w:val="00187869"/>
    <w:rsid w:val="00187C67"/>
    <w:rsid w:val="00190040"/>
    <w:rsid w:val="00190289"/>
    <w:rsid w:val="00190986"/>
    <w:rsid w:val="00190B34"/>
    <w:rsid w:val="00190F3A"/>
    <w:rsid w:val="00191488"/>
    <w:rsid w:val="00191C3F"/>
    <w:rsid w:val="00192140"/>
    <w:rsid w:val="0019247B"/>
    <w:rsid w:val="00192E23"/>
    <w:rsid w:val="00192F21"/>
    <w:rsid w:val="0019348C"/>
    <w:rsid w:val="00194336"/>
    <w:rsid w:val="00194F3C"/>
    <w:rsid w:val="0019502A"/>
    <w:rsid w:val="001954A3"/>
    <w:rsid w:val="00195B4D"/>
    <w:rsid w:val="0019633D"/>
    <w:rsid w:val="00196353"/>
    <w:rsid w:val="001965F5"/>
    <w:rsid w:val="00196CEF"/>
    <w:rsid w:val="00196F4D"/>
    <w:rsid w:val="00197F13"/>
    <w:rsid w:val="001A0039"/>
    <w:rsid w:val="001A0393"/>
    <w:rsid w:val="001A0F2A"/>
    <w:rsid w:val="001A214A"/>
    <w:rsid w:val="001A241B"/>
    <w:rsid w:val="001A243C"/>
    <w:rsid w:val="001A2973"/>
    <w:rsid w:val="001A298F"/>
    <w:rsid w:val="001A2FBF"/>
    <w:rsid w:val="001A3348"/>
    <w:rsid w:val="001A37EE"/>
    <w:rsid w:val="001A48CD"/>
    <w:rsid w:val="001A54B7"/>
    <w:rsid w:val="001A55E8"/>
    <w:rsid w:val="001A634D"/>
    <w:rsid w:val="001A689F"/>
    <w:rsid w:val="001A6FCF"/>
    <w:rsid w:val="001B024C"/>
    <w:rsid w:val="001B0476"/>
    <w:rsid w:val="001B0726"/>
    <w:rsid w:val="001B0A6B"/>
    <w:rsid w:val="001B0D25"/>
    <w:rsid w:val="001B17B4"/>
    <w:rsid w:val="001B1E22"/>
    <w:rsid w:val="001B1FE3"/>
    <w:rsid w:val="001B2A9B"/>
    <w:rsid w:val="001B2AB4"/>
    <w:rsid w:val="001B2C06"/>
    <w:rsid w:val="001B2C30"/>
    <w:rsid w:val="001B2C5A"/>
    <w:rsid w:val="001B34F0"/>
    <w:rsid w:val="001B3938"/>
    <w:rsid w:val="001B3A2E"/>
    <w:rsid w:val="001B3D54"/>
    <w:rsid w:val="001B4537"/>
    <w:rsid w:val="001B47AD"/>
    <w:rsid w:val="001B48BD"/>
    <w:rsid w:val="001B4A70"/>
    <w:rsid w:val="001B525E"/>
    <w:rsid w:val="001B54AB"/>
    <w:rsid w:val="001B6935"/>
    <w:rsid w:val="001B70A5"/>
    <w:rsid w:val="001B7258"/>
    <w:rsid w:val="001B79AC"/>
    <w:rsid w:val="001B7D0A"/>
    <w:rsid w:val="001B7DE1"/>
    <w:rsid w:val="001B7F86"/>
    <w:rsid w:val="001C0304"/>
    <w:rsid w:val="001C074D"/>
    <w:rsid w:val="001C0E04"/>
    <w:rsid w:val="001C0F60"/>
    <w:rsid w:val="001C10F3"/>
    <w:rsid w:val="001C1392"/>
    <w:rsid w:val="001C170D"/>
    <w:rsid w:val="001C200B"/>
    <w:rsid w:val="001C226A"/>
    <w:rsid w:val="001C28C4"/>
    <w:rsid w:val="001C2B38"/>
    <w:rsid w:val="001C30FC"/>
    <w:rsid w:val="001C3164"/>
    <w:rsid w:val="001C38C1"/>
    <w:rsid w:val="001C399A"/>
    <w:rsid w:val="001C3FB7"/>
    <w:rsid w:val="001C4098"/>
    <w:rsid w:val="001C40B0"/>
    <w:rsid w:val="001C4876"/>
    <w:rsid w:val="001C4C34"/>
    <w:rsid w:val="001C5123"/>
    <w:rsid w:val="001C5726"/>
    <w:rsid w:val="001C5A25"/>
    <w:rsid w:val="001C5A57"/>
    <w:rsid w:val="001C619D"/>
    <w:rsid w:val="001C6805"/>
    <w:rsid w:val="001C75DE"/>
    <w:rsid w:val="001C7734"/>
    <w:rsid w:val="001C7ECB"/>
    <w:rsid w:val="001D00CC"/>
    <w:rsid w:val="001D01ED"/>
    <w:rsid w:val="001D0307"/>
    <w:rsid w:val="001D0E7E"/>
    <w:rsid w:val="001D130C"/>
    <w:rsid w:val="001D139F"/>
    <w:rsid w:val="001D166D"/>
    <w:rsid w:val="001D16C7"/>
    <w:rsid w:val="001D17C6"/>
    <w:rsid w:val="001D2190"/>
    <w:rsid w:val="001D2645"/>
    <w:rsid w:val="001D27A2"/>
    <w:rsid w:val="001D2A6C"/>
    <w:rsid w:val="001D2DE2"/>
    <w:rsid w:val="001D2E57"/>
    <w:rsid w:val="001D3223"/>
    <w:rsid w:val="001D352A"/>
    <w:rsid w:val="001D4125"/>
    <w:rsid w:val="001D457A"/>
    <w:rsid w:val="001D45CA"/>
    <w:rsid w:val="001D48E1"/>
    <w:rsid w:val="001D528D"/>
    <w:rsid w:val="001D56D5"/>
    <w:rsid w:val="001D5870"/>
    <w:rsid w:val="001D64C1"/>
    <w:rsid w:val="001D6922"/>
    <w:rsid w:val="001D6BE6"/>
    <w:rsid w:val="001D6ECA"/>
    <w:rsid w:val="001D6FEF"/>
    <w:rsid w:val="001D72D7"/>
    <w:rsid w:val="001D799D"/>
    <w:rsid w:val="001D7F43"/>
    <w:rsid w:val="001E01EC"/>
    <w:rsid w:val="001E0288"/>
    <w:rsid w:val="001E0C38"/>
    <w:rsid w:val="001E17AA"/>
    <w:rsid w:val="001E194E"/>
    <w:rsid w:val="001E1BFC"/>
    <w:rsid w:val="001E1E56"/>
    <w:rsid w:val="001E1E84"/>
    <w:rsid w:val="001E229E"/>
    <w:rsid w:val="001E2C43"/>
    <w:rsid w:val="001E2E7C"/>
    <w:rsid w:val="001E3324"/>
    <w:rsid w:val="001E41BB"/>
    <w:rsid w:val="001E4C45"/>
    <w:rsid w:val="001E4C49"/>
    <w:rsid w:val="001E51AA"/>
    <w:rsid w:val="001E524F"/>
    <w:rsid w:val="001E619D"/>
    <w:rsid w:val="001E727E"/>
    <w:rsid w:val="001E7323"/>
    <w:rsid w:val="001E7468"/>
    <w:rsid w:val="001E7CC0"/>
    <w:rsid w:val="001F02EB"/>
    <w:rsid w:val="001F0400"/>
    <w:rsid w:val="001F04A5"/>
    <w:rsid w:val="001F04C4"/>
    <w:rsid w:val="001F08EC"/>
    <w:rsid w:val="001F0CE5"/>
    <w:rsid w:val="001F0E3F"/>
    <w:rsid w:val="001F0F9D"/>
    <w:rsid w:val="001F1446"/>
    <w:rsid w:val="001F256C"/>
    <w:rsid w:val="001F2B5A"/>
    <w:rsid w:val="001F317F"/>
    <w:rsid w:val="001F33A7"/>
    <w:rsid w:val="001F33BA"/>
    <w:rsid w:val="001F3727"/>
    <w:rsid w:val="001F3D3F"/>
    <w:rsid w:val="001F407F"/>
    <w:rsid w:val="001F4167"/>
    <w:rsid w:val="001F43E4"/>
    <w:rsid w:val="001F4636"/>
    <w:rsid w:val="001F521B"/>
    <w:rsid w:val="001F589E"/>
    <w:rsid w:val="001F5B55"/>
    <w:rsid w:val="001F6059"/>
    <w:rsid w:val="001F606C"/>
    <w:rsid w:val="001F6E71"/>
    <w:rsid w:val="001F7057"/>
    <w:rsid w:val="001F7D92"/>
    <w:rsid w:val="001F7E77"/>
    <w:rsid w:val="001F7F18"/>
    <w:rsid w:val="0020095B"/>
    <w:rsid w:val="00200AF9"/>
    <w:rsid w:val="00200DF1"/>
    <w:rsid w:val="00200E29"/>
    <w:rsid w:val="00201114"/>
    <w:rsid w:val="00201250"/>
    <w:rsid w:val="00201699"/>
    <w:rsid w:val="002018F3"/>
    <w:rsid w:val="00201F6A"/>
    <w:rsid w:val="00202708"/>
    <w:rsid w:val="00203171"/>
    <w:rsid w:val="00203457"/>
    <w:rsid w:val="002037B9"/>
    <w:rsid w:val="00203BC9"/>
    <w:rsid w:val="002042ED"/>
    <w:rsid w:val="00204748"/>
    <w:rsid w:val="00204982"/>
    <w:rsid w:val="00204AAD"/>
    <w:rsid w:val="00204C53"/>
    <w:rsid w:val="002050A1"/>
    <w:rsid w:val="00205D77"/>
    <w:rsid w:val="00205EC7"/>
    <w:rsid w:val="00206320"/>
    <w:rsid w:val="0020635B"/>
    <w:rsid w:val="00206919"/>
    <w:rsid w:val="00206923"/>
    <w:rsid w:val="00206A39"/>
    <w:rsid w:val="00207238"/>
    <w:rsid w:val="002073E2"/>
    <w:rsid w:val="00207A6C"/>
    <w:rsid w:val="00210927"/>
    <w:rsid w:val="00210A99"/>
    <w:rsid w:val="00211CF4"/>
    <w:rsid w:val="0021249F"/>
    <w:rsid w:val="002125B6"/>
    <w:rsid w:val="00212B60"/>
    <w:rsid w:val="00212C0B"/>
    <w:rsid w:val="0021436C"/>
    <w:rsid w:val="002143CE"/>
    <w:rsid w:val="002143FB"/>
    <w:rsid w:val="00214BB8"/>
    <w:rsid w:val="0021503D"/>
    <w:rsid w:val="0021538C"/>
    <w:rsid w:val="002154B7"/>
    <w:rsid w:val="002158CB"/>
    <w:rsid w:val="00216328"/>
    <w:rsid w:val="002166B8"/>
    <w:rsid w:val="0021687B"/>
    <w:rsid w:val="00216D1D"/>
    <w:rsid w:val="002171AC"/>
    <w:rsid w:val="00217667"/>
    <w:rsid w:val="002209CB"/>
    <w:rsid w:val="0022167F"/>
    <w:rsid w:val="00221BEC"/>
    <w:rsid w:val="00221CEF"/>
    <w:rsid w:val="00221F73"/>
    <w:rsid w:val="0022220A"/>
    <w:rsid w:val="0022239D"/>
    <w:rsid w:val="00222971"/>
    <w:rsid w:val="00222D37"/>
    <w:rsid w:val="002233A1"/>
    <w:rsid w:val="002233FE"/>
    <w:rsid w:val="002240C2"/>
    <w:rsid w:val="002243DA"/>
    <w:rsid w:val="002244E8"/>
    <w:rsid w:val="00224DFF"/>
    <w:rsid w:val="00225603"/>
    <w:rsid w:val="00225A96"/>
    <w:rsid w:val="0022631A"/>
    <w:rsid w:val="00226E32"/>
    <w:rsid w:val="00226E6C"/>
    <w:rsid w:val="0022775E"/>
    <w:rsid w:val="00227D8C"/>
    <w:rsid w:val="00230578"/>
    <w:rsid w:val="002309B9"/>
    <w:rsid w:val="00230ED7"/>
    <w:rsid w:val="0023110E"/>
    <w:rsid w:val="00231D0C"/>
    <w:rsid w:val="00231EB3"/>
    <w:rsid w:val="00231F4A"/>
    <w:rsid w:val="002329D7"/>
    <w:rsid w:val="0023330B"/>
    <w:rsid w:val="002333D6"/>
    <w:rsid w:val="00234418"/>
    <w:rsid w:val="0023460A"/>
    <w:rsid w:val="00236044"/>
    <w:rsid w:val="002362DA"/>
    <w:rsid w:val="00236532"/>
    <w:rsid w:val="00236653"/>
    <w:rsid w:val="002366CA"/>
    <w:rsid w:val="00236CB4"/>
    <w:rsid w:val="00237445"/>
    <w:rsid w:val="00237AB4"/>
    <w:rsid w:val="00237CA5"/>
    <w:rsid w:val="00237F93"/>
    <w:rsid w:val="00240413"/>
    <w:rsid w:val="00240F59"/>
    <w:rsid w:val="00241714"/>
    <w:rsid w:val="00241833"/>
    <w:rsid w:val="00241885"/>
    <w:rsid w:val="002423F0"/>
    <w:rsid w:val="002426F8"/>
    <w:rsid w:val="00242A03"/>
    <w:rsid w:val="00243003"/>
    <w:rsid w:val="002431DF"/>
    <w:rsid w:val="0024365F"/>
    <w:rsid w:val="00243CB3"/>
    <w:rsid w:val="00243CC6"/>
    <w:rsid w:val="00243EC5"/>
    <w:rsid w:val="002444AA"/>
    <w:rsid w:val="002444F2"/>
    <w:rsid w:val="00244641"/>
    <w:rsid w:val="00244775"/>
    <w:rsid w:val="002448D9"/>
    <w:rsid w:val="00244A42"/>
    <w:rsid w:val="00244ABE"/>
    <w:rsid w:val="00245410"/>
    <w:rsid w:val="00245617"/>
    <w:rsid w:val="00245649"/>
    <w:rsid w:val="002458A7"/>
    <w:rsid w:val="00245932"/>
    <w:rsid w:val="00245BAD"/>
    <w:rsid w:val="00245DC2"/>
    <w:rsid w:val="00245E2B"/>
    <w:rsid w:val="00245F86"/>
    <w:rsid w:val="002461C7"/>
    <w:rsid w:val="00246B2E"/>
    <w:rsid w:val="0024743B"/>
    <w:rsid w:val="002477B5"/>
    <w:rsid w:val="00247C81"/>
    <w:rsid w:val="0025056C"/>
    <w:rsid w:val="00251224"/>
    <w:rsid w:val="002514D5"/>
    <w:rsid w:val="00251682"/>
    <w:rsid w:val="002527C9"/>
    <w:rsid w:val="00252805"/>
    <w:rsid w:val="00253381"/>
    <w:rsid w:val="00253416"/>
    <w:rsid w:val="0025341B"/>
    <w:rsid w:val="0025341C"/>
    <w:rsid w:val="002537D7"/>
    <w:rsid w:val="0025567A"/>
    <w:rsid w:val="00255B67"/>
    <w:rsid w:val="00256059"/>
    <w:rsid w:val="002560E1"/>
    <w:rsid w:val="00256EF0"/>
    <w:rsid w:val="00257720"/>
    <w:rsid w:val="002578B4"/>
    <w:rsid w:val="0026010D"/>
    <w:rsid w:val="002608AB"/>
    <w:rsid w:val="002608F3"/>
    <w:rsid w:val="00261222"/>
    <w:rsid w:val="00261278"/>
    <w:rsid w:val="002616A2"/>
    <w:rsid w:val="002620E5"/>
    <w:rsid w:val="002628AD"/>
    <w:rsid w:val="00262ACF"/>
    <w:rsid w:val="00262B3F"/>
    <w:rsid w:val="00262DD4"/>
    <w:rsid w:val="00262E8B"/>
    <w:rsid w:val="0026325F"/>
    <w:rsid w:val="00263A6E"/>
    <w:rsid w:val="00263C23"/>
    <w:rsid w:val="00264415"/>
    <w:rsid w:val="00264468"/>
    <w:rsid w:val="00264539"/>
    <w:rsid w:val="002647ED"/>
    <w:rsid w:val="0026509C"/>
    <w:rsid w:val="0026527D"/>
    <w:rsid w:val="00265504"/>
    <w:rsid w:val="00265566"/>
    <w:rsid w:val="002664C1"/>
    <w:rsid w:val="00266CC8"/>
    <w:rsid w:val="00266DCC"/>
    <w:rsid w:val="002676CD"/>
    <w:rsid w:val="002677B3"/>
    <w:rsid w:val="00267838"/>
    <w:rsid w:val="00267B10"/>
    <w:rsid w:val="0027007B"/>
    <w:rsid w:val="002701AE"/>
    <w:rsid w:val="0027023E"/>
    <w:rsid w:val="0027029E"/>
    <w:rsid w:val="0027041C"/>
    <w:rsid w:val="0027045A"/>
    <w:rsid w:val="00270DC0"/>
    <w:rsid w:val="0027114E"/>
    <w:rsid w:val="00271AA5"/>
    <w:rsid w:val="00271AE6"/>
    <w:rsid w:val="00271E55"/>
    <w:rsid w:val="00272C09"/>
    <w:rsid w:val="00273126"/>
    <w:rsid w:val="00273B93"/>
    <w:rsid w:val="00273CE2"/>
    <w:rsid w:val="0027480F"/>
    <w:rsid w:val="002748EC"/>
    <w:rsid w:val="00274D77"/>
    <w:rsid w:val="00274E72"/>
    <w:rsid w:val="0027513C"/>
    <w:rsid w:val="00275FE6"/>
    <w:rsid w:val="002761A3"/>
    <w:rsid w:val="00276951"/>
    <w:rsid w:val="00276A0C"/>
    <w:rsid w:val="00276D8D"/>
    <w:rsid w:val="00276E91"/>
    <w:rsid w:val="00276F0F"/>
    <w:rsid w:val="002775E4"/>
    <w:rsid w:val="00277794"/>
    <w:rsid w:val="00277891"/>
    <w:rsid w:val="00277DF4"/>
    <w:rsid w:val="0028009B"/>
    <w:rsid w:val="00280653"/>
    <w:rsid w:val="002808F4"/>
    <w:rsid w:val="00281390"/>
    <w:rsid w:val="00281D11"/>
    <w:rsid w:val="0028203E"/>
    <w:rsid w:val="002829BE"/>
    <w:rsid w:val="00282A4E"/>
    <w:rsid w:val="00282A77"/>
    <w:rsid w:val="00282D65"/>
    <w:rsid w:val="00283467"/>
    <w:rsid w:val="00284111"/>
    <w:rsid w:val="00284DB0"/>
    <w:rsid w:val="00284EAE"/>
    <w:rsid w:val="002854EB"/>
    <w:rsid w:val="0028551A"/>
    <w:rsid w:val="00285606"/>
    <w:rsid w:val="00285F18"/>
    <w:rsid w:val="00285F19"/>
    <w:rsid w:val="002867A9"/>
    <w:rsid w:val="0028699E"/>
    <w:rsid w:val="00286D30"/>
    <w:rsid w:val="00287048"/>
    <w:rsid w:val="00287324"/>
    <w:rsid w:val="0028748E"/>
    <w:rsid w:val="002874A3"/>
    <w:rsid w:val="00287E42"/>
    <w:rsid w:val="00287EB5"/>
    <w:rsid w:val="0029016E"/>
    <w:rsid w:val="002905C2"/>
    <w:rsid w:val="00290A52"/>
    <w:rsid w:val="00290CDA"/>
    <w:rsid w:val="00290F13"/>
    <w:rsid w:val="002914B4"/>
    <w:rsid w:val="0029163D"/>
    <w:rsid w:val="00291B4E"/>
    <w:rsid w:val="00291DE5"/>
    <w:rsid w:val="00292539"/>
    <w:rsid w:val="00292545"/>
    <w:rsid w:val="00293546"/>
    <w:rsid w:val="00293654"/>
    <w:rsid w:val="002937B7"/>
    <w:rsid w:val="00294918"/>
    <w:rsid w:val="00294AF4"/>
    <w:rsid w:val="00294D22"/>
    <w:rsid w:val="00295473"/>
    <w:rsid w:val="00295489"/>
    <w:rsid w:val="002955CD"/>
    <w:rsid w:val="00295A15"/>
    <w:rsid w:val="0029631A"/>
    <w:rsid w:val="0029692C"/>
    <w:rsid w:val="0029692E"/>
    <w:rsid w:val="00296ABB"/>
    <w:rsid w:val="00296AD7"/>
    <w:rsid w:val="00296E5A"/>
    <w:rsid w:val="00296ED9"/>
    <w:rsid w:val="0029754D"/>
    <w:rsid w:val="00297564"/>
    <w:rsid w:val="002977F3"/>
    <w:rsid w:val="00297B72"/>
    <w:rsid w:val="002A030F"/>
    <w:rsid w:val="002A06A3"/>
    <w:rsid w:val="002A0865"/>
    <w:rsid w:val="002A0AC4"/>
    <w:rsid w:val="002A0B91"/>
    <w:rsid w:val="002A0BE4"/>
    <w:rsid w:val="002A15B2"/>
    <w:rsid w:val="002A19A7"/>
    <w:rsid w:val="002A1CB5"/>
    <w:rsid w:val="002A23A9"/>
    <w:rsid w:val="002A26D3"/>
    <w:rsid w:val="002A2849"/>
    <w:rsid w:val="002A31BB"/>
    <w:rsid w:val="002A40C6"/>
    <w:rsid w:val="002A4462"/>
    <w:rsid w:val="002A44F4"/>
    <w:rsid w:val="002A497A"/>
    <w:rsid w:val="002A4A94"/>
    <w:rsid w:val="002A4C5B"/>
    <w:rsid w:val="002A5E4E"/>
    <w:rsid w:val="002A61F0"/>
    <w:rsid w:val="002A620B"/>
    <w:rsid w:val="002A6798"/>
    <w:rsid w:val="002A6CE3"/>
    <w:rsid w:val="002A6FB8"/>
    <w:rsid w:val="002A75D7"/>
    <w:rsid w:val="002A7D0D"/>
    <w:rsid w:val="002B0366"/>
    <w:rsid w:val="002B0582"/>
    <w:rsid w:val="002B07E8"/>
    <w:rsid w:val="002B0BBD"/>
    <w:rsid w:val="002B133F"/>
    <w:rsid w:val="002B1765"/>
    <w:rsid w:val="002B187C"/>
    <w:rsid w:val="002B1E43"/>
    <w:rsid w:val="002B217B"/>
    <w:rsid w:val="002B2307"/>
    <w:rsid w:val="002B2382"/>
    <w:rsid w:val="002B27C1"/>
    <w:rsid w:val="002B2EB9"/>
    <w:rsid w:val="002B2FBA"/>
    <w:rsid w:val="002B2FC2"/>
    <w:rsid w:val="002B34C0"/>
    <w:rsid w:val="002B369E"/>
    <w:rsid w:val="002B3784"/>
    <w:rsid w:val="002B37BD"/>
    <w:rsid w:val="002B3CDE"/>
    <w:rsid w:val="002B3DA6"/>
    <w:rsid w:val="002B3F90"/>
    <w:rsid w:val="002B4274"/>
    <w:rsid w:val="002B49C9"/>
    <w:rsid w:val="002B5072"/>
    <w:rsid w:val="002B55B8"/>
    <w:rsid w:val="002B5D43"/>
    <w:rsid w:val="002B5D4E"/>
    <w:rsid w:val="002B5DDA"/>
    <w:rsid w:val="002B6C39"/>
    <w:rsid w:val="002B6D8D"/>
    <w:rsid w:val="002B6E72"/>
    <w:rsid w:val="002B770E"/>
    <w:rsid w:val="002C02D5"/>
    <w:rsid w:val="002C091C"/>
    <w:rsid w:val="002C0A8A"/>
    <w:rsid w:val="002C0C7F"/>
    <w:rsid w:val="002C1B3E"/>
    <w:rsid w:val="002C205F"/>
    <w:rsid w:val="002C2828"/>
    <w:rsid w:val="002C2AEE"/>
    <w:rsid w:val="002C2D96"/>
    <w:rsid w:val="002C2F6F"/>
    <w:rsid w:val="002C2F80"/>
    <w:rsid w:val="002C3142"/>
    <w:rsid w:val="002C38B7"/>
    <w:rsid w:val="002C43B7"/>
    <w:rsid w:val="002C4660"/>
    <w:rsid w:val="002C4734"/>
    <w:rsid w:val="002C4ABE"/>
    <w:rsid w:val="002C4D45"/>
    <w:rsid w:val="002C4F74"/>
    <w:rsid w:val="002C525D"/>
    <w:rsid w:val="002C56B4"/>
    <w:rsid w:val="002C595B"/>
    <w:rsid w:val="002C5AEC"/>
    <w:rsid w:val="002C609E"/>
    <w:rsid w:val="002C6981"/>
    <w:rsid w:val="002C6AE7"/>
    <w:rsid w:val="002C6B7E"/>
    <w:rsid w:val="002C7276"/>
    <w:rsid w:val="002C746E"/>
    <w:rsid w:val="002C7A47"/>
    <w:rsid w:val="002C7D04"/>
    <w:rsid w:val="002D009A"/>
    <w:rsid w:val="002D0146"/>
    <w:rsid w:val="002D0383"/>
    <w:rsid w:val="002D0D82"/>
    <w:rsid w:val="002D17C3"/>
    <w:rsid w:val="002D183C"/>
    <w:rsid w:val="002D1A0F"/>
    <w:rsid w:val="002D2875"/>
    <w:rsid w:val="002D2A34"/>
    <w:rsid w:val="002D2B11"/>
    <w:rsid w:val="002D2B79"/>
    <w:rsid w:val="002D2BFD"/>
    <w:rsid w:val="002D2C98"/>
    <w:rsid w:val="002D2EAD"/>
    <w:rsid w:val="002D3042"/>
    <w:rsid w:val="002D3239"/>
    <w:rsid w:val="002D348E"/>
    <w:rsid w:val="002D36F3"/>
    <w:rsid w:val="002D3714"/>
    <w:rsid w:val="002D4024"/>
    <w:rsid w:val="002D4758"/>
    <w:rsid w:val="002D48F0"/>
    <w:rsid w:val="002D4C52"/>
    <w:rsid w:val="002D528D"/>
    <w:rsid w:val="002D5812"/>
    <w:rsid w:val="002D586F"/>
    <w:rsid w:val="002D58D7"/>
    <w:rsid w:val="002D591E"/>
    <w:rsid w:val="002D5B3C"/>
    <w:rsid w:val="002D5C6A"/>
    <w:rsid w:val="002D5FA3"/>
    <w:rsid w:val="002D5FE7"/>
    <w:rsid w:val="002D65C9"/>
    <w:rsid w:val="002D673E"/>
    <w:rsid w:val="002D7024"/>
    <w:rsid w:val="002D789C"/>
    <w:rsid w:val="002D7BD2"/>
    <w:rsid w:val="002D7F33"/>
    <w:rsid w:val="002E09E9"/>
    <w:rsid w:val="002E1386"/>
    <w:rsid w:val="002E1C8D"/>
    <w:rsid w:val="002E1E51"/>
    <w:rsid w:val="002E2781"/>
    <w:rsid w:val="002E281A"/>
    <w:rsid w:val="002E2ADE"/>
    <w:rsid w:val="002E33E1"/>
    <w:rsid w:val="002E3AF9"/>
    <w:rsid w:val="002E42AA"/>
    <w:rsid w:val="002E4431"/>
    <w:rsid w:val="002E4450"/>
    <w:rsid w:val="002E495B"/>
    <w:rsid w:val="002E4A5E"/>
    <w:rsid w:val="002E4D22"/>
    <w:rsid w:val="002E51DC"/>
    <w:rsid w:val="002E5601"/>
    <w:rsid w:val="002E5608"/>
    <w:rsid w:val="002E58FF"/>
    <w:rsid w:val="002E6023"/>
    <w:rsid w:val="002E605C"/>
    <w:rsid w:val="002E67B2"/>
    <w:rsid w:val="002E6852"/>
    <w:rsid w:val="002E6A5C"/>
    <w:rsid w:val="002E6C80"/>
    <w:rsid w:val="002E6FC3"/>
    <w:rsid w:val="002E70E2"/>
    <w:rsid w:val="002E7861"/>
    <w:rsid w:val="002E7983"/>
    <w:rsid w:val="002E7AC7"/>
    <w:rsid w:val="002E7DC8"/>
    <w:rsid w:val="002E7F82"/>
    <w:rsid w:val="002F031D"/>
    <w:rsid w:val="002F04AB"/>
    <w:rsid w:val="002F0730"/>
    <w:rsid w:val="002F0AC9"/>
    <w:rsid w:val="002F0C50"/>
    <w:rsid w:val="002F0CEA"/>
    <w:rsid w:val="002F1347"/>
    <w:rsid w:val="002F13B9"/>
    <w:rsid w:val="002F14CB"/>
    <w:rsid w:val="002F1C84"/>
    <w:rsid w:val="002F21E3"/>
    <w:rsid w:val="002F21E8"/>
    <w:rsid w:val="002F31DF"/>
    <w:rsid w:val="002F320F"/>
    <w:rsid w:val="002F32BD"/>
    <w:rsid w:val="002F36FA"/>
    <w:rsid w:val="002F390F"/>
    <w:rsid w:val="002F3B74"/>
    <w:rsid w:val="002F3FA5"/>
    <w:rsid w:val="002F411E"/>
    <w:rsid w:val="002F41F3"/>
    <w:rsid w:val="002F4831"/>
    <w:rsid w:val="002F49DD"/>
    <w:rsid w:val="002F4BAF"/>
    <w:rsid w:val="002F4E75"/>
    <w:rsid w:val="002F4E8A"/>
    <w:rsid w:val="002F552C"/>
    <w:rsid w:val="002F5744"/>
    <w:rsid w:val="002F5B40"/>
    <w:rsid w:val="002F5C77"/>
    <w:rsid w:val="002F608B"/>
    <w:rsid w:val="002F72D0"/>
    <w:rsid w:val="002F75C5"/>
    <w:rsid w:val="002F782E"/>
    <w:rsid w:val="002F7973"/>
    <w:rsid w:val="002F79B9"/>
    <w:rsid w:val="002F7B51"/>
    <w:rsid w:val="002F7B84"/>
    <w:rsid w:val="002F7DC8"/>
    <w:rsid w:val="00300070"/>
    <w:rsid w:val="00300211"/>
    <w:rsid w:val="00300AC8"/>
    <w:rsid w:val="00300D44"/>
    <w:rsid w:val="00300DE6"/>
    <w:rsid w:val="003013FB"/>
    <w:rsid w:val="00301708"/>
    <w:rsid w:val="00302169"/>
    <w:rsid w:val="00302447"/>
    <w:rsid w:val="0030271A"/>
    <w:rsid w:val="0030282A"/>
    <w:rsid w:val="0030302F"/>
    <w:rsid w:val="0030349C"/>
    <w:rsid w:val="00303544"/>
    <w:rsid w:val="00303832"/>
    <w:rsid w:val="0030396E"/>
    <w:rsid w:val="00303BDD"/>
    <w:rsid w:val="00303F76"/>
    <w:rsid w:val="00304293"/>
    <w:rsid w:val="0030450C"/>
    <w:rsid w:val="0030450F"/>
    <w:rsid w:val="00304688"/>
    <w:rsid w:val="003048A6"/>
    <w:rsid w:val="00304F61"/>
    <w:rsid w:val="0030509F"/>
    <w:rsid w:val="00305349"/>
    <w:rsid w:val="0030580F"/>
    <w:rsid w:val="00305A1C"/>
    <w:rsid w:val="00305DC4"/>
    <w:rsid w:val="003061BB"/>
    <w:rsid w:val="003063B3"/>
    <w:rsid w:val="00306445"/>
    <w:rsid w:val="0030724C"/>
    <w:rsid w:val="0030785B"/>
    <w:rsid w:val="00307D8A"/>
    <w:rsid w:val="003100CE"/>
    <w:rsid w:val="003102BB"/>
    <w:rsid w:val="003105D7"/>
    <w:rsid w:val="003107A1"/>
    <w:rsid w:val="0031090F"/>
    <w:rsid w:val="00310994"/>
    <w:rsid w:val="00310BC2"/>
    <w:rsid w:val="00311829"/>
    <w:rsid w:val="00311D97"/>
    <w:rsid w:val="00311FE9"/>
    <w:rsid w:val="003128D7"/>
    <w:rsid w:val="003129F2"/>
    <w:rsid w:val="00312AEF"/>
    <w:rsid w:val="00313025"/>
    <w:rsid w:val="0031393C"/>
    <w:rsid w:val="00313BB2"/>
    <w:rsid w:val="00314315"/>
    <w:rsid w:val="0031470B"/>
    <w:rsid w:val="00314DFC"/>
    <w:rsid w:val="003156E7"/>
    <w:rsid w:val="00315784"/>
    <w:rsid w:val="00315DB4"/>
    <w:rsid w:val="00315DCB"/>
    <w:rsid w:val="00315DF7"/>
    <w:rsid w:val="0031631D"/>
    <w:rsid w:val="00316827"/>
    <w:rsid w:val="003172A8"/>
    <w:rsid w:val="00320927"/>
    <w:rsid w:val="00320A1A"/>
    <w:rsid w:val="00320C1F"/>
    <w:rsid w:val="00320E8E"/>
    <w:rsid w:val="00321DAF"/>
    <w:rsid w:val="0032288B"/>
    <w:rsid w:val="00323342"/>
    <w:rsid w:val="00323725"/>
    <w:rsid w:val="00324AFC"/>
    <w:rsid w:val="00324F3B"/>
    <w:rsid w:val="00325FD6"/>
    <w:rsid w:val="0032601A"/>
    <w:rsid w:val="00326329"/>
    <w:rsid w:val="0032694D"/>
    <w:rsid w:val="00326EEE"/>
    <w:rsid w:val="00326FF7"/>
    <w:rsid w:val="00327C48"/>
    <w:rsid w:val="00327E24"/>
    <w:rsid w:val="00330B26"/>
    <w:rsid w:val="00330B7D"/>
    <w:rsid w:val="00330E7F"/>
    <w:rsid w:val="00330F0F"/>
    <w:rsid w:val="00331263"/>
    <w:rsid w:val="003312B0"/>
    <w:rsid w:val="003314D1"/>
    <w:rsid w:val="00331649"/>
    <w:rsid w:val="00331876"/>
    <w:rsid w:val="00331C3A"/>
    <w:rsid w:val="00331F21"/>
    <w:rsid w:val="00332437"/>
    <w:rsid w:val="00332689"/>
    <w:rsid w:val="003328DE"/>
    <w:rsid w:val="00332A91"/>
    <w:rsid w:val="00332FCB"/>
    <w:rsid w:val="00333739"/>
    <w:rsid w:val="00333C74"/>
    <w:rsid w:val="00334CC3"/>
    <w:rsid w:val="00334CF7"/>
    <w:rsid w:val="00334DD8"/>
    <w:rsid w:val="00334F6A"/>
    <w:rsid w:val="0033540C"/>
    <w:rsid w:val="00335C22"/>
    <w:rsid w:val="00335D68"/>
    <w:rsid w:val="00335F8A"/>
    <w:rsid w:val="00336038"/>
    <w:rsid w:val="0033611F"/>
    <w:rsid w:val="003361FF"/>
    <w:rsid w:val="00336C0F"/>
    <w:rsid w:val="00336E63"/>
    <w:rsid w:val="00336EEA"/>
    <w:rsid w:val="00336F7B"/>
    <w:rsid w:val="00337368"/>
    <w:rsid w:val="003373FD"/>
    <w:rsid w:val="00337D25"/>
    <w:rsid w:val="00337DAC"/>
    <w:rsid w:val="00337EE4"/>
    <w:rsid w:val="003404C6"/>
    <w:rsid w:val="00340A00"/>
    <w:rsid w:val="003412BA"/>
    <w:rsid w:val="003412EE"/>
    <w:rsid w:val="003414BF"/>
    <w:rsid w:val="00341A63"/>
    <w:rsid w:val="00341B77"/>
    <w:rsid w:val="00342253"/>
    <w:rsid w:val="00342A1D"/>
    <w:rsid w:val="00342DA9"/>
    <w:rsid w:val="00342EB6"/>
    <w:rsid w:val="00342ED3"/>
    <w:rsid w:val="00342F4B"/>
    <w:rsid w:val="003433C8"/>
    <w:rsid w:val="003436E7"/>
    <w:rsid w:val="00343BF3"/>
    <w:rsid w:val="00343DAD"/>
    <w:rsid w:val="00343ED3"/>
    <w:rsid w:val="003444FC"/>
    <w:rsid w:val="003445CD"/>
    <w:rsid w:val="00344698"/>
    <w:rsid w:val="00344CE1"/>
    <w:rsid w:val="003453EF"/>
    <w:rsid w:val="00345937"/>
    <w:rsid w:val="00345958"/>
    <w:rsid w:val="00345967"/>
    <w:rsid w:val="00345AD5"/>
    <w:rsid w:val="00345E12"/>
    <w:rsid w:val="003469EA"/>
    <w:rsid w:val="00346D2D"/>
    <w:rsid w:val="00347999"/>
    <w:rsid w:val="00347BD9"/>
    <w:rsid w:val="00347CED"/>
    <w:rsid w:val="0035025D"/>
    <w:rsid w:val="00350457"/>
    <w:rsid w:val="003506AE"/>
    <w:rsid w:val="00350D2A"/>
    <w:rsid w:val="00350FA1"/>
    <w:rsid w:val="003510C0"/>
    <w:rsid w:val="0035151D"/>
    <w:rsid w:val="00351823"/>
    <w:rsid w:val="003518EB"/>
    <w:rsid w:val="00351CCF"/>
    <w:rsid w:val="00351FEF"/>
    <w:rsid w:val="0035295A"/>
    <w:rsid w:val="00352A66"/>
    <w:rsid w:val="00353499"/>
    <w:rsid w:val="003536B1"/>
    <w:rsid w:val="003537AE"/>
    <w:rsid w:val="0035427F"/>
    <w:rsid w:val="00354BF3"/>
    <w:rsid w:val="00354DD6"/>
    <w:rsid w:val="00355244"/>
    <w:rsid w:val="00355C7B"/>
    <w:rsid w:val="00356167"/>
    <w:rsid w:val="003564D7"/>
    <w:rsid w:val="0035658A"/>
    <w:rsid w:val="003566E0"/>
    <w:rsid w:val="003567EF"/>
    <w:rsid w:val="003569F8"/>
    <w:rsid w:val="00356CFE"/>
    <w:rsid w:val="00357CE5"/>
    <w:rsid w:val="00357EB6"/>
    <w:rsid w:val="00357F1F"/>
    <w:rsid w:val="00360E12"/>
    <w:rsid w:val="0036109F"/>
    <w:rsid w:val="00361B0F"/>
    <w:rsid w:val="00361C2F"/>
    <w:rsid w:val="00361E2E"/>
    <w:rsid w:val="00361F1A"/>
    <w:rsid w:val="0036213E"/>
    <w:rsid w:val="0036396A"/>
    <w:rsid w:val="003639B7"/>
    <w:rsid w:val="00363A92"/>
    <w:rsid w:val="00363EF6"/>
    <w:rsid w:val="003641E4"/>
    <w:rsid w:val="00364666"/>
    <w:rsid w:val="0036475B"/>
    <w:rsid w:val="00364FDD"/>
    <w:rsid w:val="003664A2"/>
    <w:rsid w:val="00366656"/>
    <w:rsid w:val="00366668"/>
    <w:rsid w:val="00366B31"/>
    <w:rsid w:val="00366D22"/>
    <w:rsid w:val="00366F96"/>
    <w:rsid w:val="0036705E"/>
    <w:rsid w:val="00367737"/>
    <w:rsid w:val="00367DCB"/>
    <w:rsid w:val="00367E2F"/>
    <w:rsid w:val="00367EDA"/>
    <w:rsid w:val="00370249"/>
    <w:rsid w:val="0037027A"/>
    <w:rsid w:val="00370BE2"/>
    <w:rsid w:val="00370E22"/>
    <w:rsid w:val="003715F2"/>
    <w:rsid w:val="003717DA"/>
    <w:rsid w:val="00371C5B"/>
    <w:rsid w:val="00371FC0"/>
    <w:rsid w:val="00372050"/>
    <w:rsid w:val="00372341"/>
    <w:rsid w:val="003728FD"/>
    <w:rsid w:val="00372C4B"/>
    <w:rsid w:val="00373453"/>
    <w:rsid w:val="00373E4F"/>
    <w:rsid w:val="00374A29"/>
    <w:rsid w:val="003753B4"/>
    <w:rsid w:val="003757E4"/>
    <w:rsid w:val="003759A9"/>
    <w:rsid w:val="003769AF"/>
    <w:rsid w:val="0037729D"/>
    <w:rsid w:val="0037746D"/>
    <w:rsid w:val="00377598"/>
    <w:rsid w:val="003776D3"/>
    <w:rsid w:val="003778CD"/>
    <w:rsid w:val="003805EA"/>
    <w:rsid w:val="003805F3"/>
    <w:rsid w:val="00381058"/>
    <w:rsid w:val="003814D2"/>
    <w:rsid w:val="00381A65"/>
    <w:rsid w:val="00381EB0"/>
    <w:rsid w:val="0038219B"/>
    <w:rsid w:val="00382360"/>
    <w:rsid w:val="00382954"/>
    <w:rsid w:val="00382A61"/>
    <w:rsid w:val="00384443"/>
    <w:rsid w:val="00384D6C"/>
    <w:rsid w:val="003850CB"/>
    <w:rsid w:val="00385147"/>
    <w:rsid w:val="0038568D"/>
    <w:rsid w:val="00385C2D"/>
    <w:rsid w:val="003866E4"/>
    <w:rsid w:val="003869AC"/>
    <w:rsid w:val="00386C24"/>
    <w:rsid w:val="00386D9B"/>
    <w:rsid w:val="00386EF0"/>
    <w:rsid w:val="00387A7E"/>
    <w:rsid w:val="00387BB6"/>
    <w:rsid w:val="00390055"/>
    <w:rsid w:val="003901A8"/>
    <w:rsid w:val="00390440"/>
    <w:rsid w:val="00390507"/>
    <w:rsid w:val="003905FF"/>
    <w:rsid w:val="003907BB"/>
    <w:rsid w:val="00390CF6"/>
    <w:rsid w:val="0039129D"/>
    <w:rsid w:val="003913FF"/>
    <w:rsid w:val="00391759"/>
    <w:rsid w:val="00391785"/>
    <w:rsid w:val="00391848"/>
    <w:rsid w:val="00391898"/>
    <w:rsid w:val="00392133"/>
    <w:rsid w:val="003923A4"/>
    <w:rsid w:val="003923B4"/>
    <w:rsid w:val="00392580"/>
    <w:rsid w:val="00392A21"/>
    <w:rsid w:val="00392DBB"/>
    <w:rsid w:val="00392FDD"/>
    <w:rsid w:val="003930A5"/>
    <w:rsid w:val="003946DC"/>
    <w:rsid w:val="00395158"/>
    <w:rsid w:val="0039554E"/>
    <w:rsid w:val="00395980"/>
    <w:rsid w:val="003965C3"/>
    <w:rsid w:val="00396916"/>
    <w:rsid w:val="00397050"/>
    <w:rsid w:val="003972A4"/>
    <w:rsid w:val="0039776B"/>
    <w:rsid w:val="003977D0"/>
    <w:rsid w:val="003978ED"/>
    <w:rsid w:val="00397C75"/>
    <w:rsid w:val="00397C78"/>
    <w:rsid w:val="00397CBA"/>
    <w:rsid w:val="003A021A"/>
    <w:rsid w:val="003A10BF"/>
    <w:rsid w:val="003A1283"/>
    <w:rsid w:val="003A1362"/>
    <w:rsid w:val="003A16E6"/>
    <w:rsid w:val="003A18E8"/>
    <w:rsid w:val="003A1A2D"/>
    <w:rsid w:val="003A1F4C"/>
    <w:rsid w:val="003A20EF"/>
    <w:rsid w:val="003A256B"/>
    <w:rsid w:val="003A2601"/>
    <w:rsid w:val="003A3694"/>
    <w:rsid w:val="003A371A"/>
    <w:rsid w:val="003A3787"/>
    <w:rsid w:val="003A38B5"/>
    <w:rsid w:val="003A471F"/>
    <w:rsid w:val="003A48F3"/>
    <w:rsid w:val="003A4FF8"/>
    <w:rsid w:val="003A5184"/>
    <w:rsid w:val="003A54E4"/>
    <w:rsid w:val="003A604A"/>
    <w:rsid w:val="003A60A9"/>
    <w:rsid w:val="003A6392"/>
    <w:rsid w:val="003A6526"/>
    <w:rsid w:val="003A71AA"/>
    <w:rsid w:val="003A74D8"/>
    <w:rsid w:val="003A7FEB"/>
    <w:rsid w:val="003B050C"/>
    <w:rsid w:val="003B0579"/>
    <w:rsid w:val="003B0CC1"/>
    <w:rsid w:val="003B15D2"/>
    <w:rsid w:val="003B275F"/>
    <w:rsid w:val="003B2B5E"/>
    <w:rsid w:val="003B2D45"/>
    <w:rsid w:val="003B3244"/>
    <w:rsid w:val="003B3430"/>
    <w:rsid w:val="003B3AD4"/>
    <w:rsid w:val="003B3CB2"/>
    <w:rsid w:val="003B44B8"/>
    <w:rsid w:val="003B4600"/>
    <w:rsid w:val="003B4B2B"/>
    <w:rsid w:val="003B4C87"/>
    <w:rsid w:val="003B4D53"/>
    <w:rsid w:val="003B51E7"/>
    <w:rsid w:val="003B5418"/>
    <w:rsid w:val="003B5895"/>
    <w:rsid w:val="003B5A73"/>
    <w:rsid w:val="003B5D0D"/>
    <w:rsid w:val="003B614A"/>
    <w:rsid w:val="003B6C06"/>
    <w:rsid w:val="003B6F44"/>
    <w:rsid w:val="003B7087"/>
    <w:rsid w:val="003B7689"/>
    <w:rsid w:val="003B7EE7"/>
    <w:rsid w:val="003C0C52"/>
    <w:rsid w:val="003C1352"/>
    <w:rsid w:val="003C19C9"/>
    <w:rsid w:val="003C2256"/>
    <w:rsid w:val="003C26F0"/>
    <w:rsid w:val="003C2A8F"/>
    <w:rsid w:val="003C2B15"/>
    <w:rsid w:val="003C3328"/>
    <w:rsid w:val="003C4886"/>
    <w:rsid w:val="003C53B0"/>
    <w:rsid w:val="003C5572"/>
    <w:rsid w:val="003C56C4"/>
    <w:rsid w:val="003C5C91"/>
    <w:rsid w:val="003C63B9"/>
    <w:rsid w:val="003C63BB"/>
    <w:rsid w:val="003C66B5"/>
    <w:rsid w:val="003C673B"/>
    <w:rsid w:val="003C6C6C"/>
    <w:rsid w:val="003C6F18"/>
    <w:rsid w:val="003C7485"/>
    <w:rsid w:val="003D045C"/>
    <w:rsid w:val="003D05DE"/>
    <w:rsid w:val="003D0A98"/>
    <w:rsid w:val="003D0AB9"/>
    <w:rsid w:val="003D0CBE"/>
    <w:rsid w:val="003D0E97"/>
    <w:rsid w:val="003D10A0"/>
    <w:rsid w:val="003D1122"/>
    <w:rsid w:val="003D1182"/>
    <w:rsid w:val="003D1413"/>
    <w:rsid w:val="003D14C9"/>
    <w:rsid w:val="003D14CD"/>
    <w:rsid w:val="003D16FC"/>
    <w:rsid w:val="003D1702"/>
    <w:rsid w:val="003D170B"/>
    <w:rsid w:val="003D19A7"/>
    <w:rsid w:val="003D1E74"/>
    <w:rsid w:val="003D2803"/>
    <w:rsid w:val="003D3790"/>
    <w:rsid w:val="003D3952"/>
    <w:rsid w:val="003D3EA6"/>
    <w:rsid w:val="003D4735"/>
    <w:rsid w:val="003D4FD5"/>
    <w:rsid w:val="003D55F3"/>
    <w:rsid w:val="003D584C"/>
    <w:rsid w:val="003D66D7"/>
    <w:rsid w:val="003D6789"/>
    <w:rsid w:val="003D6B85"/>
    <w:rsid w:val="003D7646"/>
    <w:rsid w:val="003D7841"/>
    <w:rsid w:val="003E0232"/>
    <w:rsid w:val="003E0BFD"/>
    <w:rsid w:val="003E0DF9"/>
    <w:rsid w:val="003E0EE6"/>
    <w:rsid w:val="003E14DF"/>
    <w:rsid w:val="003E15E0"/>
    <w:rsid w:val="003E16C8"/>
    <w:rsid w:val="003E1894"/>
    <w:rsid w:val="003E1C5F"/>
    <w:rsid w:val="003E2144"/>
    <w:rsid w:val="003E3384"/>
    <w:rsid w:val="003E3DC3"/>
    <w:rsid w:val="003E3E9B"/>
    <w:rsid w:val="003E3F40"/>
    <w:rsid w:val="003E4010"/>
    <w:rsid w:val="003E4119"/>
    <w:rsid w:val="003E417C"/>
    <w:rsid w:val="003E468B"/>
    <w:rsid w:val="003E483D"/>
    <w:rsid w:val="003E4CFC"/>
    <w:rsid w:val="003E5243"/>
    <w:rsid w:val="003E5A24"/>
    <w:rsid w:val="003E5A3F"/>
    <w:rsid w:val="003E5B2E"/>
    <w:rsid w:val="003E61E4"/>
    <w:rsid w:val="003E6C4E"/>
    <w:rsid w:val="003E6E59"/>
    <w:rsid w:val="003E6EBE"/>
    <w:rsid w:val="003E7174"/>
    <w:rsid w:val="003E7394"/>
    <w:rsid w:val="003E76F4"/>
    <w:rsid w:val="003E79A5"/>
    <w:rsid w:val="003E7C21"/>
    <w:rsid w:val="003F02D0"/>
    <w:rsid w:val="003F0C91"/>
    <w:rsid w:val="003F0DD8"/>
    <w:rsid w:val="003F0F3E"/>
    <w:rsid w:val="003F12BB"/>
    <w:rsid w:val="003F15EF"/>
    <w:rsid w:val="003F171C"/>
    <w:rsid w:val="003F1870"/>
    <w:rsid w:val="003F1B24"/>
    <w:rsid w:val="003F2024"/>
    <w:rsid w:val="003F238A"/>
    <w:rsid w:val="003F2536"/>
    <w:rsid w:val="003F275A"/>
    <w:rsid w:val="003F2823"/>
    <w:rsid w:val="003F2A71"/>
    <w:rsid w:val="003F2A85"/>
    <w:rsid w:val="003F2ABA"/>
    <w:rsid w:val="003F2FAE"/>
    <w:rsid w:val="003F2FD2"/>
    <w:rsid w:val="003F352A"/>
    <w:rsid w:val="003F3950"/>
    <w:rsid w:val="003F3DCB"/>
    <w:rsid w:val="003F4381"/>
    <w:rsid w:val="003F45CC"/>
    <w:rsid w:val="003F468E"/>
    <w:rsid w:val="003F4CA7"/>
    <w:rsid w:val="003F5796"/>
    <w:rsid w:val="003F5D1F"/>
    <w:rsid w:val="003F6037"/>
    <w:rsid w:val="003F6C75"/>
    <w:rsid w:val="003F6D7D"/>
    <w:rsid w:val="003F6F7E"/>
    <w:rsid w:val="003F7705"/>
    <w:rsid w:val="003F7C8B"/>
    <w:rsid w:val="004002D2"/>
    <w:rsid w:val="004002D4"/>
    <w:rsid w:val="00400315"/>
    <w:rsid w:val="00400800"/>
    <w:rsid w:val="00400A08"/>
    <w:rsid w:val="00400AE3"/>
    <w:rsid w:val="00400C93"/>
    <w:rsid w:val="00401431"/>
    <w:rsid w:val="0040182C"/>
    <w:rsid w:val="00402231"/>
    <w:rsid w:val="004028A9"/>
    <w:rsid w:val="004036F9"/>
    <w:rsid w:val="00403905"/>
    <w:rsid w:val="00403CF4"/>
    <w:rsid w:val="00403D05"/>
    <w:rsid w:val="00404162"/>
    <w:rsid w:val="00404249"/>
    <w:rsid w:val="00404B66"/>
    <w:rsid w:val="004055CE"/>
    <w:rsid w:val="00405784"/>
    <w:rsid w:val="00405A4E"/>
    <w:rsid w:val="00406188"/>
    <w:rsid w:val="00406537"/>
    <w:rsid w:val="00406825"/>
    <w:rsid w:val="004068A3"/>
    <w:rsid w:val="00406987"/>
    <w:rsid w:val="00406C50"/>
    <w:rsid w:val="004077CE"/>
    <w:rsid w:val="00410242"/>
    <w:rsid w:val="004103DD"/>
    <w:rsid w:val="004108C6"/>
    <w:rsid w:val="0041096C"/>
    <w:rsid w:val="004109EE"/>
    <w:rsid w:val="00410AE6"/>
    <w:rsid w:val="00410EB8"/>
    <w:rsid w:val="00410EC8"/>
    <w:rsid w:val="004114A8"/>
    <w:rsid w:val="00411A40"/>
    <w:rsid w:val="00411B8D"/>
    <w:rsid w:val="00411F8D"/>
    <w:rsid w:val="004121B8"/>
    <w:rsid w:val="004125A3"/>
    <w:rsid w:val="004128A0"/>
    <w:rsid w:val="0041304B"/>
    <w:rsid w:val="00413057"/>
    <w:rsid w:val="00414EEC"/>
    <w:rsid w:val="00415511"/>
    <w:rsid w:val="00415723"/>
    <w:rsid w:val="004159CE"/>
    <w:rsid w:val="00415E45"/>
    <w:rsid w:val="004163D0"/>
    <w:rsid w:val="004170A3"/>
    <w:rsid w:val="00417306"/>
    <w:rsid w:val="0041733F"/>
    <w:rsid w:val="00417FCC"/>
    <w:rsid w:val="0042025F"/>
    <w:rsid w:val="0042061F"/>
    <w:rsid w:val="0042098B"/>
    <w:rsid w:val="00420B54"/>
    <w:rsid w:val="004217F1"/>
    <w:rsid w:val="0042181F"/>
    <w:rsid w:val="004218C7"/>
    <w:rsid w:val="00421B2A"/>
    <w:rsid w:val="00421D20"/>
    <w:rsid w:val="00421D33"/>
    <w:rsid w:val="004224F3"/>
    <w:rsid w:val="004232C6"/>
    <w:rsid w:val="00423689"/>
    <w:rsid w:val="00424774"/>
    <w:rsid w:val="00424C39"/>
    <w:rsid w:val="00424C44"/>
    <w:rsid w:val="00424E25"/>
    <w:rsid w:val="00424FA3"/>
    <w:rsid w:val="00424FB4"/>
    <w:rsid w:val="00425042"/>
    <w:rsid w:val="004250A5"/>
    <w:rsid w:val="00425151"/>
    <w:rsid w:val="00425756"/>
    <w:rsid w:val="00425863"/>
    <w:rsid w:val="00426A2B"/>
    <w:rsid w:val="00426B3B"/>
    <w:rsid w:val="004271C0"/>
    <w:rsid w:val="004272F4"/>
    <w:rsid w:val="0042767D"/>
    <w:rsid w:val="004279C9"/>
    <w:rsid w:val="00427CCC"/>
    <w:rsid w:val="00427E63"/>
    <w:rsid w:val="004302E6"/>
    <w:rsid w:val="00430449"/>
    <w:rsid w:val="004309EE"/>
    <w:rsid w:val="00430EB8"/>
    <w:rsid w:val="00430F01"/>
    <w:rsid w:val="0043105F"/>
    <w:rsid w:val="0043192A"/>
    <w:rsid w:val="00431AA2"/>
    <w:rsid w:val="00431BD7"/>
    <w:rsid w:val="00432058"/>
    <w:rsid w:val="00432155"/>
    <w:rsid w:val="004322C8"/>
    <w:rsid w:val="004324AB"/>
    <w:rsid w:val="00432970"/>
    <w:rsid w:val="00432D5B"/>
    <w:rsid w:val="0043302C"/>
    <w:rsid w:val="0043318F"/>
    <w:rsid w:val="004339D9"/>
    <w:rsid w:val="00433B33"/>
    <w:rsid w:val="00434514"/>
    <w:rsid w:val="00434A57"/>
    <w:rsid w:val="00434F82"/>
    <w:rsid w:val="0043525D"/>
    <w:rsid w:val="00435851"/>
    <w:rsid w:val="00435882"/>
    <w:rsid w:val="00435962"/>
    <w:rsid w:val="00435AF4"/>
    <w:rsid w:val="00435FDF"/>
    <w:rsid w:val="004368B5"/>
    <w:rsid w:val="00436C36"/>
    <w:rsid w:val="00437226"/>
    <w:rsid w:val="004372AC"/>
    <w:rsid w:val="0043748C"/>
    <w:rsid w:val="004374BF"/>
    <w:rsid w:val="00437655"/>
    <w:rsid w:val="00437B3A"/>
    <w:rsid w:val="004405D8"/>
    <w:rsid w:val="004414A8"/>
    <w:rsid w:val="004414B1"/>
    <w:rsid w:val="004417C8"/>
    <w:rsid w:val="00441922"/>
    <w:rsid w:val="00442407"/>
    <w:rsid w:val="0044261B"/>
    <w:rsid w:val="0044261D"/>
    <w:rsid w:val="00442751"/>
    <w:rsid w:val="004430B8"/>
    <w:rsid w:val="004430D0"/>
    <w:rsid w:val="00443303"/>
    <w:rsid w:val="004434F9"/>
    <w:rsid w:val="0044355E"/>
    <w:rsid w:val="00443DA2"/>
    <w:rsid w:val="00443EAC"/>
    <w:rsid w:val="004441CB"/>
    <w:rsid w:val="0044469C"/>
    <w:rsid w:val="00444B80"/>
    <w:rsid w:val="0044571D"/>
    <w:rsid w:val="00445822"/>
    <w:rsid w:val="0044596F"/>
    <w:rsid w:val="00445987"/>
    <w:rsid w:val="00445F48"/>
    <w:rsid w:val="00445F62"/>
    <w:rsid w:val="004464EE"/>
    <w:rsid w:val="004469B3"/>
    <w:rsid w:val="00446DC3"/>
    <w:rsid w:val="00446FD7"/>
    <w:rsid w:val="004473A3"/>
    <w:rsid w:val="0044760E"/>
    <w:rsid w:val="00447949"/>
    <w:rsid w:val="00447B88"/>
    <w:rsid w:val="00447C2B"/>
    <w:rsid w:val="004504FD"/>
    <w:rsid w:val="004507E9"/>
    <w:rsid w:val="00450D04"/>
    <w:rsid w:val="004516A4"/>
    <w:rsid w:val="00451930"/>
    <w:rsid w:val="00451C91"/>
    <w:rsid w:val="00451D21"/>
    <w:rsid w:val="00451DEF"/>
    <w:rsid w:val="00451E87"/>
    <w:rsid w:val="0045236D"/>
    <w:rsid w:val="004529E9"/>
    <w:rsid w:val="00452D79"/>
    <w:rsid w:val="00452DBB"/>
    <w:rsid w:val="00452E45"/>
    <w:rsid w:val="004536EC"/>
    <w:rsid w:val="00454EBF"/>
    <w:rsid w:val="0045513D"/>
    <w:rsid w:val="00455548"/>
    <w:rsid w:val="00455E21"/>
    <w:rsid w:val="00456169"/>
    <w:rsid w:val="00456674"/>
    <w:rsid w:val="004567B5"/>
    <w:rsid w:val="004568E0"/>
    <w:rsid w:val="00456C54"/>
    <w:rsid w:val="00457699"/>
    <w:rsid w:val="004577BF"/>
    <w:rsid w:val="004578B1"/>
    <w:rsid w:val="00457ED2"/>
    <w:rsid w:val="0046042A"/>
    <w:rsid w:val="00460437"/>
    <w:rsid w:val="00460674"/>
    <w:rsid w:val="00460B88"/>
    <w:rsid w:val="00460F75"/>
    <w:rsid w:val="00461354"/>
    <w:rsid w:val="0046146D"/>
    <w:rsid w:val="00461D47"/>
    <w:rsid w:val="00462301"/>
    <w:rsid w:val="00462B42"/>
    <w:rsid w:val="00462BC6"/>
    <w:rsid w:val="00462EFD"/>
    <w:rsid w:val="00463554"/>
    <w:rsid w:val="00463DAE"/>
    <w:rsid w:val="00463F6D"/>
    <w:rsid w:val="00464273"/>
    <w:rsid w:val="004649C5"/>
    <w:rsid w:val="00464D16"/>
    <w:rsid w:val="00464FDC"/>
    <w:rsid w:val="0046507F"/>
    <w:rsid w:val="00465213"/>
    <w:rsid w:val="004658F9"/>
    <w:rsid w:val="00465A77"/>
    <w:rsid w:val="00465F35"/>
    <w:rsid w:val="004665B6"/>
    <w:rsid w:val="00466765"/>
    <w:rsid w:val="0046784E"/>
    <w:rsid w:val="004679B4"/>
    <w:rsid w:val="00467BC8"/>
    <w:rsid w:val="0047022E"/>
    <w:rsid w:val="004703A3"/>
    <w:rsid w:val="00470494"/>
    <w:rsid w:val="00470741"/>
    <w:rsid w:val="00470FA6"/>
    <w:rsid w:val="00471136"/>
    <w:rsid w:val="0047135B"/>
    <w:rsid w:val="00471D0E"/>
    <w:rsid w:val="00471E68"/>
    <w:rsid w:val="00471FD9"/>
    <w:rsid w:val="00472381"/>
    <w:rsid w:val="00472402"/>
    <w:rsid w:val="00472495"/>
    <w:rsid w:val="004724DD"/>
    <w:rsid w:val="0047251D"/>
    <w:rsid w:val="004726CE"/>
    <w:rsid w:val="00472760"/>
    <w:rsid w:val="00473294"/>
    <w:rsid w:val="004735A2"/>
    <w:rsid w:val="0047395A"/>
    <w:rsid w:val="00473E19"/>
    <w:rsid w:val="0047410F"/>
    <w:rsid w:val="00474455"/>
    <w:rsid w:val="00474C9C"/>
    <w:rsid w:val="0047591F"/>
    <w:rsid w:val="004759B8"/>
    <w:rsid w:val="00475A4D"/>
    <w:rsid w:val="00475C6D"/>
    <w:rsid w:val="00475E66"/>
    <w:rsid w:val="00476887"/>
    <w:rsid w:val="00476FEC"/>
    <w:rsid w:val="00477B21"/>
    <w:rsid w:val="00480062"/>
    <w:rsid w:val="00480693"/>
    <w:rsid w:val="00481161"/>
    <w:rsid w:val="004817A6"/>
    <w:rsid w:val="00482187"/>
    <w:rsid w:val="004824B2"/>
    <w:rsid w:val="00482A00"/>
    <w:rsid w:val="00482A60"/>
    <w:rsid w:val="00483450"/>
    <w:rsid w:val="004838D5"/>
    <w:rsid w:val="00483E36"/>
    <w:rsid w:val="00483FB7"/>
    <w:rsid w:val="004848F1"/>
    <w:rsid w:val="00485728"/>
    <w:rsid w:val="004858D4"/>
    <w:rsid w:val="00486258"/>
    <w:rsid w:val="004862FD"/>
    <w:rsid w:val="00486552"/>
    <w:rsid w:val="00486977"/>
    <w:rsid w:val="00486B97"/>
    <w:rsid w:val="00487031"/>
    <w:rsid w:val="00487300"/>
    <w:rsid w:val="00487458"/>
    <w:rsid w:val="004877B0"/>
    <w:rsid w:val="004902DC"/>
    <w:rsid w:val="00490988"/>
    <w:rsid w:val="00490A07"/>
    <w:rsid w:val="00490B26"/>
    <w:rsid w:val="004914DE"/>
    <w:rsid w:val="00491844"/>
    <w:rsid w:val="00491B17"/>
    <w:rsid w:val="00491EF6"/>
    <w:rsid w:val="0049242C"/>
    <w:rsid w:val="00492550"/>
    <w:rsid w:val="0049278C"/>
    <w:rsid w:val="004929B2"/>
    <w:rsid w:val="00493120"/>
    <w:rsid w:val="004933FD"/>
    <w:rsid w:val="004935B5"/>
    <w:rsid w:val="00493DFD"/>
    <w:rsid w:val="00494192"/>
    <w:rsid w:val="004941BB"/>
    <w:rsid w:val="0049431B"/>
    <w:rsid w:val="004944E4"/>
    <w:rsid w:val="004947C1"/>
    <w:rsid w:val="00495931"/>
    <w:rsid w:val="00495982"/>
    <w:rsid w:val="00496236"/>
    <w:rsid w:val="004962CB"/>
    <w:rsid w:val="004965C1"/>
    <w:rsid w:val="004976E2"/>
    <w:rsid w:val="004979F3"/>
    <w:rsid w:val="00497B4D"/>
    <w:rsid w:val="00497CC0"/>
    <w:rsid w:val="004A0182"/>
    <w:rsid w:val="004A02E7"/>
    <w:rsid w:val="004A04A3"/>
    <w:rsid w:val="004A05D4"/>
    <w:rsid w:val="004A072A"/>
    <w:rsid w:val="004A0C25"/>
    <w:rsid w:val="004A1119"/>
    <w:rsid w:val="004A1347"/>
    <w:rsid w:val="004A1ADE"/>
    <w:rsid w:val="004A238D"/>
    <w:rsid w:val="004A26FD"/>
    <w:rsid w:val="004A2DD3"/>
    <w:rsid w:val="004A3253"/>
    <w:rsid w:val="004A3617"/>
    <w:rsid w:val="004A3D91"/>
    <w:rsid w:val="004A4309"/>
    <w:rsid w:val="004A43ED"/>
    <w:rsid w:val="004A4438"/>
    <w:rsid w:val="004A4830"/>
    <w:rsid w:val="004A4C2B"/>
    <w:rsid w:val="004A50DF"/>
    <w:rsid w:val="004A606D"/>
    <w:rsid w:val="004A64C0"/>
    <w:rsid w:val="004A6558"/>
    <w:rsid w:val="004A6671"/>
    <w:rsid w:val="004A678F"/>
    <w:rsid w:val="004A6AEF"/>
    <w:rsid w:val="004A6D42"/>
    <w:rsid w:val="004A6DA2"/>
    <w:rsid w:val="004A7085"/>
    <w:rsid w:val="004A7143"/>
    <w:rsid w:val="004A7240"/>
    <w:rsid w:val="004A7A8A"/>
    <w:rsid w:val="004B0652"/>
    <w:rsid w:val="004B09B5"/>
    <w:rsid w:val="004B126D"/>
    <w:rsid w:val="004B1710"/>
    <w:rsid w:val="004B24FB"/>
    <w:rsid w:val="004B266D"/>
    <w:rsid w:val="004B3CDA"/>
    <w:rsid w:val="004B43C6"/>
    <w:rsid w:val="004B4941"/>
    <w:rsid w:val="004B4DAA"/>
    <w:rsid w:val="004B4DDE"/>
    <w:rsid w:val="004B4E79"/>
    <w:rsid w:val="004B5228"/>
    <w:rsid w:val="004B5602"/>
    <w:rsid w:val="004B5CB9"/>
    <w:rsid w:val="004B60FE"/>
    <w:rsid w:val="004B6A20"/>
    <w:rsid w:val="004B6CEE"/>
    <w:rsid w:val="004B7192"/>
    <w:rsid w:val="004B7315"/>
    <w:rsid w:val="004B790E"/>
    <w:rsid w:val="004B7BE9"/>
    <w:rsid w:val="004B7D49"/>
    <w:rsid w:val="004C0311"/>
    <w:rsid w:val="004C0418"/>
    <w:rsid w:val="004C0ED7"/>
    <w:rsid w:val="004C0F25"/>
    <w:rsid w:val="004C0FA5"/>
    <w:rsid w:val="004C1974"/>
    <w:rsid w:val="004C2156"/>
    <w:rsid w:val="004C218B"/>
    <w:rsid w:val="004C2848"/>
    <w:rsid w:val="004C284A"/>
    <w:rsid w:val="004C28AD"/>
    <w:rsid w:val="004C2BC0"/>
    <w:rsid w:val="004C3EAD"/>
    <w:rsid w:val="004C3FBA"/>
    <w:rsid w:val="004C42FB"/>
    <w:rsid w:val="004C4485"/>
    <w:rsid w:val="004C4586"/>
    <w:rsid w:val="004C488F"/>
    <w:rsid w:val="004C4957"/>
    <w:rsid w:val="004C4C7E"/>
    <w:rsid w:val="004C5036"/>
    <w:rsid w:val="004C55E9"/>
    <w:rsid w:val="004C5708"/>
    <w:rsid w:val="004C58E8"/>
    <w:rsid w:val="004C5AEE"/>
    <w:rsid w:val="004C65C2"/>
    <w:rsid w:val="004C6928"/>
    <w:rsid w:val="004C6A1B"/>
    <w:rsid w:val="004C6ADA"/>
    <w:rsid w:val="004C6CBE"/>
    <w:rsid w:val="004C709E"/>
    <w:rsid w:val="004C741A"/>
    <w:rsid w:val="004C79D5"/>
    <w:rsid w:val="004D0013"/>
    <w:rsid w:val="004D0428"/>
    <w:rsid w:val="004D1220"/>
    <w:rsid w:val="004D1A45"/>
    <w:rsid w:val="004D1BB7"/>
    <w:rsid w:val="004D2421"/>
    <w:rsid w:val="004D24BC"/>
    <w:rsid w:val="004D256D"/>
    <w:rsid w:val="004D2AA8"/>
    <w:rsid w:val="004D2B44"/>
    <w:rsid w:val="004D2D61"/>
    <w:rsid w:val="004D2EAD"/>
    <w:rsid w:val="004D30F4"/>
    <w:rsid w:val="004D3325"/>
    <w:rsid w:val="004D3CE1"/>
    <w:rsid w:val="004D4989"/>
    <w:rsid w:val="004D5144"/>
    <w:rsid w:val="004D5B78"/>
    <w:rsid w:val="004D5F54"/>
    <w:rsid w:val="004D614E"/>
    <w:rsid w:val="004D6257"/>
    <w:rsid w:val="004D6279"/>
    <w:rsid w:val="004D670C"/>
    <w:rsid w:val="004D6C84"/>
    <w:rsid w:val="004D728B"/>
    <w:rsid w:val="004D77EF"/>
    <w:rsid w:val="004D7EB7"/>
    <w:rsid w:val="004E0561"/>
    <w:rsid w:val="004E070C"/>
    <w:rsid w:val="004E0A99"/>
    <w:rsid w:val="004E0A9C"/>
    <w:rsid w:val="004E0A9F"/>
    <w:rsid w:val="004E0C21"/>
    <w:rsid w:val="004E0D5A"/>
    <w:rsid w:val="004E11F6"/>
    <w:rsid w:val="004E1809"/>
    <w:rsid w:val="004E18E8"/>
    <w:rsid w:val="004E1A5F"/>
    <w:rsid w:val="004E2102"/>
    <w:rsid w:val="004E2CC4"/>
    <w:rsid w:val="004E30A0"/>
    <w:rsid w:val="004E3243"/>
    <w:rsid w:val="004E347E"/>
    <w:rsid w:val="004E3525"/>
    <w:rsid w:val="004E3890"/>
    <w:rsid w:val="004E3A27"/>
    <w:rsid w:val="004E3BE6"/>
    <w:rsid w:val="004E3E89"/>
    <w:rsid w:val="004E41E5"/>
    <w:rsid w:val="004E4317"/>
    <w:rsid w:val="004E47D0"/>
    <w:rsid w:val="004E4A0D"/>
    <w:rsid w:val="004E4BA2"/>
    <w:rsid w:val="004E4D99"/>
    <w:rsid w:val="004E4FE3"/>
    <w:rsid w:val="004E521B"/>
    <w:rsid w:val="004E549D"/>
    <w:rsid w:val="004E59B8"/>
    <w:rsid w:val="004E6012"/>
    <w:rsid w:val="004E709A"/>
    <w:rsid w:val="004E746A"/>
    <w:rsid w:val="004E76A1"/>
    <w:rsid w:val="004E7AAD"/>
    <w:rsid w:val="004E7D23"/>
    <w:rsid w:val="004E7D67"/>
    <w:rsid w:val="004E7F5A"/>
    <w:rsid w:val="004F0C16"/>
    <w:rsid w:val="004F12D6"/>
    <w:rsid w:val="004F1573"/>
    <w:rsid w:val="004F1C15"/>
    <w:rsid w:val="004F202A"/>
    <w:rsid w:val="004F2399"/>
    <w:rsid w:val="004F2701"/>
    <w:rsid w:val="004F2AA0"/>
    <w:rsid w:val="004F35B1"/>
    <w:rsid w:val="004F3CB0"/>
    <w:rsid w:val="004F418C"/>
    <w:rsid w:val="004F4637"/>
    <w:rsid w:val="004F4751"/>
    <w:rsid w:val="004F4756"/>
    <w:rsid w:val="004F537A"/>
    <w:rsid w:val="004F593A"/>
    <w:rsid w:val="004F6394"/>
    <w:rsid w:val="004F6770"/>
    <w:rsid w:val="004F7344"/>
    <w:rsid w:val="004F774F"/>
    <w:rsid w:val="004F789A"/>
    <w:rsid w:val="004F79DC"/>
    <w:rsid w:val="00500038"/>
    <w:rsid w:val="0050077F"/>
    <w:rsid w:val="00500BC8"/>
    <w:rsid w:val="0050100C"/>
    <w:rsid w:val="0050123A"/>
    <w:rsid w:val="00501379"/>
    <w:rsid w:val="0050169B"/>
    <w:rsid w:val="005017E8"/>
    <w:rsid w:val="00501D40"/>
    <w:rsid w:val="00501EA6"/>
    <w:rsid w:val="00502128"/>
    <w:rsid w:val="005029E5"/>
    <w:rsid w:val="00502A2C"/>
    <w:rsid w:val="00502DDE"/>
    <w:rsid w:val="00503590"/>
    <w:rsid w:val="0050374D"/>
    <w:rsid w:val="00503AE5"/>
    <w:rsid w:val="0050421F"/>
    <w:rsid w:val="005045F8"/>
    <w:rsid w:val="00504D49"/>
    <w:rsid w:val="00504D73"/>
    <w:rsid w:val="00504F35"/>
    <w:rsid w:val="005053E3"/>
    <w:rsid w:val="00505C06"/>
    <w:rsid w:val="00506008"/>
    <w:rsid w:val="00506500"/>
    <w:rsid w:val="005072C1"/>
    <w:rsid w:val="00507340"/>
    <w:rsid w:val="00507736"/>
    <w:rsid w:val="0050773F"/>
    <w:rsid w:val="00507868"/>
    <w:rsid w:val="00507AB0"/>
    <w:rsid w:val="00507D11"/>
    <w:rsid w:val="00507F26"/>
    <w:rsid w:val="00510A5D"/>
    <w:rsid w:val="00510B77"/>
    <w:rsid w:val="005113C1"/>
    <w:rsid w:val="00511720"/>
    <w:rsid w:val="005119B0"/>
    <w:rsid w:val="005128FA"/>
    <w:rsid w:val="00512DB6"/>
    <w:rsid w:val="005131B1"/>
    <w:rsid w:val="00513498"/>
    <w:rsid w:val="0051351E"/>
    <w:rsid w:val="00513534"/>
    <w:rsid w:val="005136C1"/>
    <w:rsid w:val="00513C7F"/>
    <w:rsid w:val="005140ED"/>
    <w:rsid w:val="00514120"/>
    <w:rsid w:val="00514FE2"/>
    <w:rsid w:val="00515737"/>
    <w:rsid w:val="00515790"/>
    <w:rsid w:val="00515B0F"/>
    <w:rsid w:val="00515BBA"/>
    <w:rsid w:val="00515FC9"/>
    <w:rsid w:val="00516505"/>
    <w:rsid w:val="00516AB6"/>
    <w:rsid w:val="00516B72"/>
    <w:rsid w:val="00516BDD"/>
    <w:rsid w:val="00516D89"/>
    <w:rsid w:val="00517255"/>
    <w:rsid w:val="005179D1"/>
    <w:rsid w:val="00520138"/>
    <w:rsid w:val="0052042F"/>
    <w:rsid w:val="0052084F"/>
    <w:rsid w:val="00520AA7"/>
    <w:rsid w:val="00520B85"/>
    <w:rsid w:val="00520DB6"/>
    <w:rsid w:val="00521863"/>
    <w:rsid w:val="00521912"/>
    <w:rsid w:val="0052296D"/>
    <w:rsid w:val="00522AB6"/>
    <w:rsid w:val="00523199"/>
    <w:rsid w:val="00523752"/>
    <w:rsid w:val="00523982"/>
    <w:rsid w:val="00523FB6"/>
    <w:rsid w:val="005240E4"/>
    <w:rsid w:val="00524F88"/>
    <w:rsid w:val="005254DF"/>
    <w:rsid w:val="005256E9"/>
    <w:rsid w:val="00525EBA"/>
    <w:rsid w:val="00525EFB"/>
    <w:rsid w:val="00526D66"/>
    <w:rsid w:val="0052720E"/>
    <w:rsid w:val="00527452"/>
    <w:rsid w:val="00527E3F"/>
    <w:rsid w:val="00527F04"/>
    <w:rsid w:val="00530167"/>
    <w:rsid w:val="00530977"/>
    <w:rsid w:val="00530D67"/>
    <w:rsid w:val="00530DFE"/>
    <w:rsid w:val="00530FEF"/>
    <w:rsid w:val="005319CB"/>
    <w:rsid w:val="00531A9A"/>
    <w:rsid w:val="00531D68"/>
    <w:rsid w:val="00531F01"/>
    <w:rsid w:val="00532798"/>
    <w:rsid w:val="00532CC8"/>
    <w:rsid w:val="00532DCE"/>
    <w:rsid w:val="005334A9"/>
    <w:rsid w:val="005335BB"/>
    <w:rsid w:val="0053388E"/>
    <w:rsid w:val="00533E51"/>
    <w:rsid w:val="005341EF"/>
    <w:rsid w:val="00534554"/>
    <w:rsid w:val="00534D7C"/>
    <w:rsid w:val="00534DDF"/>
    <w:rsid w:val="0053507B"/>
    <w:rsid w:val="005357DC"/>
    <w:rsid w:val="00536311"/>
    <w:rsid w:val="0053644B"/>
    <w:rsid w:val="005364D3"/>
    <w:rsid w:val="0053670A"/>
    <w:rsid w:val="0053671D"/>
    <w:rsid w:val="00536CB6"/>
    <w:rsid w:val="005370B2"/>
    <w:rsid w:val="00537260"/>
    <w:rsid w:val="005374AA"/>
    <w:rsid w:val="005379BB"/>
    <w:rsid w:val="00537BB8"/>
    <w:rsid w:val="00537DEE"/>
    <w:rsid w:val="00540369"/>
    <w:rsid w:val="00540C58"/>
    <w:rsid w:val="0054129A"/>
    <w:rsid w:val="00541831"/>
    <w:rsid w:val="00541916"/>
    <w:rsid w:val="00541D12"/>
    <w:rsid w:val="00542215"/>
    <w:rsid w:val="005428D4"/>
    <w:rsid w:val="00542A71"/>
    <w:rsid w:val="005431C6"/>
    <w:rsid w:val="00543970"/>
    <w:rsid w:val="00543B7E"/>
    <w:rsid w:val="005446B4"/>
    <w:rsid w:val="00544C8E"/>
    <w:rsid w:val="00544FC3"/>
    <w:rsid w:val="0054534A"/>
    <w:rsid w:val="005453D8"/>
    <w:rsid w:val="005457BF"/>
    <w:rsid w:val="0054602D"/>
    <w:rsid w:val="00546A23"/>
    <w:rsid w:val="005471FD"/>
    <w:rsid w:val="00547563"/>
    <w:rsid w:val="00550AA5"/>
    <w:rsid w:val="00550BF5"/>
    <w:rsid w:val="005513EC"/>
    <w:rsid w:val="0055159D"/>
    <w:rsid w:val="0055192F"/>
    <w:rsid w:val="005520CA"/>
    <w:rsid w:val="005530F3"/>
    <w:rsid w:val="00553136"/>
    <w:rsid w:val="00553781"/>
    <w:rsid w:val="00553C35"/>
    <w:rsid w:val="005543CE"/>
    <w:rsid w:val="00554835"/>
    <w:rsid w:val="005554CB"/>
    <w:rsid w:val="00555A48"/>
    <w:rsid w:val="00555E0F"/>
    <w:rsid w:val="00556139"/>
    <w:rsid w:val="00556619"/>
    <w:rsid w:val="00556D87"/>
    <w:rsid w:val="00556F51"/>
    <w:rsid w:val="0055765E"/>
    <w:rsid w:val="00557F1A"/>
    <w:rsid w:val="00557FF5"/>
    <w:rsid w:val="00560A9C"/>
    <w:rsid w:val="00560F40"/>
    <w:rsid w:val="00561171"/>
    <w:rsid w:val="005619F4"/>
    <w:rsid w:val="00561EDD"/>
    <w:rsid w:val="0056217D"/>
    <w:rsid w:val="00562632"/>
    <w:rsid w:val="00562865"/>
    <w:rsid w:val="00562A1A"/>
    <w:rsid w:val="00562A7C"/>
    <w:rsid w:val="00562B41"/>
    <w:rsid w:val="00563034"/>
    <w:rsid w:val="00563164"/>
    <w:rsid w:val="00563215"/>
    <w:rsid w:val="005639FB"/>
    <w:rsid w:val="00563A4A"/>
    <w:rsid w:val="00563FF8"/>
    <w:rsid w:val="0056402F"/>
    <w:rsid w:val="005643C5"/>
    <w:rsid w:val="0056492B"/>
    <w:rsid w:val="00564CF5"/>
    <w:rsid w:val="00565450"/>
    <w:rsid w:val="0056565B"/>
    <w:rsid w:val="00565871"/>
    <w:rsid w:val="00565C84"/>
    <w:rsid w:val="0056655E"/>
    <w:rsid w:val="0056667E"/>
    <w:rsid w:val="0056667F"/>
    <w:rsid w:val="00566935"/>
    <w:rsid w:val="00567DFE"/>
    <w:rsid w:val="00570107"/>
    <w:rsid w:val="0057070E"/>
    <w:rsid w:val="00571066"/>
    <w:rsid w:val="00571EED"/>
    <w:rsid w:val="00571F14"/>
    <w:rsid w:val="005727D8"/>
    <w:rsid w:val="0057325E"/>
    <w:rsid w:val="00573C79"/>
    <w:rsid w:val="00573EFA"/>
    <w:rsid w:val="00574058"/>
    <w:rsid w:val="00574183"/>
    <w:rsid w:val="0057457B"/>
    <w:rsid w:val="0057495E"/>
    <w:rsid w:val="00574C0A"/>
    <w:rsid w:val="00574C54"/>
    <w:rsid w:val="00574EF8"/>
    <w:rsid w:val="00575452"/>
    <w:rsid w:val="00575504"/>
    <w:rsid w:val="00575903"/>
    <w:rsid w:val="00575AB9"/>
    <w:rsid w:val="005765D6"/>
    <w:rsid w:val="005766BC"/>
    <w:rsid w:val="00576700"/>
    <w:rsid w:val="005769D3"/>
    <w:rsid w:val="00576F5C"/>
    <w:rsid w:val="005773D5"/>
    <w:rsid w:val="005774F2"/>
    <w:rsid w:val="00580943"/>
    <w:rsid w:val="005809DF"/>
    <w:rsid w:val="00580FF6"/>
    <w:rsid w:val="005815E2"/>
    <w:rsid w:val="005816FE"/>
    <w:rsid w:val="0058216A"/>
    <w:rsid w:val="00582D83"/>
    <w:rsid w:val="00582ED6"/>
    <w:rsid w:val="00583478"/>
    <w:rsid w:val="00583819"/>
    <w:rsid w:val="00583830"/>
    <w:rsid w:val="00583A46"/>
    <w:rsid w:val="00584054"/>
    <w:rsid w:val="00584125"/>
    <w:rsid w:val="005842B8"/>
    <w:rsid w:val="0058454F"/>
    <w:rsid w:val="00584D64"/>
    <w:rsid w:val="00585A84"/>
    <w:rsid w:val="00585FD6"/>
    <w:rsid w:val="005864FB"/>
    <w:rsid w:val="005866BA"/>
    <w:rsid w:val="00586CCC"/>
    <w:rsid w:val="00587213"/>
    <w:rsid w:val="005872BA"/>
    <w:rsid w:val="005873BE"/>
    <w:rsid w:val="005876CA"/>
    <w:rsid w:val="005879A5"/>
    <w:rsid w:val="005909FE"/>
    <w:rsid w:val="00590F1E"/>
    <w:rsid w:val="005915B3"/>
    <w:rsid w:val="005916CD"/>
    <w:rsid w:val="00591875"/>
    <w:rsid w:val="00591F2F"/>
    <w:rsid w:val="0059203D"/>
    <w:rsid w:val="00592517"/>
    <w:rsid w:val="00592708"/>
    <w:rsid w:val="00592E93"/>
    <w:rsid w:val="00592F93"/>
    <w:rsid w:val="00593466"/>
    <w:rsid w:val="00593CBE"/>
    <w:rsid w:val="00593D21"/>
    <w:rsid w:val="005946EA"/>
    <w:rsid w:val="00594716"/>
    <w:rsid w:val="00594BC6"/>
    <w:rsid w:val="00594CB2"/>
    <w:rsid w:val="00594DB5"/>
    <w:rsid w:val="0059531B"/>
    <w:rsid w:val="00595FAD"/>
    <w:rsid w:val="0059606D"/>
    <w:rsid w:val="00596084"/>
    <w:rsid w:val="005960F5"/>
    <w:rsid w:val="0059644E"/>
    <w:rsid w:val="005968FE"/>
    <w:rsid w:val="00596ADA"/>
    <w:rsid w:val="00596F42"/>
    <w:rsid w:val="00597048"/>
    <w:rsid w:val="00597A00"/>
    <w:rsid w:val="00597ACF"/>
    <w:rsid w:val="00597D2D"/>
    <w:rsid w:val="005A00F4"/>
    <w:rsid w:val="005A01D6"/>
    <w:rsid w:val="005A0631"/>
    <w:rsid w:val="005A0C23"/>
    <w:rsid w:val="005A1084"/>
    <w:rsid w:val="005A10D7"/>
    <w:rsid w:val="005A130D"/>
    <w:rsid w:val="005A1338"/>
    <w:rsid w:val="005A1400"/>
    <w:rsid w:val="005A1687"/>
    <w:rsid w:val="005A199C"/>
    <w:rsid w:val="005A207E"/>
    <w:rsid w:val="005A2088"/>
    <w:rsid w:val="005A3030"/>
    <w:rsid w:val="005A3619"/>
    <w:rsid w:val="005A3702"/>
    <w:rsid w:val="005A392C"/>
    <w:rsid w:val="005A41F5"/>
    <w:rsid w:val="005A483A"/>
    <w:rsid w:val="005A4B68"/>
    <w:rsid w:val="005A4DF8"/>
    <w:rsid w:val="005A4E5D"/>
    <w:rsid w:val="005A5814"/>
    <w:rsid w:val="005A631B"/>
    <w:rsid w:val="005A6960"/>
    <w:rsid w:val="005A6E69"/>
    <w:rsid w:val="005A6F03"/>
    <w:rsid w:val="005A6FDE"/>
    <w:rsid w:val="005A7124"/>
    <w:rsid w:val="005A730B"/>
    <w:rsid w:val="005A7891"/>
    <w:rsid w:val="005A7953"/>
    <w:rsid w:val="005A7D72"/>
    <w:rsid w:val="005A7D91"/>
    <w:rsid w:val="005B0A5E"/>
    <w:rsid w:val="005B0B53"/>
    <w:rsid w:val="005B1047"/>
    <w:rsid w:val="005B1C97"/>
    <w:rsid w:val="005B1F79"/>
    <w:rsid w:val="005B204F"/>
    <w:rsid w:val="005B312F"/>
    <w:rsid w:val="005B32CE"/>
    <w:rsid w:val="005B331F"/>
    <w:rsid w:val="005B3E56"/>
    <w:rsid w:val="005B3EC5"/>
    <w:rsid w:val="005B3F85"/>
    <w:rsid w:val="005B4893"/>
    <w:rsid w:val="005B4901"/>
    <w:rsid w:val="005B497D"/>
    <w:rsid w:val="005B4FFA"/>
    <w:rsid w:val="005B5443"/>
    <w:rsid w:val="005B56EE"/>
    <w:rsid w:val="005B57F1"/>
    <w:rsid w:val="005B5D3F"/>
    <w:rsid w:val="005B6140"/>
    <w:rsid w:val="005B6591"/>
    <w:rsid w:val="005B6A12"/>
    <w:rsid w:val="005B6BD9"/>
    <w:rsid w:val="005B6E71"/>
    <w:rsid w:val="005B6F37"/>
    <w:rsid w:val="005B702D"/>
    <w:rsid w:val="005B707A"/>
    <w:rsid w:val="005B71A3"/>
    <w:rsid w:val="005B793E"/>
    <w:rsid w:val="005B7B49"/>
    <w:rsid w:val="005B7C7F"/>
    <w:rsid w:val="005C0135"/>
    <w:rsid w:val="005C03EA"/>
    <w:rsid w:val="005C0C1B"/>
    <w:rsid w:val="005C0DDD"/>
    <w:rsid w:val="005C0EB1"/>
    <w:rsid w:val="005C1034"/>
    <w:rsid w:val="005C19BB"/>
    <w:rsid w:val="005C1B63"/>
    <w:rsid w:val="005C2AF0"/>
    <w:rsid w:val="005C2BE9"/>
    <w:rsid w:val="005C2D06"/>
    <w:rsid w:val="005C2FD6"/>
    <w:rsid w:val="005C3187"/>
    <w:rsid w:val="005C3210"/>
    <w:rsid w:val="005C34FA"/>
    <w:rsid w:val="005C3ADE"/>
    <w:rsid w:val="005C3CA1"/>
    <w:rsid w:val="005C444D"/>
    <w:rsid w:val="005C46A6"/>
    <w:rsid w:val="005C4B62"/>
    <w:rsid w:val="005C5041"/>
    <w:rsid w:val="005C5502"/>
    <w:rsid w:val="005C59C5"/>
    <w:rsid w:val="005C5EEF"/>
    <w:rsid w:val="005C63E8"/>
    <w:rsid w:val="005C679F"/>
    <w:rsid w:val="005C67AA"/>
    <w:rsid w:val="005C693F"/>
    <w:rsid w:val="005C6BE1"/>
    <w:rsid w:val="005C6D66"/>
    <w:rsid w:val="005C729D"/>
    <w:rsid w:val="005C72A8"/>
    <w:rsid w:val="005C755E"/>
    <w:rsid w:val="005C7A2B"/>
    <w:rsid w:val="005C7EF2"/>
    <w:rsid w:val="005C7F43"/>
    <w:rsid w:val="005D02C9"/>
    <w:rsid w:val="005D10A9"/>
    <w:rsid w:val="005D1F93"/>
    <w:rsid w:val="005D1FEE"/>
    <w:rsid w:val="005D223B"/>
    <w:rsid w:val="005D2C78"/>
    <w:rsid w:val="005D2CCD"/>
    <w:rsid w:val="005D30B5"/>
    <w:rsid w:val="005D3158"/>
    <w:rsid w:val="005D3167"/>
    <w:rsid w:val="005D37E5"/>
    <w:rsid w:val="005D3998"/>
    <w:rsid w:val="005D3C8A"/>
    <w:rsid w:val="005D4774"/>
    <w:rsid w:val="005D499A"/>
    <w:rsid w:val="005D4D68"/>
    <w:rsid w:val="005D4FB3"/>
    <w:rsid w:val="005D5BA4"/>
    <w:rsid w:val="005D5D06"/>
    <w:rsid w:val="005D5D0E"/>
    <w:rsid w:val="005D6951"/>
    <w:rsid w:val="005D764F"/>
    <w:rsid w:val="005D7BC6"/>
    <w:rsid w:val="005E0463"/>
    <w:rsid w:val="005E0BA1"/>
    <w:rsid w:val="005E0F24"/>
    <w:rsid w:val="005E1172"/>
    <w:rsid w:val="005E1335"/>
    <w:rsid w:val="005E1600"/>
    <w:rsid w:val="005E1746"/>
    <w:rsid w:val="005E1A3B"/>
    <w:rsid w:val="005E1CF0"/>
    <w:rsid w:val="005E1E5E"/>
    <w:rsid w:val="005E25B7"/>
    <w:rsid w:val="005E2813"/>
    <w:rsid w:val="005E28DD"/>
    <w:rsid w:val="005E2D11"/>
    <w:rsid w:val="005E2FD3"/>
    <w:rsid w:val="005E32DE"/>
    <w:rsid w:val="005E34BC"/>
    <w:rsid w:val="005E38BC"/>
    <w:rsid w:val="005E3A08"/>
    <w:rsid w:val="005E3D6B"/>
    <w:rsid w:val="005E4023"/>
    <w:rsid w:val="005E4054"/>
    <w:rsid w:val="005E43FF"/>
    <w:rsid w:val="005E4544"/>
    <w:rsid w:val="005E486E"/>
    <w:rsid w:val="005E4E92"/>
    <w:rsid w:val="005E5162"/>
    <w:rsid w:val="005E5555"/>
    <w:rsid w:val="005E5706"/>
    <w:rsid w:val="005E68F9"/>
    <w:rsid w:val="005E7DC2"/>
    <w:rsid w:val="005F0A98"/>
    <w:rsid w:val="005F1057"/>
    <w:rsid w:val="005F11A2"/>
    <w:rsid w:val="005F1243"/>
    <w:rsid w:val="005F13D7"/>
    <w:rsid w:val="005F190E"/>
    <w:rsid w:val="005F1972"/>
    <w:rsid w:val="005F1E1D"/>
    <w:rsid w:val="005F221A"/>
    <w:rsid w:val="005F22C3"/>
    <w:rsid w:val="005F26C9"/>
    <w:rsid w:val="005F2C2F"/>
    <w:rsid w:val="005F2CF5"/>
    <w:rsid w:val="005F2DCC"/>
    <w:rsid w:val="005F2E0C"/>
    <w:rsid w:val="005F324B"/>
    <w:rsid w:val="005F37E4"/>
    <w:rsid w:val="005F37F5"/>
    <w:rsid w:val="005F3B8B"/>
    <w:rsid w:val="005F3EEF"/>
    <w:rsid w:val="005F4185"/>
    <w:rsid w:val="005F43E2"/>
    <w:rsid w:val="005F4497"/>
    <w:rsid w:val="005F4592"/>
    <w:rsid w:val="005F47D0"/>
    <w:rsid w:val="005F4900"/>
    <w:rsid w:val="005F4B46"/>
    <w:rsid w:val="005F4DB8"/>
    <w:rsid w:val="005F4DC3"/>
    <w:rsid w:val="005F6858"/>
    <w:rsid w:val="005F69B0"/>
    <w:rsid w:val="005F6B16"/>
    <w:rsid w:val="005F6F97"/>
    <w:rsid w:val="005F7444"/>
    <w:rsid w:val="005F780F"/>
    <w:rsid w:val="005F78C0"/>
    <w:rsid w:val="00600141"/>
    <w:rsid w:val="0060050E"/>
    <w:rsid w:val="006006A7"/>
    <w:rsid w:val="00600A3A"/>
    <w:rsid w:val="00600A64"/>
    <w:rsid w:val="0060145A"/>
    <w:rsid w:val="0060149B"/>
    <w:rsid w:val="006017E4"/>
    <w:rsid w:val="006028E6"/>
    <w:rsid w:val="00602FD6"/>
    <w:rsid w:val="006030C3"/>
    <w:rsid w:val="006031D9"/>
    <w:rsid w:val="006037E4"/>
    <w:rsid w:val="0060380A"/>
    <w:rsid w:val="00603CD0"/>
    <w:rsid w:val="00603ED0"/>
    <w:rsid w:val="00603F74"/>
    <w:rsid w:val="006044B8"/>
    <w:rsid w:val="00604C75"/>
    <w:rsid w:val="0060519B"/>
    <w:rsid w:val="00605399"/>
    <w:rsid w:val="00605A81"/>
    <w:rsid w:val="00605B88"/>
    <w:rsid w:val="00605BA1"/>
    <w:rsid w:val="00605C5B"/>
    <w:rsid w:val="00605C93"/>
    <w:rsid w:val="0060690E"/>
    <w:rsid w:val="00606CA8"/>
    <w:rsid w:val="00607076"/>
    <w:rsid w:val="00607EC3"/>
    <w:rsid w:val="00610672"/>
    <w:rsid w:val="00610B5C"/>
    <w:rsid w:val="00610E1E"/>
    <w:rsid w:val="00611908"/>
    <w:rsid w:val="006120E9"/>
    <w:rsid w:val="006123DD"/>
    <w:rsid w:val="00613625"/>
    <w:rsid w:val="006136E3"/>
    <w:rsid w:val="006137A8"/>
    <w:rsid w:val="0061386F"/>
    <w:rsid w:val="00613D8B"/>
    <w:rsid w:val="00613EE9"/>
    <w:rsid w:val="00614489"/>
    <w:rsid w:val="00614A25"/>
    <w:rsid w:val="00614B3D"/>
    <w:rsid w:val="00614F71"/>
    <w:rsid w:val="006151F3"/>
    <w:rsid w:val="006153CE"/>
    <w:rsid w:val="006155D6"/>
    <w:rsid w:val="00615DA8"/>
    <w:rsid w:val="00616C1F"/>
    <w:rsid w:val="00616C55"/>
    <w:rsid w:val="00616C65"/>
    <w:rsid w:val="00616F63"/>
    <w:rsid w:val="006179E9"/>
    <w:rsid w:val="00620009"/>
    <w:rsid w:val="00620C13"/>
    <w:rsid w:val="00620CA3"/>
    <w:rsid w:val="00621146"/>
    <w:rsid w:val="006215BA"/>
    <w:rsid w:val="00621916"/>
    <w:rsid w:val="00622028"/>
    <w:rsid w:val="00622461"/>
    <w:rsid w:val="006224E4"/>
    <w:rsid w:val="00622729"/>
    <w:rsid w:val="006229E2"/>
    <w:rsid w:val="00622A04"/>
    <w:rsid w:val="006236F6"/>
    <w:rsid w:val="00623816"/>
    <w:rsid w:val="0062402A"/>
    <w:rsid w:val="006241A3"/>
    <w:rsid w:val="00624239"/>
    <w:rsid w:val="006242FA"/>
    <w:rsid w:val="006246C3"/>
    <w:rsid w:val="00624AB7"/>
    <w:rsid w:val="00624C94"/>
    <w:rsid w:val="00624D5A"/>
    <w:rsid w:val="00624ED7"/>
    <w:rsid w:val="006258E6"/>
    <w:rsid w:val="00625DA0"/>
    <w:rsid w:val="00626040"/>
    <w:rsid w:val="00626D56"/>
    <w:rsid w:val="00626F41"/>
    <w:rsid w:val="006271DB"/>
    <w:rsid w:val="006277DE"/>
    <w:rsid w:val="006306F8"/>
    <w:rsid w:val="00630C64"/>
    <w:rsid w:val="00630DE1"/>
    <w:rsid w:val="00630FC5"/>
    <w:rsid w:val="00630FD7"/>
    <w:rsid w:val="006310D7"/>
    <w:rsid w:val="006313CF"/>
    <w:rsid w:val="006313D1"/>
    <w:rsid w:val="006316C1"/>
    <w:rsid w:val="006318DF"/>
    <w:rsid w:val="00631B1A"/>
    <w:rsid w:val="00632089"/>
    <w:rsid w:val="006323B8"/>
    <w:rsid w:val="00632666"/>
    <w:rsid w:val="00632793"/>
    <w:rsid w:val="00632D16"/>
    <w:rsid w:val="00632FA3"/>
    <w:rsid w:val="006331AC"/>
    <w:rsid w:val="00633399"/>
    <w:rsid w:val="006334C4"/>
    <w:rsid w:val="00633EE3"/>
    <w:rsid w:val="00633FC5"/>
    <w:rsid w:val="00634000"/>
    <w:rsid w:val="0063472E"/>
    <w:rsid w:val="00634ACB"/>
    <w:rsid w:val="00634CB1"/>
    <w:rsid w:val="00635568"/>
    <w:rsid w:val="006355B7"/>
    <w:rsid w:val="00635653"/>
    <w:rsid w:val="0063575F"/>
    <w:rsid w:val="0063592B"/>
    <w:rsid w:val="00635EED"/>
    <w:rsid w:val="00635F4D"/>
    <w:rsid w:val="00635FD5"/>
    <w:rsid w:val="0063633A"/>
    <w:rsid w:val="00636A32"/>
    <w:rsid w:val="00636C08"/>
    <w:rsid w:val="00637591"/>
    <w:rsid w:val="00637923"/>
    <w:rsid w:val="00640954"/>
    <w:rsid w:val="00640A83"/>
    <w:rsid w:val="006411FD"/>
    <w:rsid w:val="00641B86"/>
    <w:rsid w:val="00641C58"/>
    <w:rsid w:val="00641C60"/>
    <w:rsid w:val="00641CF9"/>
    <w:rsid w:val="00642140"/>
    <w:rsid w:val="00642E00"/>
    <w:rsid w:val="0064344D"/>
    <w:rsid w:val="0064352D"/>
    <w:rsid w:val="00643ECB"/>
    <w:rsid w:val="00644C73"/>
    <w:rsid w:val="00645989"/>
    <w:rsid w:val="00645F0B"/>
    <w:rsid w:val="006462C0"/>
    <w:rsid w:val="00646ACF"/>
    <w:rsid w:val="00646DBD"/>
    <w:rsid w:val="00647419"/>
    <w:rsid w:val="006474FB"/>
    <w:rsid w:val="00647BD9"/>
    <w:rsid w:val="0065051B"/>
    <w:rsid w:val="00650534"/>
    <w:rsid w:val="00650F89"/>
    <w:rsid w:val="006512A7"/>
    <w:rsid w:val="006514A8"/>
    <w:rsid w:val="00651EA4"/>
    <w:rsid w:val="006521CB"/>
    <w:rsid w:val="00652395"/>
    <w:rsid w:val="0065249F"/>
    <w:rsid w:val="00652586"/>
    <w:rsid w:val="00652E43"/>
    <w:rsid w:val="00652E59"/>
    <w:rsid w:val="0065310B"/>
    <w:rsid w:val="00653293"/>
    <w:rsid w:val="006537EE"/>
    <w:rsid w:val="00653A8E"/>
    <w:rsid w:val="00653C00"/>
    <w:rsid w:val="00653CB3"/>
    <w:rsid w:val="006546A4"/>
    <w:rsid w:val="00654AA0"/>
    <w:rsid w:val="00655A53"/>
    <w:rsid w:val="00655E4F"/>
    <w:rsid w:val="00655E87"/>
    <w:rsid w:val="006568BB"/>
    <w:rsid w:val="00656F13"/>
    <w:rsid w:val="006574FF"/>
    <w:rsid w:val="0065775A"/>
    <w:rsid w:val="00657DB2"/>
    <w:rsid w:val="006604FD"/>
    <w:rsid w:val="00660768"/>
    <w:rsid w:val="006608F9"/>
    <w:rsid w:val="00660949"/>
    <w:rsid w:val="00660BA2"/>
    <w:rsid w:val="00661C06"/>
    <w:rsid w:val="00661F26"/>
    <w:rsid w:val="00661F28"/>
    <w:rsid w:val="00662022"/>
    <w:rsid w:val="006624E1"/>
    <w:rsid w:val="00662952"/>
    <w:rsid w:val="006632C7"/>
    <w:rsid w:val="0066367B"/>
    <w:rsid w:val="0066386C"/>
    <w:rsid w:val="006639FD"/>
    <w:rsid w:val="00663C94"/>
    <w:rsid w:val="00663EE4"/>
    <w:rsid w:val="00664EA1"/>
    <w:rsid w:val="00664EEA"/>
    <w:rsid w:val="00665432"/>
    <w:rsid w:val="006654F9"/>
    <w:rsid w:val="006657FC"/>
    <w:rsid w:val="006658A3"/>
    <w:rsid w:val="006659BF"/>
    <w:rsid w:val="00665DE4"/>
    <w:rsid w:val="006660F3"/>
    <w:rsid w:val="006661F2"/>
    <w:rsid w:val="00666D17"/>
    <w:rsid w:val="00666E1E"/>
    <w:rsid w:val="00670570"/>
    <w:rsid w:val="0067079B"/>
    <w:rsid w:val="006708BC"/>
    <w:rsid w:val="00671C67"/>
    <w:rsid w:val="00671CCD"/>
    <w:rsid w:val="0067206B"/>
    <w:rsid w:val="006730E3"/>
    <w:rsid w:val="00673106"/>
    <w:rsid w:val="006735A1"/>
    <w:rsid w:val="00673666"/>
    <w:rsid w:val="00673A74"/>
    <w:rsid w:val="00673A8E"/>
    <w:rsid w:val="00673B9A"/>
    <w:rsid w:val="00673BD7"/>
    <w:rsid w:val="00674233"/>
    <w:rsid w:val="006747EE"/>
    <w:rsid w:val="00674889"/>
    <w:rsid w:val="00674E35"/>
    <w:rsid w:val="006753B0"/>
    <w:rsid w:val="006759BA"/>
    <w:rsid w:val="00675B09"/>
    <w:rsid w:val="00675FA3"/>
    <w:rsid w:val="00675FAB"/>
    <w:rsid w:val="00675FE6"/>
    <w:rsid w:val="006761C5"/>
    <w:rsid w:val="0067691E"/>
    <w:rsid w:val="00676F8F"/>
    <w:rsid w:val="00677170"/>
    <w:rsid w:val="00677A49"/>
    <w:rsid w:val="00677DBE"/>
    <w:rsid w:val="0068040A"/>
    <w:rsid w:val="00680E69"/>
    <w:rsid w:val="006810DF"/>
    <w:rsid w:val="0068144F"/>
    <w:rsid w:val="00681926"/>
    <w:rsid w:val="00681D66"/>
    <w:rsid w:val="00681DDC"/>
    <w:rsid w:val="00682580"/>
    <w:rsid w:val="006827C3"/>
    <w:rsid w:val="00682B1B"/>
    <w:rsid w:val="00682BDE"/>
    <w:rsid w:val="00682C5B"/>
    <w:rsid w:val="006834E2"/>
    <w:rsid w:val="00683518"/>
    <w:rsid w:val="00684105"/>
    <w:rsid w:val="006845C1"/>
    <w:rsid w:val="00684755"/>
    <w:rsid w:val="0068475C"/>
    <w:rsid w:val="00685271"/>
    <w:rsid w:val="00685364"/>
    <w:rsid w:val="00685547"/>
    <w:rsid w:val="00685B22"/>
    <w:rsid w:val="00686019"/>
    <w:rsid w:val="006861B8"/>
    <w:rsid w:val="006865BA"/>
    <w:rsid w:val="006865C3"/>
    <w:rsid w:val="006878D3"/>
    <w:rsid w:val="00687D2E"/>
    <w:rsid w:val="00690027"/>
    <w:rsid w:val="00690538"/>
    <w:rsid w:val="006905B4"/>
    <w:rsid w:val="00690C30"/>
    <w:rsid w:val="00690E3D"/>
    <w:rsid w:val="00691131"/>
    <w:rsid w:val="00692509"/>
    <w:rsid w:val="006927DF"/>
    <w:rsid w:val="00692821"/>
    <w:rsid w:val="00693095"/>
    <w:rsid w:val="006937A5"/>
    <w:rsid w:val="00693A0D"/>
    <w:rsid w:val="00694025"/>
    <w:rsid w:val="006940F8"/>
    <w:rsid w:val="00694125"/>
    <w:rsid w:val="00694292"/>
    <w:rsid w:val="006945FC"/>
    <w:rsid w:val="006954AF"/>
    <w:rsid w:val="006954E3"/>
    <w:rsid w:val="006959DE"/>
    <w:rsid w:val="00695D65"/>
    <w:rsid w:val="00695EE7"/>
    <w:rsid w:val="00695F8E"/>
    <w:rsid w:val="00696158"/>
    <w:rsid w:val="00696257"/>
    <w:rsid w:val="0069644A"/>
    <w:rsid w:val="00696578"/>
    <w:rsid w:val="00696645"/>
    <w:rsid w:val="0069669F"/>
    <w:rsid w:val="006966D1"/>
    <w:rsid w:val="0069674F"/>
    <w:rsid w:val="006972C6"/>
    <w:rsid w:val="00697512"/>
    <w:rsid w:val="0069762D"/>
    <w:rsid w:val="00697709"/>
    <w:rsid w:val="00697C5A"/>
    <w:rsid w:val="00697D86"/>
    <w:rsid w:val="00697F2B"/>
    <w:rsid w:val="00697F30"/>
    <w:rsid w:val="006A014E"/>
    <w:rsid w:val="006A0638"/>
    <w:rsid w:val="006A0B22"/>
    <w:rsid w:val="006A1224"/>
    <w:rsid w:val="006A12CB"/>
    <w:rsid w:val="006A13F7"/>
    <w:rsid w:val="006A1436"/>
    <w:rsid w:val="006A15D5"/>
    <w:rsid w:val="006A1958"/>
    <w:rsid w:val="006A1A34"/>
    <w:rsid w:val="006A1C77"/>
    <w:rsid w:val="006A1D97"/>
    <w:rsid w:val="006A2293"/>
    <w:rsid w:val="006A2727"/>
    <w:rsid w:val="006A2951"/>
    <w:rsid w:val="006A2D56"/>
    <w:rsid w:val="006A2F1E"/>
    <w:rsid w:val="006A3A8F"/>
    <w:rsid w:val="006A4F1C"/>
    <w:rsid w:val="006A5230"/>
    <w:rsid w:val="006A553B"/>
    <w:rsid w:val="006A586A"/>
    <w:rsid w:val="006A5A52"/>
    <w:rsid w:val="006A5C0C"/>
    <w:rsid w:val="006A5D22"/>
    <w:rsid w:val="006A5FE4"/>
    <w:rsid w:val="006A6A67"/>
    <w:rsid w:val="006A6AD9"/>
    <w:rsid w:val="006A6FE0"/>
    <w:rsid w:val="006A7464"/>
    <w:rsid w:val="006A7547"/>
    <w:rsid w:val="006A75CC"/>
    <w:rsid w:val="006A7626"/>
    <w:rsid w:val="006A7E87"/>
    <w:rsid w:val="006B02AB"/>
    <w:rsid w:val="006B0689"/>
    <w:rsid w:val="006B0E47"/>
    <w:rsid w:val="006B107B"/>
    <w:rsid w:val="006B10C4"/>
    <w:rsid w:val="006B1532"/>
    <w:rsid w:val="006B16A9"/>
    <w:rsid w:val="006B1DB1"/>
    <w:rsid w:val="006B24C8"/>
    <w:rsid w:val="006B2F8A"/>
    <w:rsid w:val="006B36B1"/>
    <w:rsid w:val="006B3E66"/>
    <w:rsid w:val="006B3F00"/>
    <w:rsid w:val="006B41B0"/>
    <w:rsid w:val="006B41DA"/>
    <w:rsid w:val="006B4490"/>
    <w:rsid w:val="006B4795"/>
    <w:rsid w:val="006B49D2"/>
    <w:rsid w:val="006B4A70"/>
    <w:rsid w:val="006B5A85"/>
    <w:rsid w:val="006B6018"/>
    <w:rsid w:val="006B6161"/>
    <w:rsid w:val="006B6340"/>
    <w:rsid w:val="006B63EC"/>
    <w:rsid w:val="006B6549"/>
    <w:rsid w:val="006B6A6D"/>
    <w:rsid w:val="006B6AE5"/>
    <w:rsid w:val="006B6D6A"/>
    <w:rsid w:val="006B76ED"/>
    <w:rsid w:val="006B78A6"/>
    <w:rsid w:val="006C01B0"/>
    <w:rsid w:val="006C1363"/>
    <w:rsid w:val="006C157B"/>
    <w:rsid w:val="006C1D6E"/>
    <w:rsid w:val="006C214B"/>
    <w:rsid w:val="006C24BE"/>
    <w:rsid w:val="006C24C8"/>
    <w:rsid w:val="006C2586"/>
    <w:rsid w:val="006C27E1"/>
    <w:rsid w:val="006C35AC"/>
    <w:rsid w:val="006C38E7"/>
    <w:rsid w:val="006C3996"/>
    <w:rsid w:val="006C40EE"/>
    <w:rsid w:val="006C4166"/>
    <w:rsid w:val="006C4309"/>
    <w:rsid w:val="006C459E"/>
    <w:rsid w:val="006C4977"/>
    <w:rsid w:val="006C49C3"/>
    <w:rsid w:val="006C4D36"/>
    <w:rsid w:val="006C4E95"/>
    <w:rsid w:val="006C501B"/>
    <w:rsid w:val="006C5382"/>
    <w:rsid w:val="006C5484"/>
    <w:rsid w:val="006C593A"/>
    <w:rsid w:val="006C5B32"/>
    <w:rsid w:val="006C682E"/>
    <w:rsid w:val="006C68D5"/>
    <w:rsid w:val="006C6942"/>
    <w:rsid w:val="006C69B6"/>
    <w:rsid w:val="006C69E5"/>
    <w:rsid w:val="006C6C6E"/>
    <w:rsid w:val="006C6D8C"/>
    <w:rsid w:val="006C7313"/>
    <w:rsid w:val="006D07DE"/>
    <w:rsid w:val="006D0827"/>
    <w:rsid w:val="006D0EEF"/>
    <w:rsid w:val="006D24DA"/>
    <w:rsid w:val="006D2574"/>
    <w:rsid w:val="006D390E"/>
    <w:rsid w:val="006D3AB5"/>
    <w:rsid w:val="006D3C75"/>
    <w:rsid w:val="006D3F58"/>
    <w:rsid w:val="006D4665"/>
    <w:rsid w:val="006D49F6"/>
    <w:rsid w:val="006D5C84"/>
    <w:rsid w:val="006D5F11"/>
    <w:rsid w:val="006D6073"/>
    <w:rsid w:val="006D6B99"/>
    <w:rsid w:val="006D6EA8"/>
    <w:rsid w:val="006D7123"/>
    <w:rsid w:val="006D7334"/>
    <w:rsid w:val="006D7CAB"/>
    <w:rsid w:val="006D7E9E"/>
    <w:rsid w:val="006D7FE5"/>
    <w:rsid w:val="006E0482"/>
    <w:rsid w:val="006E0520"/>
    <w:rsid w:val="006E090A"/>
    <w:rsid w:val="006E0A3D"/>
    <w:rsid w:val="006E0C20"/>
    <w:rsid w:val="006E0D22"/>
    <w:rsid w:val="006E1362"/>
    <w:rsid w:val="006E138F"/>
    <w:rsid w:val="006E163B"/>
    <w:rsid w:val="006E1701"/>
    <w:rsid w:val="006E2979"/>
    <w:rsid w:val="006E29EC"/>
    <w:rsid w:val="006E2AF3"/>
    <w:rsid w:val="006E2F46"/>
    <w:rsid w:val="006E3644"/>
    <w:rsid w:val="006E36D4"/>
    <w:rsid w:val="006E3922"/>
    <w:rsid w:val="006E39C1"/>
    <w:rsid w:val="006E4062"/>
    <w:rsid w:val="006E455E"/>
    <w:rsid w:val="006E49E7"/>
    <w:rsid w:val="006E4BB6"/>
    <w:rsid w:val="006E55D1"/>
    <w:rsid w:val="006E5864"/>
    <w:rsid w:val="006E595A"/>
    <w:rsid w:val="006E698C"/>
    <w:rsid w:val="006E72C9"/>
    <w:rsid w:val="006E7B9F"/>
    <w:rsid w:val="006F048A"/>
    <w:rsid w:val="006F049A"/>
    <w:rsid w:val="006F0AA7"/>
    <w:rsid w:val="006F0DF2"/>
    <w:rsid w:val="006F1548"/>
    <w:rsid w:val="006F177E"/>
    <w:rsid w:val="006F1959"/>
    <w:rsid w:val="006F1EDD"/>
    <w:rsid w:val="006F288F"/>
    <w:rsid w:val="006F33E8"/>
    <w:rsid w:val="006F3937"/>
    <w:rsid w:val="006F4015"/>
    <w:rsid w:val="006F4556"/>
    <w:rsid w:val="006F462A"/>
    <w:rsid w:val="006F4BC5"/>
    <w:rsid w:val="006F5693"/>
    <w:rsid w:val="006F56A8"/>
    <w:rsid w:val="006F58B4"/>
    <w:rsid w:val="006F6731"/>
    <w:rsid w:val="006F6737"/>
    <w:rsid w:val="006F7017"/>
    <w:rsid w:val="006F7235"/>
    <w:rsid w:val="006F7957"/>
    <w:rsid w:val="006F7C16"/>
    <w:rsid w:val="00700012"/>
    <w:rsid w:val="007005C8"/>
    <w:rsid w:val="00700993"/>
    <w:rsid w:val="00700AA4"/>
    <w:rsid w:val="00700E7C"/>
    <w:rsid w:val="00701D31"/>
    <w:rsid w:val="00702580"/>
    <w:rsid w:val="00702583"/>
    <w:rsid w:val="007026A9"/>
    <w:rsid w:val="00702987"/>
    <w:rsid w:val="00703071"/>
    <w:rsid w:val="007031B9"/>
    <w:rsid w:val="0070346F"/>
    <w:rsid w:val="00703C8B"/>
    <w:rsid w:val="00703CBE"/>
    <w:rsid w:val="00703D64"/>
    <w:rsid w:val="007044D7"/>
    <w:rsid w:val="007045E2"/>
    <w:rsid w:val="00704D2B"/>
    <w:rsid w:val="00704D86"/>
    <w:rsid w:val="00705036"/>
    <w:rsid w:val="0070526E"/>
    <w:rsid w:val="00705461"/>
    <w:rsid w:val="0070595F"/>
    <w:rsid w:val="00705C1E"/>
    <w:rsid w:val="00706053"/>
    <w:rsid w:val="007062DE"/>
    <w:rsid w:val="00706E5D"/>
    <w:rsid w:val="007076B6"/>
    <w:rsid w:val="00707B2B"/>
    <w:rsid w:val="00707CAF"/>
    <w:rsid w:val="00710332"/>
    <w:rsid w:val="007106A0"/>
    <w:rsid w:val="00710D2C"/>
    <w:rsid w:val="00710DF3"/>
    <w:rsid w:val="00711362"/>
    <w:rsid w:val="00711945"/>
    <w:rsid w:val="00712D17"/>
    <w:rsid w:val="007135EF"/>
    <w:rsid w:val="00713AB3"/>
    <w:rsid w:val="007140F0"/>
    <w:rsid w:val="007145DE"/>
    <w:rsid w:val="0071477A"/>
    <w:rsid w:val="007148AB"/>
    <w:rsid w:val="00714EFD"/>
    <w:rsid w:val="00715176"/>
    <w:rsid w:val="007158D1"/>
    <w:rsid w:val="00715CA0"/>
    <w:rsid w:val="007163F6"/>
    <w:rsid w:val="007166CB"/>
    <w:rsid w:val="0071680B"/>
    <w:rsid w:val="00716FDD"/>
    <w:rsid w:val="0071714A"/>
    <w:rsid w:val="00717765"/>
    <w:rsid w:val="007179EE"/>
    <w:rsid w:val="007203B9"/>
    <w:rsid w:val="00720BE6"/>
    <w:rsid w:val="007211D7"/>
    <w:rsid w:val="00721200"/>
    <w:rsid w:val="00721B98"/>
    <w:rsid w:val="00722546"/>
    <w:rsid w:val="0072264D"/>
    <w:rsid w:val="00722C4E"/>
    <w:rsid w:val="0072309F"/>
    <w:rsid w:val="0072338D"/>
    <w:rsid w:val="00723E6F"/>
    <w:rsid w:val="00723FF3"/>
    <w:rsid w:val="00724112"/>
    <w:rsid w:val="00724B3A"/>
    <w:rsid w:val="00724D70"/>
    <w:rsid w:val="007253B0"/>
    <w:rsid w:val="00725606"/>
    <w:rsid w:val="00726257"/>
    <w:rsid w:val="007265FF"/>
    <w:rsid w:val="007266C8"/>
    <w:rsid w:val="00726B8D"/>
    <w:rsid w:val="00726CDC"/>
    <w:rsid w:val="0072720A"/>
    <w:rsid w:val="007278B5"/>
    <w:rsid w:val="00727AFE"/>
    <w:rsid w:val="00727D6F"/>
    <w:rsid w:val="00727EBB"/>
    <w:rsid w:val="00727F0B"/>
    <w:rsid w:val="0073004B"/>
    <w:rsid w:val="007300AA"/>
    <w:rsid w:val="0073122B"/>
    <w:rsid w:val="007316A2"/>
    <w:rsid w:val="00731794"/>
    <w:rsid w:val="00731F56"/>
    <w:rsid w:val="007321EA"/>
    <w:rsid w:val="00732778"/>
    <w:rsid w:val="00732ADD"/>
    <w:rsid w:val="007332F0"/>
    <w:rsid w:val="00733616"/>
    <w:rsid w:val="00733643"/>
    <w:rsid w:val="00733BDA"/>
    <w:rsid w:val="007341D1"/>
    <w:rsid w:val="007341DB"/>
    <w:rsid w:val="007357BF"/>
    <w:rsid w:val="00735B71"/>
    <w:rsid w:val="00735C75"/>
    <w:rsid w:val="00735E71"/>
    <w:rsid w:val="00736C6C"/>
    <w:rsid w:val="00737745"/>
    <w:rsid w:val="007378BC"/>
    <w:rsid w:val="00737AF5"/>
    <w:rsid w:val="00737E07"/>
    <w:rsid w:val="00737E0E"/>
    <w:rsid w:val="00740003"/>
    <w:rsid w:val="00740016"/>
    <w:rsid w:val="007401CB"/>
    <w:rsid w:val="007402ED"/>
    <w:rsid w:val="007407B9"/>
    <w:rsid w:val="00740887"/>
    <w:rsid w:val="007408FF"/>
    <w:rsid w:val="00740AE6"/>
    <w:rsid w:val="00740E62"/>
    <w:rsid w:val="00740F83"/>
    <w:rsid w:val="007412C2"/>
    <w:rsid w:val="0074131B"/>
    <w:rsid w:val="007413B9"/>
    <w:rsid w:val="00741417"/>
    <w:rsid w:val="00741C4C"/>
    <w:rsid w:val="00742C79"/>
    <w:rsid w:val="00743169"/>
    <w:rsid w:val="00743437"/>
    <w:rsid w:val="0074387D"/>
    <w:rsid w:val="007438AA"/>
    <w:rsid w:val="00743E4E"/>
    <w:rsid w:val="007444FD"/>
    <w:rsid w:val="007446C7"/>
    <w:rsid w:val="00745441"/>
    <w:rsid w:val="007454EF"/>
    <w:rsid w:val="007458DF"/>
    <w:rsid w:val="00745C60"/>
    <w:rsid w:val="007463EC"/>
    <w:rsid w:val="00746B9F"/>
    <w:rsid w:val="00746C59"/>
    <w:rsid w:val="007474FD"/>
    <w:rsid w:val="00747516"/>
    <w:rsid w:val="0074780D"/>
    <w:rsid w:val="0075022E"/>
    <w:rsid w:val="0075072F"/>
    <w:rsid w:val="00750877"/>
    <w:rsid w:val="0075102A"/>
    <w:rsid w:val="007514E5"/>
    <w:rsid w:val="007519B3"/>
    <w:rsid w:val="00751E5B"/>
    <w:rsid w:val="00752210"/>
    <w:rsid w:val="0075266D"/>
    <w:rsid w:val="00752730"/>
    <w:rsid w:val="007528FD"/>
    <w:rsid w:val="00752B1A"/>
    <w:rsid w:val="0075363D"/>
    <w:rsid w:val="00753CF2"/>
    <w:rsid w:val="00754448"/>
    <w:rsid w:val="0075483C"/>
    <w:rsid w:val="00754A7C"/>
    <w:rsid w:val="00754ACD"/>
    <w:rsid w:val="0075540D"/>
    <w:rsid w:val="007559E9"/>
    <w:rsid w:val="00755B29"/>
    <w:rsid w:val="00756038"/>
    <w:rsid w:val="007563EC"/>
    <w:rsid w:val="007565AC"/>
    <w:rsid w:val="0075679B"/>
    <w:rsid w:val="007567ED"/>
    <w:rsid w:val="007568AC"/>
    <w:rsid w:val="00756C70"/>
    <w:rsid w:val="00756CA1"/>
    <w:rsid w:val="00756E50"/>
    <w:rsid w:val="007572C4"/>
    <w:rsid w:val="00757CCB"/>
    <w:rsid w:val="007603C9"/>
    <w:rsid w:val="007604F9"/>
    <w:rsid w:val="007609D5"/>
    <w:rsid w:val="00760A74"/>
    <w:rsid w:val="00761853"/>
    <w:rsid w:val="00761D12"/>
    <w:rsid w:val="00762595"/>
    <w:rsid w:val="00762783"/>
    <w:rsid w:val="00762C62"/>
    <w:rsid w:val="007635CE"/>
    <w:rsid w:val="00763952"/>
    <w:rsid w:val="00763E08"/>
    <w:rsid w:val="00763F5A"/>
    <w:rsid w:val="00764783"/>
    <w:rsid w:val="00764DEE"/>
    <w:rsid w:val="00764F48"/>
    <w:rsid w:val="00765557"/>
    <w:rsid w:val="00765596"/>
    <w:rsid w:val="0076589E"/>
    <w:rsid w:val="00765A31"/>
    <w:rsid w:val="00765F41"/>
    <w:rsid w:val="007660DD"/>
    <w:rsid w:val="0076638B"/>
    <w:rsid w:val="007669CA"/>
    <w:rsid w:val="00767000"/>
    <w:rsid w:val="0076754A"/>
    <w:rsid w:val="0076760F"/>
    <w:rsid w:val="00770088"/>
    <w:rsid w:val="00770858"/>
    <w:rsid w:val="00770C74"/>
    <w:rsid w:val="00771756"/>
    <w:rsid w:val="00771996"/>
    <w:rsid w:val="00771D53"/>
    <w:rsid w:val="00772113"/>
    <w:rsid w:val="0077225C"/>
    <w:rsid w:val="00772376"/>
    <w:rsid w:val="00772395"/>
    <w:rsid w:val="007723A1"/>
    <w:rsid w:val="00772754"/>
    <w:rsid w:val="00773A7F"/>
    <w:rsid w:val="00773BF3"/>
    <w:rsid w:val="00773E5B"/>
    <w:rsid w:val="00773F13"/>
    <w:rsid w:val="007742DA"/>
    <w:rsid w:val="00774CC0"/>
    <w:rsid w:val="00775865"/>
    <w:rsid w:val="00775C37"/>
    <w:rsid w:val="007762B6"/>
    <w:rsid w:val="00776363"/>
    <w:rsid w:val="0077677D"/>
    <w:rsid w:val="00776D3E"/>
    <w:rsid w:val="00776FEB"/>
    <w:rsid w:val="00777883"/>
    <w:rsid w:val="00777C6B"/>
    <w:rsid w:val="00777E8E"/>
    <w:rsid w:val="00780205"/>
    <w:rsid w:val="007806C1"/>
    <w:rsid w:val="00780A60"/>
    <w:rsid w:val="00780B81"/>
    <w:rsid w:val="00780CEF"/>
    <w:rsid w:val="00780E4D"/>
    <w:rsid w:val="00781364"/>
    <w:rsid w:val="00781592"/>
    <w:rsid w:val="00781878"/>
    <w:rsid w:val="00781D6D"/>
    <w:rsid w:val="00782042"/>
    <w:rsid w:val="007825B6"/>
    <w:rsid w:val="007825C9"/>
    <w:rsid w:val="00782EF2"/>
    <w:rsid w:val="00782EF4"/>
    <w:rsid w:val="007837FC"/>
    <w:rsid w:val="00783F82"/>
    <w:rsid w:val="007853C8"/>
    <w:rsid w:val="00785867"/>
    <w:rsid w:val="00786022"/>
    <w:rsid w:val="007865FC"/>
    <w:rsid w:val="00786681"/>
    <w:rsid w:val="00786BD8"/>
    <w:rsid w:val="00786CCA"/>
    <w:rsid w:val="007875D8"/>
    <w:rsid w:val="00787BAD"/>
    <w:rsid w:val="00787CFD"/>
    <w:rsid w:val="007901BC"/>
    <w:rsid w:val="007906B2"/>
    <w:rsid w:val="00790A63"/>
    <w:rsid w:val="00790CFE"/>
    <w:rsid w:val="00790D12"/>
    <w:rsid w:val="00790D1D"/>
    <w:rsid w:val="0079101F"/>
    <w:rsid w:val="007911A1"/>
    <w:rsid w:val="0079161E"/>
    <w:rsid w:val="00791713"/>
    <w:rsid w:val="007917B3"/>
    <w:rsid w:val="00791914"/>
    <w:rsid w:val="00791C8D"/>
    <w:rsid w:val="00791D93"/>
    <w:rsid w:val="007923BE"/>
    <w:rsid w:val="007925F5"/>
    <w:rsid w:val="007926E9"/>
    <w:rsid w:val="00792BD3"/>
    <w:rsid w:val="0079332E"/>
    <w:rsid w:val="007937AB"/>
    <w:rsid w:val="00793891"/>
    <w:rsid w:val="00793B44"/>
    <w:rsid w:val="00793CF7"/>
    <w:rsid w:val="00793D9B"/>
    <w:rsid w:val="00794360"/>
    <w:rsid w:val="00794579"/>
    <w:rsid w:val="00794A70"/>
    <w:rsid w:val="00794C2C"/>
    <w:rsid w:val="00794F66"/>
    <w:rsid w:val="00795110"/>
    <w:rsid w:val="00795EF0"/>
    <w:rsid w:val="00795FFC"/>
    <w:rsid w:val="0079628A"/>
    <w:rsid w:val="0079761E"/>
    <w:rsid w:val="00797CA3"/>
    <w:rsid w:val="007A043C"/>
    <w:rsid w:val="007A0FC5"/>
    <w:rsid w:val="007A10E7"/>
    <w:rsid w:val="007A1685"/>
    <w:rsid w:val="007A19CA"/>
    <w:rsid w:val="007A1A12"/>
    <w:rsid w:val="007A1FBF"/>
    <w:rsid w:val="007A24D9"/>
    <w:rsid w:val="007A2736"/>
    <w:rsid w:val="007A2853"/>
    <w:rsid w:val="007A4540"/>
    <w:rsid w:val="007A467D"/>
    <w:rsid w:val="007A48AC"/>
    <w:rsid w:val="007A533C"/>
    <w:rsid w:val="007A55B9"/>
    <w:rsid w:val="007A6177"/>
    <w:rsid w:val="007A6217"/>
    <w:rsid w:val="007A672B"/>
    <w:rsid w:val="007A681C"/>
    <w:rsid w:val="007A75CD"/>
    <w:rsid w:val="007A7786"/>
    <w:rsid w:val="007A78FD"/>
    <w:rsid w:val="007A7A2D"/>
    <w:rsid w:val="007A7AD4"/>
    <w:rsid w:val="007A7C7F"/>
    <w:rsid w:val="007B0463"/>
    <w:rsid w:val="007B05E8"/>
    <w:rsid w:val="007B06D8"/>
    <w:rsid w:val="007B0758"/>
    <w:rsid w:val="007B07DF"/>
    <w:rsid w:val="007B0B50"/>
    <w:rsid w:val="007B0B89"/>
    <w:rsid w:val="007B1C3F"/>
    <w:rsid w:val="007B1F16"/>
    <w:rsid w:val="007B2043"/>
    <w:rsid w:val="007B2304"/>
    <w:rsid w:val="007B2868"/>
    <w:rsid w:val="007B2990"/>
    <w:rsid w:val="007B2A8D"/>
    <w:rsid w:val="007B303E"/>
    <w:rsid w:val="007B30E2"/>
    <w:rsid w:val="007B349B"/>
    <w:rsid w:val="007B4129"/>
    <w:rsid w:val="007B4455"/>
    <w:rsid w:val="007B4511"/>
    <w:rsid w:val="007B555C"/>
    <w:rsid w:val="007B583E"/>
    <w:rsid w:val="007B58BE"/>
    <w:rsid w:val="007B5B6E"/>
    <w:rsid w:val="007B5D27"/>
    <w:rsid w:val="007B5DB9"/>
    <w:rsid w:val="007B5FE1"/>
    <w:rsid w:val="007B62AF"/>
    <w:rsid w:val="007B6336"/>
    <w:rsid w:val="007B63A0"/>
    <w:rsid w:val="007B6557"/>
    <w:rsid w:val="007B6669"/>
    <w:rsid w:val="007B6C7C"/>
    <w:rsid w:val="007B6CE4"/>
    <w:rsid w:val="007B6EEE"/>
    <w:rsid w:val="007B701C"/>
    <w:rsid w:val="007C00E2"/>
    <w:rsid w:val="007C02D9"/>
    <w:rsid w:val="007C02F8"/>
    <w:rsid w:val="007C033F"/>
    <w:rsid w:val="007C06E5"/>
    <w:rsid w:val="007C0850"/>
    <w:rsid w:val="007C0DC8"/>
    <w:rsid w:val="007C0DD1"/>
    <w:rsid w:val="007C0F6D"/>
    <w:rsid w:val="007C0F93"/>
    <w:rsid w:val="007C11FA"/>
    <w:rsid w:val="007C1869"/>
    <w:rsid w:val="007C2037"/>
    <w:rsid w:val="007C25BD"/>
    <w:rsid w:val="007C28F9"/>
    <w:rsid w:val="007C2931"/>
    <w:rsid w:val="007C2DE3"/>
    <w:rsid w:val="007C33AC"/>
    <w:rsid w:val="007C35AD"/>
    <w:rsid w:val="007C3FF7"/>
    <w:rsid w:val="007C4300"/>
    <w:rsid w:val="007C5179"/>
    <w:rsid w:val="007C531E"/>
    <w:rsid w:val="007C53E6"/>
    <w:rsid w:val="007C5529"/>
    <w:rsid w:val="007C5994"/>
    <w:rsid w:val="007C5D47"/>
    <w:rsid w:val="007C6411"/>
    <w:rsid w:val="007C67E9"/>
    <w:rsid w:val="007C74A1"/>
    <w:rsid w:val="007C77C2"/>
    <w:rsid w:val="007C7DBC"/>
    <w:rsid w:val="007D047E"/>
    <w:rsid w:val="007D0694"/>
    <w:rsid w:val="007D08E7"/>
    <w:rsid w:val="007D111E"/>
    <w:rsid w:val="007D180B"/>
    <w:rsid w:val="007D1A87"/>
    <w:rsid w:val="007D1D5B"/>
    <w:rsid w:val="007D2443"/>
    <w:rsid w:val="007D24E5"/>
    <w:rsid w:val="007D3829"/>
    <w:rsid w:val="007D3EFE"/>
    <w:rsid w:val="007D4C9C"/>
    <w:rsid w:val="007D59D0"/>
    <w:rsid w:val="007D5B8D"/>
    <w:rsid w:val="007D5CBE"/>
    <w:rsid w:val="007D5DBD"/>
    <w:rsid w:val="007D62CF"/>
    <w:rsid w:val="007D647E"/>
    <w:rsid w:val="007D64BE"/>
    <w:rsid w:val="007D66CC"/>
    <w:rsid w:val="007D68A1"/>
    <w:rsid w:val="007D6AA6"/>
    <w:rsid w:val="007D6E1B"/>
    <w:rsid w:val="007D7814"/>
    <w:rsid w:val="007D789E"/>
    <w:rsid w:val="007E0C91"/>
    <w:rsid w:val="007E1716"/>
    <w:rsid w:val="007E18F1"/>
    <w:rsid w:val="007E1B5C"/>
    <w:rsid w:val="007E1C26"/>
    <w:rsid w:val="007E1D79"/>
    <w:rsid w:val="007E2113"/>
    <w:rsid w:val="007E2BB9"/>
    <w:rsid w:val="007E2D1F"/>
    <w:rsid w:val="007E306C"/>
    <w:rsid w:val="007E31EB"/>
    <w:rsid w:val="007E3279"/>
    <w:rsid w:val="007E377E"/>
    <w:rsid w:val="007E3BD3"/>
    <w:rsid w:val="007E3D58"/>
    <w:rsid w:val="007E3DEE"/>
    <w:rsid w:val="007E4A53"/>
    <w:rsid w:val="007E5896"/>
    <w:rsid w:val="007E58FE"/>
    <w:rsid w:val="007E5BBF"/>
    <w:rsid w:val="007E5D0C"/>
    <w:rsid w:val="007E6984"/>
    <w:rsid w:val="007E6AD4"/>
    <w:rsid w:val="007E7C0A"/>
    <w:rsid w:val="007E7C17"/>
    <w:rsid w:val="007E7E1E"/>
    <w:rsid w:val="007E7F35"/>
    <w:rsid w:val="007F03AB"/>
    <w:rsid w:val="007F0F55"/>
    <w:rsid w:val="007F1491"/>
    <w:rsid w:val="007F162A"/>
    <w:rsid w:val="007F1A86"/>
    <w:rsid w:val="007F1D5F"/>
    <w:rsid w:val="007F25FF"/>
    <w:rsid w:val="007F2727"/>
    <w:rsid w:val="007F2B93"/>
    <w:rsid w:val="007F2C9D"/>
    <w:rsid w:val="007F2D95"/>
    <w:rsid w:val="007F2FA7"/>
    <w:rsid w:val="007F30A1"/>
    <w:rsid w:val="007F3502"/>
    <w:rsid w:val="007F3632"/>
    <w:rsid w:val="007F367D"/>
    <w:rsid w:val="007F3CBF"/>
    <w:rsid w:val="007F3DA2"/>
    <w:rsid w:val="007F3FF3"/>
    <w:rsid w:val="007F4A44"/>
    <w:rsid w:val="007F5245"/>
    <w:rsid w:val="007F599F"/>
    <w:rsid w:val="007F5B6B"/>
    <w:rsid w:val="007F6315"/>
    <w:rsid w:val="007F6541"/>
    <w:rsid w:val="007F673A"/>
    <w:rsid w:val="007F6D88"/>
    <w:rsid w:val="007F706B"/>
    <w:rsid w:val="007F7A2D"/>
    <w:rsid w:val="007F7BB9"/>
    <w:rsid w:val="00800174"/>
    <w:rsid w:val="008002F4"/>
    <w:rsid w:val="008006B7"/>
    <w:rsid w:val="00800915"/>
    <w:rsid w:val="00800F4A"/>
    <w:rsid w:val="0080108C"/>
    <w:rsid w:val="008019E1"/>
    <w:rsid w:val="00801E1E"/>
    <w:rsid w:val="00802614"/>
    <w:rsid w:val="00802851"/>
    <w:rsid w:val="008036CB"/>
    <w:rsid w:val="0080374E"/>
    <w:rsid w:val="00803A5B"/>
    <w:rsid w:val="00803EC9"/>
    <w:rsid w:val="00803ECE"/>
    <w:rsid w:val="00804C5E"/>
    <w:rsid w:val="00805339"/>
    <w:rsid w:val="008053AD"/>
    <w:rsid w:val="0080546B"/>
    <w:rsid w:val="00805BBF"/>
    <w:rsid w:val="00805C56"/>
    <w:rsid w:val="00806209"/>
    <w:rsid w:val="00806321"/>
    <w:rsid w:val="0080661E"/>
    <w:rsid w:val="00806C35"/>
    <w:rsid w:val="00807718"/>
    <w:rsid w:val="00807783"/>
    <w:rsid w:val="00807DAB"/>
    <w:rsid w:val="0081083B"/>
    <w:rsid w:val="0081096A"/>
    <w:rsid w:val="008113FF"/>
    <w:rsid w:val="008115C7"/>
    <w:rsid w:val="008116C2"/>
    <w:rsid w:val="00811FB7"/>
    <w:rsid w:val="008120F4"/>
    <w:rsid w:val="00812406"/>
    <w:rsid w:val="0081241D"/>
    <w:rsid w:val="008127C6"/>
    <w:rsid w:val="00812D48"/>
    <w:rsid w:val="00813BED"/>
    <w:rsid w:val="00813CF9"/>
    <w:rsid w:val="008142FB"/>
    <w:rsid w:val="00814B18"/>
    <w:rsid w:val="00815157"/>
    <w:rsid w:val="0081519D"/>
    <w:rsid w:val="00816325"/>
    <w:rsid w:val="008166E8"/>
    <w:rsid w:val="0081672E"/>
    <w:rsid w:val="00816763"/>
    <w:rsid w:val="00816C39"/>
    <w:rsid w:val="00817273"/>
    <w:rsid w:val="008172BC"/>
    <w:rsid w:val="0081775A"/>
    <w:rsid w:val="0081777A"/>
    <w:rsid w:val="00817AA5"/>
    <w:rsid w:val="00817B92"/>
    <w:rsid w:val="00817FFB"/>
    <w:rsid w:val="00820146"/>
    <w:rsid w:val="008210B6"/>
    <w:rsid w:val="00821810"/>
    <w:rsid w:val="008223CE"/>
    <w:rsid w:val="0082265B"/>
    <w:rsid w:val="00822742"/>
    <w:rsid w:val="00822967"/>
    <w:rsid w:val="008229CA"/>
    <w:rsid w:val="00822A35"/>
    <w:rsid w:val="00823457"/>
    <w:rsid w:val="00823882"/>
    <w:rsid w:val="008240B7"/>
    <w:rsid w:val="008240E1"/>
    <w:rsid w:val="0082444E"/>
    <w:rsid w:val="00824880"/>
    <w:rsid w:val="00824EB1"/>
    <w:rsid w:val="00824ED5"/>
    <w:rsid w:val="0082526A"/>
    <w:rsid w:val="00825A9D"/>
    <w:rsid w:val="00825D18"/>
    <w:rsid w:val="00826234"/>
    <w:rsid w:val="008262BA"/>
    <w:rsid w:val="00826696"/>
    <w:rsid w:val="00826C81"/>
    <w:rsid w:val="00826D24"/>
    <w:rsid w:val="00826FFB"/>
    <w:rsid w:val="008274BA"/>
    <w:rsid w:val="008279D8"/>
    <w:rsid w:val="00827B99"/>
    <w:rsid w:val="00830D19"/>
    <w:rsid w:val="008319F2"/>
    <w:rsid w:val="00831DB8"/>
    <w:rsid w:val="008321E9"/>
    <w:rsid w:val="00832309"/>
    <w:rsid w:val="00832713"/>
    <w:rsid w:val="00832820"/>
    <w:rsid w:val="00832B3E"/>
    <w:rsid w:val="00832C91"/>
    <w:rsid w:val="00833380"/>
    <w:rsid w:val="00833416"/>
    <w:rsid w:val="00833A6A"/>
    <w:rsid w:val="00833AF8"/>
    <w:rsid w:val="00833EC5"/>
    <w:rsid w:val="00833F69"/>
    <w:rsid w:val="00834298"/>
    <w:rsid w:val="008351BA"/>
    <w:rsid w:val="008357B4"/>
    <w:rsid w:val="008362ED"/>
    <w:rsid w:val="00836739"/>
    <w:rsid w:val="00836761"/>
    <w:rsid w:val="008368CC"/>
    <w:rsid w:val="00836CEB"/>
    <w:rsid w:val="0084072B"/>
    <w:rsid w:val="00841ACD"/>
    <w:rsid w:val="00842113"/>
    <w:rsid w:val="008421A5"/>
    <w:rsid w:val="00842912"/>
    <w:rsid w:val="00842D11"/>
    <w:rsid w:val="008430C9"/>
    <w:rsid w:val="008430D3"/>
    <w:rsid w:val="00843170"/>
    <w:rsid w:val="008432AF"/>
    <w:rsid w:val="008434C8"/>
    <w:rsid w:val="008438F7"/>
    <w:rsid w:val="0084394E"/>
    <w:rsid w:val="00843C41"/>
    <w:rsid w:val="00844305"/>
    <w:rsid w:val="00844BD7"/>
    <w:rsid w:val="008451A5"/>
    <w:rsid w:val="0084532E"/>
    <w:rsid w:val="0084560A"/>
    <w:rsid w:val="008459A1"/>
    <w:rsid w:val="00845F97"/>
    <w:rsid w:val="008460F4"/>
    <w:rsid w:val="00846664"/>
    <w:rsid w:val="0084675D"/>
    <w:rsid w:val="00847645"/>
    <w:rsid w:val="008477C0"/>
    <w:rsid w:val="00847B5F"/>
    <w:rsid w:val="00847D48"/>
    <w:rsid w:val="00850A83"/>
    <w:rsid w:val="00850EB6"/>
    <w:rsid w:val="00850EDA"/>
    <w:rsid w:val="00850EF3"/>
    <w:rsid w:val="00851601"/>
    <w:rsid w:val="00851950"/>
    <w:rsid w:val="00851EFD"/>
    <w:rsid w:val="0085233E"/>
    <w:rsid w:val="00852869"/>
    <w:rsid w:val="00852D2C"/>
    <w:rsid w:val="00852DF1"/>
    <w:rsid w:val="00852F9B"/>
    <w:rsid w:val="00853A8C"/>
    <w:rsid w:val="00853C60"/>
    <w:rsid w:val="0085438B"/>
    <w:rsid w:val="008544B5"/>
    <w:rsid w:val="008556BA"/>
    <w:rsid w:val="008556EF"/>
    <w:rsid w:val="00856102"/>
    <w:rsid w:val="00856B07"/>
    <w:rsid w:val="00856C6D"/>
    <w:rsid w:val="00857283"/>
    <w:rsid w:val="008572C1"/>
    <w:rsid w:val="008575A0"/>
    <w:rsid w:val="00857EC2"/>
    <w:rsid w:val="0086021E"/>
    <w:rsid w:val="00860808"/>
    <w:rsid w:val="00861133"/>
    <w:rsid w:val="00861690"/>
    <w:rsid w:val="00861876"/>
    <w:rsid w:val="008619BB"/>
    <w:rsid w:val="00861C18"/>
    <w:rsid w:val="00862A75"/>
    <w:rsid w:val="00863218"/>
    <w:rsid w:val="008632FE"/>
    <w:rsid w:val="0086354F"/>
    <w:rsid w:val="00864168"/>
    <w:rsid w:val="008644E3"/>
    <w:rsid w:val="008647AF"/>
    <w:rsid w:val="0086489F"/>
    <w:rsid w:val="00864E98"/>
    <w:rsid w:val="00865AA6"/>
    <w:rsid w:val="00865B23"/>
    <w:rsid w:val="008662D5"/>
    <w:rsid w:val="008664B4"/>
    <w:rsid w:val="0086650C"/>
    <w:rsid w:val="0086699E"/>
    <w:rsid w:val="0086780E"/>
    <w:rsid w:val="00867AD5"/>
    <w:rsid w:val="00867CCC"/>
    <w:rsid w:val="00867E1F"/>
    <w:rsid w:val="0087027E"/>
    <w:rsid w:val="008702F8"/>
    <w:rsid w:val="00870553"/>
    <w:rsid w:val="00870A06"/>
    <w:rsid w:val="008716E3"/>
    <w:rsid w:val="00871C38"/>
    <w:rsid w:val="00871ED3"/>
    <w:rsid w:val="00872070"/>
    <w:rsid w:val="008722CA"/>
    <w:rsid w:val="008732FA"/>
    <w:rsid w:val="008735A6"/>
    <w:rsid w:val="00873FA6"/>
    <w:rsid w:val="0087436D"/>
    <w:rsid w:val="00875532"/>
    <w:rsid w:val="00875B6F"/>
    <w:rsid w:val="00875EE3"/>
    <w:rsid w:val="008763D8"/>
    <w:rsid w:val="00876F83"/>
    <w:rsid w:val="00877548"/>
    <w:rsid w:val="008806C0"/>
    <w:rsid w:val="00880BB4"/>
    <w:rsid w:val="00880C3A"/>
    <w:rsid w:val="00881076"/>
    <w:rsid w:val="0088125E"/>
    <w:rsid w:val="00881A57"/>
    <w:rsid w:val="00881D6A"/>
    <w:rsid w:val="00881FBE"/>
    <w:rsid w:val="008822B7"/>
    <w:rsid w:val="008824A9"/>
    <w:rsid w:val="0088259D"/>
    <w:rsid w:val="00882878"/>
    <w:rsid w:val="00882C17"/>
    <w:rsid w:val="00883473"/>
    <w:rsid w:val="008838E0"/>
    <w:rsid w:val="008839B7"/>
    <w:rsid w:val="00883A85"/>
    <w:rsid w:val="008845F8"/>
    <w:rsid w:val="00884628"/>
    <w:rsid w:val="008847A5"/>
    <w:rsid w:val="00884C5A"/>
    <w:rsid w:val="00884E67"/>
    <w:rsid w:val="00884F6E"/>
    <w:rsid w:val="00885AED"/>
    <w:rsid w:val="00885BE7"/>
    <w:rsid w:val="00885C3B"/>
    <w:rsid w:val="008860D9"/>
    <w:rsid w:val="00886900"/>
    <w:rsid w:val="00887503"/>
    <w:rsid w:val="00887651"/>
    <w:rsid w:val="008905AA"/>
    <w:rsid w:val="008906EF"/>
    <w:rsid w:val="0089084D"/>
    <w:rsid w:val="008908D3"/>
    <w:rsid w:val="008913F1"/>
    <w:rsid w:val="00891854"/>
    <w:rsid w:val="00891C4A"/>
    <w:rsid w:val="00891CAF"/>
    <w:rsid w:val="008927FB"/>
    <w:rsid w:val="0089286B"/>
    <w:rsid w:val="008930A4"/>
    <w:rsid w:val="0089356B"/>
    <w:rsid w:val="00893976"/>
    <w:rsid w:val="00893CF1"/>
    <w:rsid w:val="0089463E"/>
    <w:rsid w:val="00894724"/>
    <w:rsid w:val="00894B22"/>
    <w:rsid w:val="00894B72"/>
    <w:rsid w:val="00894B8A"/>
    <w:rsid w:val="00895050"/>
    <w:rsid w:val="00895505"/>
    <w:rsid w:val="00895545"/>
    <w:rsid w:val="008955BC"/>
    <w:rsid w:val="008955F1"/>
    <w:rsid w:val="008956D9"/>
    <w:rsid w:val="00895A54"/>
    <w:rsid w:val="00895CE8"/>
    <w:rsid w:val="00895E95"/>
    <w:rsid w:val="008964FD"/>
    <w:rsid w:val="00896670"/>
    <w:rsid w:val="008978B8"/>
    <w:rsid w:val="008978DB"/>
    <w:rsid w:val="008A01CA"/>
    <w:rsid w:val="008A0501"/>
    <w:rsid w:val="008A0981"/>
    <w:rsid w:val="008A2312"/>
    <w:rsid w:val="008A267E"/>
    <w:rsid w:val="008A290F"/>
    <w:rsid w:val="008A2B85"/>
    <w:rsid w:val="008A3B96"/>
    <w:rsid w:val="008A3F8D"/>
    <w:rsid w:val="008A4A4D"/>
    <w:rsid w:val="008A4DB5"/>
    <w:rsid w:val="008A5271"/>
    <w:rsid w:val="008A587F"/>
    <w:rsid w:val="008A5D4A"/>
    <w:rsid w:val="008A5EC9"/>
    <w:rsid w:val="008A6266"/>
    <w:rsid w:val="008A686E"/>
    <w:rsid w:val="008A6AEE"/>
    <w:rsid w:val="008A6E09"/>
    <w:rsid w:val="008A6F61"/>
    <w:rsid w:val="008A7450"/>
    <w:rsid w:val="008A74BD"/>
    <w:rsid w:val="008A7E0E"/>
    <w:rsid w:val="008B0BA5"/>
    <w:rsid w:val="008B0C99"/>
    <w:rsid w:val="008B0E79"/>
    <w:rsid w:val="008B0F8F"/>
    <w:rsid w:val="008B1413"/>
    <w:rsid w:val="008B1509"/>
    <w:rsid w:val="008B188B"/>
    <w:rsid w:val="008B1F16"/>
    <w:rsid w:val="008B1FB0"/>
    <w:rsid w:val="008B320F"/>
    <w:rsid w:val="008B32D9"/>
    <w:rsid w:val="008B3EA8"/>
    <w:rsid w:val="008B3EE5"/>
    <w:rsid w:val="008B47E5"/>
    <w:rsid w:val="008B49DF"/>
    <w:rsid w:val="008B5B34"/>
    <w:rsid w:val="008B6326"/>
    <w:rsid w:val="008B6A0C"/>
    <w:rsid w:val="008B6DAD"/>
    <w:rsid w:val="008B6DDA"/>
    <w:rsid w:val="008B71A7"/>
    <w:rsid w:val="008B786A"/>
    <w:rsid w:val="008B7C4B"/>
    <w:rsid w:val="008B7D19"/>
    <w:rsid w:val="008C03DD"/>
    <w:rsid w:val="008C05A3"/>
    <w:rsid w:val="008C0719"/>
    <w:rsid w:val="008C0CB4"/>
    <w:rsid w:val="008C0CCD"/>
    <w:rsid w:val="008C0E1E"/>
    <w:rsid w:val="008C0E8B"/>
    <w:rsid w:val="008C11D3"/>
    <w:rsid w:val="008C1250"/>
    <w:rsid w:val="008C15D8"/>
    <w:rsid w:val="008C1B5E"/>
    <w:rsid w:val="008C1D45"/>
    <w:rsid w:val="008C2B30"/>
    <w:rsid w:val="008C2B90"/>
    <w:rsid w:val="008C324E"/>
    <w:rsid w:val="008C3624"/>
    <w:rsid w:val="008C3E01"/>
    <w:rsid w:val="008C447F"/>
    <w:rsid w:val="008C45E7"/>
    <w:rsid w:val="008C4901"/>
    <w:rsid w:val="008C49FB"/>
    <w:rsid w:val="008C61AE"/>
    <w:rsid w:val="008C62D3"/>
    <w:rsid w:val="008C65C5"/>
    <w:rsid w:val="008C734D"/>
    <w:rsid w:val="008C7481"/>
    <w:rsid w:val="008C76F9"/>
    <w:rsid w:val="008C773B"/>
    <w:rsid w:val="008D015A"/>
    <w:rsid w:val="008D0D25"/>
    <w:rsid w:val="008D0F58"/>
    <w:rsid w:val="008D117F"/>
    <w:rsid w:val="008D1421"/>
    <w:rsid w:val="008D1574"/>
    <w:rsid w:val="008D1F18"/>
    <w:rsid w:val="008D24D0"/>
    <w:rsid w:val="008D2A7B"/>
    <w:rsid w:val="008D344E"/>
    <w:rsid w:val="008D36D8"/>
    <w:rsid w:val="008D4DC6"/>
    <w:rsid w:val="008D5ABC"/>
    <w:rsid w:val="008D5BDF"/>
    <w:rsid w:val="008D5C12"/>
    <w:rsid w:val="008D5D23"/>
    <w:rsid w:val="008D5E8F"/>
    <w:rsid w:val="008D5F9D"/>
    <w:rsid w:val="008D6294"/>
    <w:rsid w:val="008D66FA"/>
    <w:rsid w:val="008D6746"/>
    <w:rsid w:val="008D71FE"/>
    <w:rsid w:val="008D72FE"/>
    <w:rsid w:val="008D7421"/>
    <w:rsid w:val="008E0110"/>
    <w:rsid w:val="008E05E0"/>
    <w:rsid w:val="008E084D"/>
    <w:rsid w:val="008E0A78"/>
    <w:rsid w:val="008E0CB2"/>
    <w:rsid w:val="008E0D08"/>
    <w:rsid w:val="008E0F72"/>
    <w:rsid w:val="008E10EC"/>
    <w:rsid w:val="008E18E5"/>
    <w:rsid w:val="008E1B1D"/>
    <w:rsid w:val="008E1B2D"/>
    <w:rsid w:val="008E1F68"/>
    <w:rsid w:val="008E2C12"/>
    <w:rsid w:val="008E3045"/>
    <w:rsid w:val="008E309D"/>
    <w:rsid w:val="008E3236"/>
    <w:rsid w:val="008E4269"/>
    <w:rsid w:val="008E427D"/>
    <w:rsid w:val="008E447A"/>
    <w:rsid w:val="008E4911"/>
    <w:rsid w:val="008E4ABC"/>
    <w:rsid w:val="008E4B81"/>
    <w:rsid w:val="008E4E7B"/>
    <w:rsid w:val="008E5004"/>
    <w:rsid w:val="008E518D"/>
    <w:rsid w:val="008E5516"/>
    <w:rsid w:val="008E55AF"/>
    <w:rsid w:val="008E57BE"/>
    <w:rsid w:val="008E58EE"/>
    <w:rsid w:val="008E5C46"/>
    <w:rsid w:val="008E5C96"/>
    <w:rsid w:val="008E644D"/>
    <w:rsid w:val="008E6471"/>
    <w:rsid w:val="008E6635"/>
    <w:rsid w:val="008E67E5"/>
    <w:rsid w:val="008E770C"/>
    <w:rsid w:val="008E7B1B"/>
    <w:rsid w:val="008E7B37"/>
    <w:rsid w:val="008E7BD0"/>
    <w:rsid w:val="008E7BFA"/>
    <w:rsid w:val="008F001A"/>
    <w:rsid w:val="008F03AF"/>
    <w:rsid w:val="008F0619"/>
    <w:rsid w:val="008F07AD"/>
    <w:rsid w:val="008F0A84"/>
    <w:rsid w:val="008F0C85"/>
    <w:rsid w:val="008F0EA9"/>
    <w:rsid w:val="008F10B8"/>
    <w:rsid w:val="008F11AD"/>
    <w:rsid w:val="008F1270"/>
    <w:rsid w:val="008F12E4"/>
    <w:rsid w:val="008F1655"/>
    <w:rsid w:val="008F18EC"/>
    <w:rsid w:val="008F1E05"/>
    <w:rsid w:val="008F21BF"/>
    <w:rsid w:val="008F2AE5"/>
    <w:rsid w:val="008F3386"/>
    <w:rsid w:val="008F36FF"/>
    <w:rsid w:val="008F3AE5"/>
    <w:rsid w:val="008F3BD2"/>
    <w:rsid w:val="008F3D3F"/>
    <w:rsid w:val="008F3F74"/>
    <w:rsid w:val="008F433D"/>
    <w:rsid w:val="008F45DE"/>
    <w:rsid w:val="008F4B4E"/>
    <w:rsid w:val="008F561D"/>
    <w:rsid w:val="008F5E8A"/>
    <w:rsid w:val="008F61DC"/>
    <w:rsid w:val="008F6423"/>
    <w:rsid w:val="008F696A"/>
    <w:rsid w:val="008F6B16"/>
    <w:rsid w:val="008F6DE6"/>
    <w:rsid w:val="008F6F26"/>
    <w:rsid w:val="00900446"/>
    <w:rsid w:val="009008E6"/>
    <w:rsid w:val="00900997"/>
    <w:rsid w:val="00900CE5"/>
    <w:rsid w:val="00901069"/>
    <w:rsid w:val="00901261"/>
    <w:rsid w:val="009015D1"/>
    <w:rsid w:val="009016A8"/>
    <w:rsid w:val="00901C06"/>
    <w:rsid w:val="00902474"/>
    <w:rsid w:val="00903293"/>
    <w:rsid w:val="0090488E"/>
    <w:rsid w:val="009049FD"/>
    <w:rsid w:val="009052D4"/>
    <w:rsid w:val="0090595B"/>
    <w:rsid w:val="00905BAB"/>
    <w:rsid w:val="00905D83"/>
    <w:rsid w:val="00906092"/>
    <w:rsid w:val="009061EE"/>
    <w:rsid w:val="00906BB4"/>
    <w:rsid w:val="00906F11"/>
    <w:rsid w:val="0090732A"/>
    <w:rsid w:val="0090751A"/>
    <w:rsid w:val="00907579"/>
    <w:rsid w:val="009075AC"/>
    <w:rsid w:val="009100BE"/>
    <w:rsid w:val="00910649"/>
    <w:rsid w:val="00911008"/>
    <w:rsid w:val="00911074"/>
    <w:rsid w:val="009122F7"/>
    <w:rsid w:val="00912929"/>
    <w:rsid w:val="00912938"/>
    <w:rsid w:val="00912C89"/>
    <w:rsid w:val="009131D1"/>
    <w:rsid w:val="00913522"/>
    <w:rsid w:val="00913A7D"/>
    <w:rsid w:val="00913ADC"/>
    <w:rsid w:val="00913F83"/>
    <w:rsid w:val="00914C9F"/>
    <w:rsid w:val="00914D93"/>
    <w:rsid w:val="0091577E"/>
    <w:rsid w:val="009168CB"/>
    <w:rsid w:val="00917E66"/>
    <w:rsid w:val="00920F71"/>
    <w:rsid w:val="00920FEB"/>
    <w:rsid w:val="0092120B"/>
    <w:rsid w:val="0092177C"/>
    <w:rsid w:val="00921916"/>
    <w:rsid w:val="00921AD7"/>
    <w:rsid w:val="00921F76"/>
    <w:rsid w:val="0092286E"/>
    <w:rsid w:val="009230F8"/>
    <w:rsid w:val="0092319D"/>
    <w:rsid w:val="009234EB"/>
    <w:rsid w:val="009236A5"/>
    <w:rsid w:val="00923E58"/>
    <w:rsid w:val="0092407A"/>
    <w:rsid w:val="0092414D"/>
    <w:rsid w:val="009242ED"/>
    <w:rsid w:val="00924A50"/>
    <w:rsid w:val="00924D58"/>
    <w:rsid w:val="00925283"/>
    <w:rsid w:val="00925481"/>
    <w:rsid w:val="009262B1"/>
    <w:rsid w:val="00926AD9"/>
    <w:rsid w:val="00927481"/>
    <w:rsid w:val="009276F3"/>
    <w:rsid w:val="00927C9C"/>
    <w:rsid w:val="00927E09"/>
    <w:rsid w:val="0093035D"/>
    <w:rsid w:val="00930485"/>
    <w:rsid w:val="009309EF"/>
    <w:rsid w:val="00930F40"/>
    <w:rsid w:val="00930FEC"/>
    <w:rsid w:val="00930FFE"/>
    <w:rsid w:val="00931307"/>
    <w:rsid w:val="009319B5"/>
    <w:rsid w:val="00932136"/>
    <w:rsid w:val="009321A6"/>
    <w:rsid w:val="00932265"/>
    <w:rsid w:val="009322E9"/>
    <w:rsid w:val="00932AF1"/>
    <w:rsid w:val="00932CC6"/>
    <w:rsid w:val="00932D77"/>
    <w:rsid w:val="009336D8"/>
    <w:rsid w:val="0093389F"/>
    <w:rsid w:val="009341C0"/>
    <w:rsid w:val="0093425F"/>
    <w:rsid w:val="0093453E"/>
    <w:rsid w:val="009347A2"/>
    <w:rsid w:val="00934C03"/>
    <w:rsid w:val="00934C3F"/>
    <w:rsid w:val="00934EFC"/>
    <w:rsid w:val="009352A1"/>
    <w:rsid w:val="0093615D"/>
    <w:rsid w:val="00936491"/>
    <w:rsid w:val="00936778"/>
    <w:rsid w:val="009368C8"/>
    <w:rsid w:val="00936B4B"/>
    <w:rsid w:val="0093703C"/>
    <w:rsid w:val="0093710F"/>
    <w:rsid w:val="00937314"/>
    <w:rsid w:val="00937801"/>
    <w:rsid w:val="00937942"/>
    <w:rsid w:val="00937AEF"/>
    <w:rsid w:val="00937D6B"/>
    <w:rsid w:val="009402AA"/>
    <w:rsid w:val="0094052D"/>
    <w:rsid w:val="0094069C"/>
    <w:rsid w:val="0094083F"/>
    <w:rsid w:val="00940D77"/>
    <w:rsid w:val="00940E8F"/>
    <w:rsid w:val="0094195A"/>
    <w:rsid w:val="009427E0"/>
    <w:rsid w:val="009435E9"/>
    <w:rsid w:val="009438EC"/>
    <w:rsid w:val="00943C28"/>
    <w:rsid w:val="009448F1"/>
    <w:rsid w:val="00944AF3"/>
    <w:rsid w:val="009457F8"/>
    <w:rsid w:val="009459D4"/>
    <w:rsid w:val="00945A09"/>
    <w:rsid w:val="00945C2E"/>
    <w:rsid w:val="0094644A"/>
    <w:rsid w:val="00947495"/>
    <w:rsid w:val="0094762D"/>
    <w:rsid w:val="00947927"/>
    <w:rsid w:val="00950480"/>
    <w:rsid w:val="00950B1A"/>
    <w:rsid w:val="009515ED"/>
    <w:rsid w:val="00951694"/>
    <w:rsid w:val="00951B69"/>
    <w:rsid w:val="00951CE6"/>
    <w:rsid w:val="0095230A"/>
    <w:rsid w:val="00952AFF"/>
    <w:rsid w:val="00952F8A"/>
    <w:rsid w:val="0095344E"/>
    <w:rsid w:val="009537FA"/>
    <w:rsid w:val="00953F07"/>
    <w:rsid w:val="009546B3"/>
    <w:rsid w:val="0095477E"/>
    <w:rsid w:val="00954863"/>
    <w:rsid w:val="00954913"/>
    <w:rsid w:val="00955154"/>
    <w:rsid w:val="009551ED"/>
    <w:rsid w:val="009557F5"/>
    <w:rsid w:val="00955B45"/>
    <w:rsid w:val="00955D19"/>
    <w:rsid w:val="009566AA"/>
    <w:rsid w:val="009568BF"/>
    <w:rsid w:val="00956923"/>
    <w:rsid w:val="0095696A"/>
    <w:rsid w:val="00956ABC"/>
    <w:rsid w:val="00956B56"/>
    <w:rsid w:val="009578DC"/>
    <w:rsid w:val="00957C3F"/>
    <w:rsid w:val="009603CA"/>
    <w:rsid w:val="00960BAE"/>
    <w:rsid w:val="00961F08"/>
    <w:rsid w:val="00962721"/>
    <w:rsid w:val="00962753"/>
    <w:rsid w:val="00962AE5"/>
    <w:rsid w:val="009642EB"/>
    <w:rsid w:val="009646BE"/>
    <w:rsid w:val="00964D5A"/>
    <w:rsid w:val="00964F61"/>
    <w:rsid w:val="00965D97"/>
    <w:rsid w:val="00965E9C"/>
    <w:rsid w:val="00965F39"/>
    <w:rsid w:val="009660CC"/>
    <w:rsid w:val="00966116"/>
    <w:rsid w:val="00966329"/>
    <w:rsid w:val="00966838"/>
    <w:rsid w:val="00966C9B"/>
    <w:rsid w:val="009673B7"/>
    <w:rsid w:val="009705BD"/>
    <w:rsid w:val="00970985"/>
    <w:rsid w:val="00970B66"/>
    <w:rsid w:val="00970BB8"/>
    <w:rsid w:val="00970BFF"/>
    <w:rsid w:val="00971705"/>
    <w:rsid w:val="00971EFD"/>
    <w:rsid w:val="00972BF1"/>
    <w:rsid w:val="009731E9"/>
    <w:rsid w:val="009732F4"/>
    <w:rsid w:val="00973A6F"/>
    <w:rsid w:val="00973FEC"/>
    <w:rsid w:val="009741CB"/>
    <w:rsid w:val="009742E2"/>
    <w:rsid w:val="009755BC"/>
    <w:rsid w:val="0097588F"/>
    <w:rsid w:val="00975A6A"/>
    <w:rsid w:val="0097633C"/>
    <w:rsid w:val="00976BF5"/>
    <w:rsid w:val="00977156"/>
    <w:rsid w:val="00977205"/>
    <w:rsid w:val="009774F6"/>
    <w:rsid w:val="00977857"/>
    <w:rsid w:val="009778C8"/>
    <w:rsid w:val="00977CDD"/>
    <w:rsid w:val="00977D3F"/>
    <w:rsid w:val="00980071"/>
    <w:rsid w:val="009801F8"/>
    <w:rsid w:val="0098050D"/>
    <w:rsid w:val="0098083A"/>
    <w:rsid w:val="0098089C"/>
    <w:rsid w:val="00980F2E"/>
    <w:rsid w:val="009814C3"/>
    <w:rsid w:val="00981B02"/>
    <w:rsid w:val="00982318"/>
    <w:rsid w:val="0098296B"/>
    <w:rsid w:val="00982A29"/>
    <w:rsid w:val="0098344B"/>
    <w:rsid w:val="009835AA"/>
    <w:rsid w:val="009835EC"/>
    <w:rsid w:val="009838C1"/>
    <w:rsid w:val="00983EDE"/>
    <w:rsid w:val="009842ED"/>
    <w:rsid w:val="00984469"/>
    <w:rsid w:val="00984D15"/>
    <w:rsid w:val="009854D8"/>
    <w:rsid w:val="00985772"/>
    <w:rsid w:val="00985A27"/>
    <w:rsid w:val="00985ABF"/>
    <w:rsid w:val="00985D0B"/>
    <w:rsid w:val="00986195"/>
    <w:rsid w:val="0098699F"/>
    <w:rsid w:val="00986B15"/>
    <w:rsid w:val="00986D5A"/>
    <w:rsid w:val="0098701D"/>
    <w:rsid w:val="00987557"/>
    <w:rsid w:val="00990B46"/>
    <w:rsid w:val="00990FC1"/>
    <w:rsid w:val="00991571"/>
    <w:rsid w:val="0099253E"/>
    <w:rsid w:val="0099266E"/>
    <w:rsid w:val="00992C45"/>
    <w:rsid w:val="00992ECC"/>
    <w:rsid w:val="00993214"/>
    <w:rsid w:val="009947AA"/>
    <w:rsid w:val="00994FE3"/>
    <w:rsid w:val="0099550A"/>
    <w:rsid w:val="00995616"/>
    <w:rsid w:val="00995BD4"/>
    <w:rsid w:val="00995BF0"/>
    <w:rsid w:val="009961CE"/>
    <w:rsid w:val="00996207"/>
    <w:rsid w:val="00996988"/>
    <w:rsid w:val="00996FB0"/>
    <w:rsid w:val="00996FE6"/>
    <w:rsid w:val="0099756F"/>
    <w:rsid w:val="009976BC"/>
    <w:rsid w:val="009A0159"/>
    <w:rsid w:val="009A02A4"/>
    <w:rsid w:val="009A0800"/>
    <w:rsid w:val="009A0A2C"/>
    <w:rsid w:val="009A0A61"/>
    <w:rsid w:val="009A0D85"/>
    <w:rsid w:val="009A0EC8"/>
    <w:rsid w:val="009A1261"/>
    <w:rsid w:val="009A1520"/>
    <w:rsid w:val="009A1552"/>
    <w:rsid w:val="009A1773"/>
    <w:rsid w:val="009A18A6"/>
    <w:rsid w:val="009A1ABB"/>
    <w:rsid w:val="009A1E58"/>
    <w:rsid w:val="009A2818"/>
    <w:rsid w:val="009A28D5"/>
    <w:rsid w:val="009A2B79"/>
    <w:rsid w:val="009A2D10"/>
    <w:rsid w:val="009A32F1"/>
    <w:rsid w:val="009A36B2"/>
    <w:rsid w:val="009A375B"/>
    <w:rsid w:val="009A3956"/>
    <w:rsid w:val="009A3ABA"/>
    <w:rsid w:val="009A477B"/>
    <w:rsid w:val="009A4BB1"/>
    <w:rsid w:val="009A526C"/>
    <w:rsid w:val="009A5856"/>
    <w:rsid w:val="009A5985"/>
    <w:rsid w:val="009A5D92"/>
    <w:rsid w:val="009A6022"/>
    <w:rsid w:val="009A6425"/>
    <w:rsid w:val="009A64F7"/>
    <w:rsid w:val="009A695F"/>
    <w:rsid w:val="009A6F55"/>
    <w:rsid w:val="009A6F5B"/>
    <w:rsid w:val="009A705E"/>
    <w:rsid w:val="009A72ED"/>
    <w:rsid w:val="009A73E5"/>
    <w:rsid w:val="009A7990"/>
    <w:rsid w:val="009A7A56"/>
    <w:rsid w:val="009A7D90"/>
    <w:rsid w:val="009A7E12"/>
    <w:rsid w:val="009B0335"/>
    <w:rsid w:val="009B078F"/>
    <w:rsid w:val="009B07A8"/>
    <w:rsid w:val="009B17FE"/>
    <w:rsid w:val="009B1F62"/>
    <w:rsid w:val="009B2386"/>
    <w:rsid w:val="009B28FF"/>
    <w:rsid w:val="009B31BB"/>
    <w:rsid w:val="009B34E0"/>
    <w:rsid w:val="009B35F1"/>
    <w:rsid w:val="009B3FBA"/>
    <w:rsid w:val="009B43ED"/>
    <w:rsid w:val="009B4BE0"/>
    <w:rsid w:val="009B4E0C"/>
    <w:rsid w:val="009B4F15"/>
    <w:rsid w:val="009B501C"/>
    <w:rsid w:val="009B5746"/>
    <w:rsid w:val="009B57F4"/>
    <w:rsid w:val="009B5BA2"/>
    <w:rsid w:val="009B6040"/>
    <w:rsid w:val="009B6137"/>
    <w:rsid w:val="009B6347"/>
    <w:rsid w:val="009B673A"/>
    <w:rsid w:val="009B6CE4"/>
    <w:rsid w:val="009B6FE2"/>
    <w:rsid w:val="009B7F21"/>
    <w:rsid w:val="009C0435"/>
    <w:rsid w:val="009C05C5"/>
    <w:rsid w:val="009C09B5"/>
    <w:rsid w:val="009C0AF8"/>
    <w:rsid w:val="009C0E55"/>
    <w:rsid w:val="009C1164"/>
    <w:rsid w:val="009C2988"/>
    <w:rsid w:val="009C2A34"/>
    <w:rsid w:val="009C2BD2"/>
    <w:rsid w:val="009C2CB4"/>
    <w:rsid w:val="009C2DA4"/>
    <w:rsid w:val="009C3028"/>
    <w:rsid w:val="009C3068"/>
    <w:rsid w:val="009C38C4"/>
    <w:rsid w:val="009C4712"/>
    <w:rsid w:val="009C4893"/>
    <w:rsid w:val="009C4B33"/>
    <w:rsid w:val="009C4DD8"/>
    <w:rsid w:val="009C502F"/>
    <w:rsid w:val="009C55BE"/>
    <w:rsid w:val="009C5A6B"/>
    <w:rsid w:val="009C5D4A"/>
    <w:rsid w:val="009C615B"/>
    <w:rsid w:val="009C669C"/>
    <w:rsid w:val="009C69C3"/>
    <w:rsid w:val="009C6B52"/>
    <w:rsid w:val="009C6BFA"/>
    <w:rsid w:val="009C7301"/>
    <w:rsid w:val="009C733A"/>
    <w:rsid w:val="009C7504"/>
    <w:rsid w:val="009C7A3C"/>
    <w:rsid w:val="009C7D9E"/>
    <w:rsid w:val="009D003E"/>
    <w:rsid w:val="009D0068"/>
    <w:rsid w:val="009D0A1B"/>
    <w:rsid w:val="009D14C9"/>
    <w:rsid w:val="009D1821"/>
    <w:rsid w:val="009D1A6A"/>
    <w:rsid w:val="009D1AC0"/>
    <w:rsid w:val="009D1E78"/>
    <w:rsid w:val="009D22B9"/>
    <w:rsid w:val="009D25E2"/>
    <w:rsid w:val="009D2D45"/>
    <w:rsid w:val="009D3528"/>
    <w:rsid w:val="009D3602"/>
    <w:rsid w:val="009D3BE6"/>
    <w:rsid w:val="009D3BF5"/>
    <w:rsid w:val="009D3D65"/>
    <w:rsid w:val="009D4634"/>
    <w:rsid w:val="009D500A"/>
    <w:rsid w:val="009D57EF"/>
    <w:rsid w:val="009D594E"/>
    <w:rsid w:val="009D61A5"/>
    <w:rsid w:val="009D6D33"/>
    <w:rsid w:val="009D7FB2"/>
    <w:rsid w:val="009E049C"/>
    <w:rsid w:val="009E0FEF"/>
    <w:rsid w:val="009E116A"/>
    <w:rsid w:val="009E127D"/>
    <w:rsid w:val="009E16A3"/>
    <w:rsid w:val="009E1D29"/>
    <w:rsid w:val="009E2034"/>
    <w:rsid w:val="009E21B0"/>
    <w:rsid w:val="009E22C1"/>
    <w:rsid w:val="009E237A"/>
    <w:rsid w:val="009E2526"/>
    <w:rsid w:val="009E25CB"/>
    <w:rsid w:val="009E2625"/>
    <w:rsid w:val="009E2A39"/>
    <w:rsid w:val="009E2C47"/>
    <w:rsid w:val="009E352F"/>
    <w:rsid w:val="009E3582"/>
    <w:rsid w:val="009E4714"/>
    <w:rsid w:val="009E4B84"/>
    <w:rsid w:val="009E58E3"/>
    <w:rsid w:val="009E5FC3"/>
    <w:rsid w:val="009E6552"/>
    <w:rsid w:val="009E6871"/>
    <w:rsid w:val="009E6B65"/>
    <w:rsid w:val="009E729A"/>
    <w:rsid w:val="009F0841"/>
    <w:rsid w:val="009F147A"/>
    <w:rsid w:val="009F194F"/>
    <w:rsid w:val="009F1F90"/>
    <w:rsid w:val="009F20E5"/>
    <w:rsid w:val="009F268B"/>
    <w:rsid w:val="009F287A"/>
    <w:rsid w:val="009F2889"/>
    <w:rsid w:val="009F2A1C"/>
    <w:rsid w:val="009F2C79"/>
    <w:rsid w:val="009F2CFD"/>
    <w:rsid w:val="009F2DCD"/>
    <w:rsid w:val="009F2FE9"/>
    <w:rsid w:val="009F3BBC"/>
    <w:rsid w:val="009F4039"/>
    <w:rsid w:val="009F4D65"/>
    <w:rsid w:val="009F5008"/>
    <w:rsid w:val="009F50C0"/>
    <w:rsid w:val="009F5158"/>
    <w:rsid w:val="009F552D"/>
    <w:rsid w:val="009F5BF8"/>
    <w:rsid w:val="009F62A9"/>
    <w:rsid w:val="009F67E6"/>
    <w:rsid w:val="009F6B58"/>
    <w:rsid w:val="009F7153"/>
    <w:rsid w:val="009F72AA"/>
    <w:rsid w:val="009F75CB"/>
    <w:rsid w:val="00A003E6"/>
    <w:rsid w:val="00A009CA"/>
    <w:rsid w:val="00A00BC5"/>
    <w:rsid w:val="00A0141A"/>
    <w:rsid w:val="00A01856"/>
    <w:rsid w:val="00A01AE7"/>
    <w:rsid w:val="00A01C86"/>
    <w:rsid w:val="00A01CA7"/>
    <w:rsid w:val="00A02218"/>
    <w:rsid w:val="00A022E1"/>
    <w:rsid w:val="00A0258E"/>
    <w:rsid w:val="00A02622"/>
    <w:rsid w:val="00A035A3"/>
    <w:rsid w:val="00A03757"/>
    <w:rsid w:val="00A04022"/>
    <w:rsid w:val="00A041AE"/>
    <w:rsid w:val="00A0427A"/>
    <w:rsid w:val="00A042BF"/>
    <w:rsid w:val="00A042E3"/>
    <w:rsid w:val="00A04528"/>
    <w:rsid w:val="00A04AAB"/>
    <w:rsid w:val="00A04EEF"/>
    <w:rsid w:val="00A052EA"/>
    <w:rsid w:val="00A06111"/>
    <w:rsid w:val="00A064C1"/>
    <w:rsid w:val="00A067ED"/>
    <w:rsid w:val="00A06AB6"/>
    <w:rsid w:val="00A06DF1"/>
    <w:rsid w:val="00A07182"/>
    <w:rsid w:val="00A0725B"/>
    <w:rsid w:val="00A07406"/>
    <w:rsid w:val="00A07767"/>
    <w:rsid w:val="00A07DC0"/>
    <w:rsid w:val="00A10FD0"/>
    <w:rsid w:val="00A11240"/>
    <w:rsid w:val="00A11FB9"/>
    <w:rsid w:val="00A13191"/>
    <w:rsid w:val="00A13FFB"/>
    <w:rsid w:val="00A142CB"/>
    <w:rsid w:val="00A14389"/>
    <w:rsid w:val="00A14792"/>
    <w:rsid w:val="00A14997"/>
    <w:rsid w:val="00A15038"/>
    <w:rsid w:val="00A151C4"/>
    <w:rsid w:val="00A157E8"/>
    <w:rsid w:val="00A15A06"/>
    <w:rsid w:val="00A16EBB"/>
    <w:rsid w:val="00A17216"/>
    <w:rsid w:val="00A174D2"/>
    <w:rsid w:val="00A17BC1"/>
    <w:rsid w:val="00A17D95"/>
    <w:rsid w:val="00A17E31"/>
    <w:rsid w:val="00A20C25"/>
    <w:rsid w:val="00A2101B"/>
    <w:rsid w:val="00A21168"/>
    <w:rsid w:val="00A21183"/>
    <w:rsid w:val="00A215DF"/>
    <w:rsid w:val="00A21C56"/>
    <w:rsid w:val="00A21FF1"/>
    <w:rsid w:val="00A22ECC"/>
    <w:rsid w:val="00A235ED"/>
    <w:rsid w:val="00A23709"/>
    <w:rsid w:val="00A23936"/>
    <w:rsid w:val="00A23A3B"/>
    <w:rsid w:val="00A241F1"/>
    <w:rsid w:val="00A24592"/>
    <w:rsid w:val="00A24904"/>
    <w:rsid w:val="00A249C1"/>
    <w:rsid w:val="00A255A7"/>
    <w:rsid w:val="00A257A6"/>
    <w:rsid w:val="00A26285"/>
    <w:rsid w:val="00A27187"/>
    <w:rsid w:val="00A27D17"/>
    <w:rsid w:val="00A27EBB"/>
    <w:rsid w:val="00A302D5"/>
    <w:rsid w:val="00A309A6"/>
    <w:rsid w:val="00A31215"/>
    <w:rsid w:val="00A32404"/>
    <w:rsid w:val="00A32D2D"/>
    <w:rsid w:val="00A33385"/>
    <w:rsid w:val="00A33BC3"/>
    <w:rsid w:val="00A33ECD"/>
    <w:rsid w:val="00A34383"/>
    <w:rsid w:val="00A346B9"/>
    <w:rsid w:val="00A34D13"/>
    <w:rsid w:val="00A3521F"/>
    <w:rsid w:val="00A355A7"/>
    <w:rsid w:val="00A35881"/>
    <w:rsid w:val="00A35C64"/>
    <w:rsid w:val="00A35D0B"/>
    <w:rsid w:val="00A35DC8"/>
    <w:rsid w:val="00A3670C"/>
    <w:rsid w:val="00A3687E"/>
    <w:rsid w:val="00A3694C"/>
    <w:rsid w:val="00A36C94"/>
    <w:rsid w:val="00A36E00"/>
    <w:rsid w:val="00A3704A"/>
    <w:rsid w:val="00A3744D"/>
    <w:rsid w:val="00A37576"/>
    <w:rsid w:val="00A40164"/>
    <w:rsid w:val="00A404B3"/>
    <w:rsid w:val="00A40625"/>
    <w:rsid w:val="00A40879"/>
    <w:rsid w:val="00A4098C"/>
    <w:rsid w:val="00A410F3"/>
    <w:rsid w:val="00A418D7"/>
    <w:rsid w:val="00A4199A"/>
    <w:rsid w:val="00A41B5D"/>
    <w:rsid w:val="00A41F9F"/>
    <w:rsid w:val="00A42064"/>
    <w:rsid w:val="00A4210F"/>
    <w:rsid w:val="00A42521"/>
    <w:rsid w:val="00A4272A"/>
    <w:rsid w:val="00A42CD5"/>
    <w:rsid w:val="00A43165"/>
    <w:rsid w:val="00A43321"/>
    <w:rsid w:val="00A43963"/>
    <w:rsid w:val="00A43B45"/>
    <w:rsid w:val="00A43C44"/>
    <w:rsid w:val="00A43D3A"/>
    <w:rsid w:val="00A44064"/>
    <w:rsid w:val="00A44826"/>
    <w:rsid w:val="00A448A2"/>
    <w:rsid w:val="00A44DCE"/>
    <w:rsid w:val="00A45505"/>
    <w:rsid w:val="00A45AEF"/>
    <w:rsid w:val="00A45EDC"/>
    <w:rsid w:val="00A4646A"/>
    <w:rsid w:val="00A46CD5"/>
    <w:rsid w:val="00A46DAE"/>
    <w:rsid w:val="00A4773B"/>
    <w:rsid w:val="00A501E6"/>
    <w:rsid w:val="00A502BE"/>
    <w:rsid w:val="00A51017"/>
    <w:rsid w:val="00A5108B"/>
    <w:rsid w:val="00A51398"/>
    <w:rsid w:val="00A51C69"/>
    <w:rsid w:val="00A51E87"/>
    <w:rsid w:val="00A52135"/>
    <w:rsid w:val="00A52ADD"/>
    <w:rsid w:val="00A531A8"/>
    <w:rsid w:val="00A53741"/>
    <w:rsid w:val="00A53D7C"/>
    <w:rsid w:val="00A53EF1"/>
    <w:rsid w:val="00A5412E"/>
    <w:rsid w:val="00A544D7"/>
    <w:rsid w:val="00A544E8"/>
    <w:rsid w:val="00A54DA5"/>
    <w:rsid w:val="00A55554"/>
    <w:rsid w:val="00A555CF"/>
    <w:rsid w:val="00A55AE6"/>
    <w:rsid w:val="00A55C43"/>
    <w:rsid w:val="00A55D45"/>
    <w:rsid w:val="00A56017"/>
    <w:rsid w:val="00A56271"/>
    <w:rsid w:val="00A562A4"/>
    <w:rsid w:val="00A56650"/>
    <w:rsid w:val="00A56904"/>
    <w:rsid w:val="00A5694F"/>
    <w:rsid w:val="00A57058"/>
    <w:rsid w:val="00A5705F"/>
    <w:rsid w:val="00A57119"/>
    <w:rsid w:val="00A60302"/>
    <w:rsid w:val="00A60AEE"/>
    <w:rsid w:val="00A60BE6"/>
    <w:rsid w:val="00A60F34"/>
    <w:rsid w:val="00A61AE1"/>
    <w:rsid w:val="00A61F7B"/>
    <w:rsid w:val="00A625EB"/>
    <w:rsid w:val="00A62BB2"/>
    <w:rsid w:val="00A62D3F"/>
    <w:rsid w:val="00A634E5"/>
    <w:rsid w:val="00A63759"/>
    <w:rsid w:val="00A63E09"/>
    <w:rsid w:val="00A642F1"/>
    <w:rsid w:val="00A649EF"/>
    <w:rsid w:val="00A64AA6"/>
    <w:rsid w:val="00A64EE8"/>
    <w:rsid w:val="00A6520C"/>
    <w:rsid w:val="00A658E0"/>
    <w:rsid w:val="00A65983"/>
    <w:rsid w:val="00A65FA9"/>
    <w:rsid w:val="00A6639F"/>
    <w:rsid w:val="00A66531"/>
    <w:rsid w:val="00A667FA"/>
    <w:rsid w:val="00A67314"/>
    <w:rsid w:val="00A67A74"/>
    <w:rsid w:val="00A70B8D"/>
    <w:rsid w:val="00A71449"/>
    <w:rsid w:val="00A71A5C"/>
    <w:rsid w:val="00A7276A"/>
    <w:rsid w:val="00A727D3"/>
    <w:rsid w:val="00A72F5D"/>
    <w:rsid w:val="00A7300E"/>
    <w:rsid w:val="00A735FB"/>
    <w:rsid w:val="00A73AD3"/>
    <w:rsid w:val="00A73D2A"/>
    <w:rsid w:val="00A73D94"/>
    <w:rsid w:val="00A749B6"/>
    <w:rsid w:val="00A74A28"/>
    <w:rsid w:val="00A74D47"/>
    <w:rsid w:val="00A750D0"/>
    <w:rsid w:val="00A75104"/>
    <w:rsid w:val="00A768C0"/>
    <w:rsid w:val="00A76C24"/>
    <w:rsid w:val="00A76C44"/>
    <w:rsid w:val="00A77104"/>
    <w:rsid w:val="00A771AD"/>
    <w:rsid w:val="00A7746B"/>
    <w:rsid w:val="00A80686"/>
    <w:rsid w:val="00A806E8"/>
    <w:rsid w:val="00A80F02"/>
    <w:rsid w:val="00A8133D"/>
    <w:rsid w:val="00A818D5"/>
    <w:rsid w:val="00A819FC"/>
    <w:rsid w:val="00A81C5A"/>
    <w:rsid w:val="00A82258"/>
    <w:rsid w:val="00A82281"/>
    <w:rsid w:val="00A831E4"/>
    <w:rsid w:val="00A8325C"/>
    <w:rsid w:val="00A83915"/>
    <w:rsid w:val="00A839F3"/>
    <w:rsid w:val="00A83AD5"/>
    <w:rsid w:val="00A83B55"/>
    <w:rsid w:val="00A83C25"/>
    <w:rsid w:val="00A83EF2"/>
    <w:rsid w:val="00A84176"/>
    <w:rsid w:val="00A844A7"/>
    <w:rsid w:val="00A84F81"/>
    <w:rsid w:val="00A859D3"/>
    <w:rsid w:val="00A860A8"/>
    <w:rsid w:val="00A86121"/>
    <w:rsid w:val="00A8630F"/>
    <w:rsid w:val="00A86523"/>
    <w:rsid w:val="00A86905"/>
    <w:rsid w:val="00A86C03"/>
    <w:rsid w:val="00A86E6A"/>
    <w:rsid w:val="00A875F8"/>
    <w:rsid w:val="00A8764B"/>
    <w:rsid w:val="00A87859"/>
    <w:rsid w:val="00A87B2F"/>
    <w:rsid w:val="00A87B4C"/>
    <w:rsid w:val="00A87C12"/>
    <w:rsid w:val="00A9014C"/>
    <w:rsid w:val="00A90514"/>
    <w:rsid w:val="00A90EF1"/>
    <w:rsid w:val="00A91285"/>
    <w:rsid w:val="00A9141A"/>
    <w:rsid w:val="00A9153C"/>
    <w:rsid w:val="00A916B8"/>
    <w:rsid w:val="00A9197E"/>
    <w:rsid w:val="00A91A9D"/>
    <w:rsid w:val="00A93176"/>
    <w:rsid w:val="00A9355B"/>
    <w:rsid w:val="00A939E8"/>
    <w:rsid w:val="00A93B14"/>
    <w:rsid w:val="00A9439E"/>
    <w:rsid w:val="00A947D6"/>
    <w:rsid w:val="00A9503C"/>
    <w:rsid w:val="00A952D5"/>
    <w:rsid w:val="00A95658"/>
    <w:rsid w:val="00A95A4F"/>
    <w:rsid w:val="00A95BCB"/>
    <w:rsid w:val="00A95C41"/>
    <w:rsid w:val="00A95F21"/>
    <w:rsid w:val="00A95F75"/>
    <w:rsid w:val="00A96230"/>
    <w:rsid w:val="00A96417"/>
    <w:rsid w:val="00A9642C"/>
    <w:rsid w:val="00A971B9"/>
    <w:rsid w:val="00A97801"/>
    <w:rsid w:val="00AA001D"/>
    <w:rsid w:val="00AA0023"/>
    <w:rsid w:val="00AA061A"/>
    <w:rsid w:val="00AA07E1"/>
    <w:rsid w:val="00AA10AE"/>
    <w:rsid w:val="00AA1235"/>
    <w:rsid w:val="00AA1C1B"/>
    <w:rsid w:val="00AA1C35"/>
    <w:rsid w:val="00AA1EEF"/>
    <w:rsid w:val="00AA2CE4"/>
    <w:rsid w:val="00AA2D74"/>
    <w:rsid w:val="00AA2F99"/>
    <w:rsid w:val="00AA3259"/>
    <w:rsid w:val="00AA356B"/>
    <w:rsid w:val="00AA37D0"/>
    <w:rsid w:val="00AA3858"/>
    <w:rsid w:val="00AA38E4"/>
    <w:rsid w:val="00AA3BFC"/>
    <w:rsid w:val="00AA3C67"/>
    <w:rsid w:val="00AA3EB8"/>
    <w:rsid w:val="00AA4157"/>
    <w:rsid w:val="00AA41F5"/>
    <w:rsid w:val="00AA41FC"/>
    <w:rsid w:val="00AA42B1"/>
    <w:rsid w:val="00AA452D"/>
    <w:rsid w:val="00AA4BA7"/>
    <w:rsid w:val="00AA4DE9"/>
    <w:rsid w:val="00AA55ED"/>
    <w:rsid w:val="00AA5AA1"/>
    <w:rsid w:val="00AA5C50"/>
    <w:rsid w:val="00AA643B"/>
    <w:rsid w:val="00AA6B88"/>
    <w:rsid w:val="00AA6BBC"/>
    <w:rsid w:val="00AA6CD3"/>
    <w:rsid w:val="00AA6EE3"/>
    <w:rsid w:val="00AA7918"/>
    <w:rsid w:val="00AA7DE5"/>
    <w:rsid w:val="00AB011D"/>
    <w:rsid w:val="00AB020E"/>
    <w:rsid w:val="00AB0589"/>
    <w:rsid w:val="00AB060B"/>
    <w:rsid w:val="00AB0936"/>
    <w:rsid w:val="00AB0AF4"/>
    <w:rsid w:val="00AB0BCB"/>
    <w:rsid w:val="00AB0DFB"/>
    <w:rsid w:val="00AB103B"/>
    <w:rsid w:val="00AB12D1"/>
    <w:rsid w:val="00AB132E"/>
    <w:rsid w:val="00AB1435"/>
    <w:rsid w:val="00AB194F"/>
    <w:rsid w:val="00AB2C2D"/>
    <w:rsid w:val="00AB2EAE"/>
    <w:rsid w:val="00AB38BE"/>
    <w:rsid w:val="00AB398B"/>
    <w:rsid w:val="00AB3C1D"/>
    <w:rsid w:val="00AB407A"/>
    <w:rsid w:val="00AB4104"/>
    <w:rsid w:val="00AB45F2"/>
    <w:rsid w:val="00AB47D1"/>
    <w:rsid w:val="00AB48B8"/>
    <w:rsid w:val="00AB51B2"/>
    <w:rsid w:val="00AB55F2"/>
    <w:rsid w:val="00AB5B09"/>
    <w:rsid w:val="00AB67BE"/>
    <w:rsid w:val="00AB6D8B"/>
    <w:rsid w:val="00AB6F38"/>
    <w:rsid w:val="00AB71B8"/>
    <w:rsid w:val="00AB7282"/>
    <w:rsid w:val="00AB773C"/>
    <w:rsid w:val="00AB791F"/>
    <w:rsid w:val="00AB7F0C"/>
    <w:rsid w:val="00AC0BF2"/>
    <w:rsid w:val="00AC2036"/>
    <w:rsid w:val="00AC2701"/>
    <w:rsid w:val="00AC3857"/>
    <w:rsid w:val="00AC3982"/>
    <w:rsid w:val="00AC3AEE"/>
    <w:rsid w:val="00AC428F"/>
    <w:rsid w:val="00AC45F6"/>
    <w:rsid w:val="00AC4CEB"/>
    <w:rsid w:val="00AC5287"/>
    <w:rsid w:val="00AC5495"/>
    <w:rsid w:val="00AC5642"/>
    <w:rsid w:val="00AC5E06"/>
    <w:rsid w:val="00AC6077"/>
    <w:rsid w:val="00AC60F3"/>
    <w:rsid w:val="00AC6715"/>
    <w:rsid w:val="00AC6B99"/>
    <w:rsid w:val="00AC77C4"/>
    <w:rsid w:val="00AC7BDC"/>
    <w:rsid w:val="00AD034F"/>
    <w:rsid w:val="00AD0706"/>
    <w:rsid w:val="00AD08B0"/>
    <w:rsid w:val="00AD0F3D"/>
    <w:rsid w:val="00AD1188"/>
    <w:rsid w:val="00AD1A35"/>
    <w:rsid w:val="00AD1DC5"/>
    <w:rsid w:val="00AD1FA1"/>
    <w:rsid w:val="00AD2479"/>
    <w:rsid w:val="00AD2846"/>
    <w:rsid w:val="00AD2D51"/>
    <w:rsid w:val="00AD311E"/>
    <w:rsid w:val="00AD35DE"/>
    <w:rsid w:val="00AD44E6"/>
    <w:rsid w:val="00AD46B6"/>
    <w:rsid w:val="00AD477B"/>
    <w:rsid w:val="00AD4858"/>
    <w:rsid w:val="00AD4CB6"/>
    <w:rsid w:val="00AD4CFF"/>
    <w:rsid w:val="00AD5BED"/>
    <w:rsid w:val="00AD6420"/>
    <w:rsid w:val="00AD684C"/>
    <w:rsid w:val="00AD698F"/>
    <w:rsid w:val="00AD6A27"/>
    <w:rsid w:val="00AD7371"/>
    <w:rsid w:val="00AD73D8"/>
    <w:rsid w:val="00AD7502"/>
    <w:rsid w:val="00AD755E"/>
    <w:rsid w:val="00AD764E"/>
    <w:rsid w:val="00AD799E"/>
    <w:rsid w:val="00AE12A9"/>
    <w:rsid w:val="00AE167B"/>
    <w:rsid w:val="00AE16E2"/>
    <w:rsid w:val="00AE1C0A"/>
    <w:rsid w:val="00AE1F97"/>
    <w:rsid w:val="00AE2291"/>
    <w:rsid w:val="00AE25E8"/>
    <w:rsid w:val="00AE2E78"/>
    <w:rsid w:val="00AE3517"/>
    <w:rsid w:val="00AE3700"/>
    <w:rsid w:val="00AE38E3"/>
    <w:rsid w:val="00AE39B3"/>
    <w:rsid w:val="00AE39DA"/>
    <w:rsid w:val="00AE3B7B"/>
    <w:rsid w:val="00AE46C4"/>
    <w:rsid w:val="00AE4C5C"/>
    <w:rsid w:val="00AE51D6"/>
    <w:rsid w:val="00AE58B2"/>
    <w:rsid w:val="00AE5E2C"/>
    <w:rsid w:val="00AE5E77"/>
    <w:rsid w:val="00AE601B"/>
    <w:rsid w:val="00AE6029"/>
    <w:rsid w:val="00AE6451"/>
    <w:rsid w:val="00AE672D"/>
    <w:rsid w:val="00AE68E0"/>
    <w:rsid w:val="00AE6A37"/>
    <w:rsid w:val="00AE6E1F"/>
    <w:rsid w:val="00AE7024"/>
    <w:rsid w:val="00AE7047"/>
    <w:rsid w:val="00AE71EE"/>
    <w:rsid w:val="00AE7478"/>
    <w:rsid w:val="00AE7890"/>
    <w:rsid w:val="00AE792D"/>
    <w:rsid w:val="00AF0022"/>
    <w:rsid w:val="00AF05B3"/>
    <w:rsid w:val="00AF130D"/>
    <w:rsid w:val="00AF1991"/>
    <w:rsid w:val="00AF1FD6"/>
    <w:rsid w:val="00AF23C8"/>
    <w:rsid w:val="00AF2717"/>
    <w:rsid w:val="00AF2E6E"/>
    <w:rsid w:val="00AF356A"/>
    <w:rsid w:val="00AF368F"/>
    <w:rsid w:val="00AF3B5F"/>
    <w:rsid w:val="00AF3F96"/>
    <w:rsid w:val="00AF412C"/>
    <w:rsid w:val="00AF4131"/>
    <w:rsid w:val="00AF4465"/>
    <w:rsid w:val="00AF5271"/>
    <w:rsid w:val="00AF52A0"/>
    <w:rsid w:val="00AF581D"/>
    <w:rsid w:val="00AF5A29"/>
    <w:rsid w:val="00AF6BF6"/>
    <w:rsid w:val="00AF7DA5"/>
    <w:rsid w:val="00AF7F1D"/>
    <w:rsid w:val="00B00076"/>
    <w:rsid w:val="00B002C1"/>
    <w:rsid w:val="00B005C5"/>
    <w:rsid w:val="00B00856"/>
    <w:rsid w:val="00B00991"/>
    <w:rsid w:val="00B009CD"/>
    <w:rsid w:val="00B00A8C"/>
    <w:rsid w:val="00B00DEB"/>
    <w:rsid w:val="00B00FD9"/>
    <w:rsid w:val="00B01069"/>
    <w:rsid w:val="00B01651"/>
    <w:rsid w:val="00B021BC"/>
    <w:rsid w:val="00B02CBF"/>
    <w:rsid w:val="00B03E7D"/>
    <w:rsid w:val="00B0443B"/>
    <w:rsid w:val="00B048F5"/>
    <w:rsid w:val="00B04A2D"/>
    <w:rsid w:val="00B04A90"/>
    <w:rsid w:val="00B05C23"/>
    <w:rsid w:val="00B05CCF"/>
    <w:rsid w:val="00B060FE"/>
    <w:rsid w:val="00B067B6"/>
    <w:rsid w:val="00B06EDA"/>
    <w:rsid w:val="00B07014"/>
    <w:rsid w:val="00B070A3"/>
    <w:rsid w:val="00B07201"/>
    <w:rsid w:val="00B0737C"/>
    <w:rsid w:val="00B1005F"/>
    <w:rsid w:val="00B10ACF"/>
    <w:rsid w:val="00B10C2A"/>
    <w:rsid w:val="00B112E0"/>
    <w:rsid w:val="00B113F1"/>
    <w:rsid w:val="00B11400"/>
    <w:rsid w:val="00B1199F"/>
    <w:rsid w:val="00B11A2A"/>
    <w:rsid w:val="00B11FFC"/>
    <w:rsid w:val="00B12039"/>
    <w:rsid w:val="00B12151"/>
    <w:rsid w:val="00B121A4"/>
    <w:rsid w:val="00B122CD"/>
    <w:rsid w:val="00B12499"/>
    <w:rsid w:val="00B12779"/>
    <w:rsid w:val="00B127E2"/>
    <w:rsid w:val="00B12A5C"/>
    <w:rsid w:val="00B12A67"/>
    <w:rsid w:val="00B12AAE"/>
    <w:rsid w:val="00B12CCB"/>
    <w:rsid w:val="00B12F21"/>
    <w:rsid w:val="00B13625"/>
    <w:rsid w:val="00B13DE3"/>
    <w:rsid w:val="00B14586"/>
    <w:rsid w:val="00B14A20"/>
    <w:rsid w:val="00B14A24"/>
    <w:rsid w:val="00B14C31"/>
    <w:rsid w:val="00B14D8B"/>
    <w:rsid w:val="00B15430"/>
    <w:rsid w:val="00B154EC"/>
    <w:rsid w:val="00B155CA"/>
    <w:rsid w:val="00B15919"/>
    <w:rsid w:val="00B16389"/>
    <w:rsid w:val="00B168F4"/>
    <w:rsid w:val="00B16CD4"/>
    <w:rsid w:val="00B16D8B"/>
    <w:rsid w:val="00B170C9"/>
    <w:rsid w:val="00B171A0"/>
    <w:rsid w:val="00B174AE"/>
    <w:rsid w:val="00B174CE"/>
    <w:rsid w:val="00B17B4B"/>
    <w:rsid w:val="00B17F7A"/>
    <w:rsid w:val="00B202B0"/>
    <w:rsid w:val="00B210A7"/>
    <w:rsid w:val="00B220A5"/>
    <w:rsid w:val="00B22A45"/>
    <w:rsid w:val="00B22F1A"/>
    <w:rsid w:val="00B237C6"/>
    <w:rsid w:val="00B23DF1"/>
    <w:rsid w:val="00B24285"/>
    <w:rsid w:val="00B2435B"/>
    <w:rsid w:val="00B24B6A"/>
    <w:rsid w:val="00B2560B"/>
    <w:rsid w:val="00B26100"/>
    <w:rsid w:val="00B26713"/>
    <w:rsid w:val="00B26983"/>
    <w:rsid w:val="00B26D2C"/>
    <w:rsid w:val="00B26D3A"/>
    <w:rsid w:val="00B26DF3"/>
    <w:rsid w:val="00B273C7"/>
    <w:rsid w:val="00B278F4"/>
    <w:rsid w:val="00B30302"/>
    <w:rsid w:val="00B308EA"/>
    <w:rsid w:val="00B30902"/>
    <w:rsid w:val="00B30AB5"/>
    <w:rsid w:val="00B30BD5"/>
    <w:rsid w:val="00B30EBF"/>
    <w:rsid w:val="00B30EC0"/>
    <w:rsid w:val="00B314ED"/>
    <w:rsid w:val="00B32B18"/>
    <w:rsid w:val="00B32F74"/>
    <w:rsid w:val="00B32FE2"/>
    <w:rsid w:val="00B33467"/>
    <w:rsid w:val="00B33480"/>
    <w:rsid w:val="00B348A6"/>
    <w:rsid w:val="00B3512A"/>
    <w:rsid w:val="00B35430"/>
    <w:rsid w:val="00B355C2"/>
    <w:rsid w:val="00B35799"/>
    <w:rsid w:val="00B36116"/>
    <w:rsid w:val="00B36BEA"/>
    <w:rsid w:val="00B36C1B"/>
    <w:rsid w:val="00B36CA2"/>
    <w:rsid w:val="00B36EA9"/>
    <w:rsid w:val="00B37301"/>
    <w:rsid w:val="00B3733F"/>
    <w:rsid w:val="00B375A0"/>
    <w:rsid w:val="00B378AB"/>
    <w:rsid w:val="00B37B9A"/>
    <w:rsid w:val="00B37D59"/>
    <w:rsid w:val="00B4008D"/>
    <w:rsid w:val="00B40D8E"/>
    <w:rsid w:val="00B40E80"/>
    <w:rsid w:val="00B410C2"/>
    <w:rsid w:val="00B41205"/>
    <w:rsid w:val="00B413AC"/>
    <w:rsid w:val="00B4159F"/>
    <w:rsid w:val="00B4245B"/>
    <w:rsid w:val="00B427A4"/>
    <w:rsid w:val="00B4282A"/>
    <w:rsid w:val="00B42C94"/>
    <w:rsid w:val="00B42E1C"/>
    <w:rsid w:val="00B42E8E"/>
    <w:rsid w:val="00B42ED7"/>
    <w:rsid w:val="00B42F61"/>
    <w:rsid w:val="00B4300C"/>
    <w:rsid w:val="00B4324D"/>
    <w:rsid w:val="00B437F2"/>
    <w:rsid w:val="00B44A19"/>
    <w:rsid w:val="00B44B67"/>
    <w:rsid w:val="00B44E4E"/>
    <w:rsid w:val="00B450EB"/>
    <w:rsid w:val="00B45312"/>
    <w:rsid w:val="00B456F1"/>
    <w:rsid w:val="00B457A0"/>
    <w:rsid w:val="00B459E4"/>
    <w:rsid w:val="00B45A65"/>
    <w:rsid w:val="00B4601A"/>
    <w:rsid w:val="00B46199"/>
    <w:rsid w:val="00B467A1"/>
    <w:rsid w:val="00B46CB1"/>
    <w:rsid w:val="00B4791D"/>
    <w:rsid w:val="00B47FD2"/>
    <w:rsid w:val="00B502FF"/>
    <w:rsid w:val="00B506F5"/>
    <w:rsid w:val="00B50A49"/>
    <w:rsid w:val="00B50A68"/>
    <w:rsid w:val="00B50AA8"/>
    <w:rsid w:val="00B50DE3"/>
    <w:rsid w:val="00B50EEA"/>
    <w:rsid w:val="00B50FC6"/>
    <w:rsid w:val="00B5129B"/>
    <w:rsid w:val="00B51493"/>
    <w:rsid w:val="00B515C3"/>
    <w:rsid w:val="00B51751"/>
    <w:rsid w:val="00B519A6"/>
    <w:rsid w:val="00B52126"/>
    <w:rsid w:val="00B5267D"/>
    <w:rsid w:val="00B52C56"/>
    <w:rsid w:val="00B53264"/>
    <w:rsid w:val="00B53EF8"/>
    <w:rsid w:val="00B54368"/>
    <w:rsid w:val="00B546FB"/>
    <w:rsid w:val="00B5479E"/>
    <w:rsid w:val="00B54E0A"/>
    <w:rsid w:val="00B552DB"/>
    <w:rsid w:val="00B5540D"/>
    <w:rsid w:val="00B55F71"/>
    <w:rsid w:val="00B5692E"/>
    <w:rsid w:val="00B56D62"/>
    <w:rsid w:val="00B57366"/>
    <w:rsid w:val="00B57855"/>
    <w:rsid w:val="00B57FE8"/>
    <w:rsid w:val="00B60244"/>
    <w:rsid w:val="00B60270"/>
    <w:rsid w:val="00B60332"/>
    <w:rsid w:val="00B603DC"/>
    <w:rsid w:val="00B60703"/>
    <w:rsid w:val="00B60AC5"/>
    <w:rsid w:val="00B60C0D"/>
    <w:rsid w:val="00B60FE3"/>
    <w:rsid w:val="00B610E3"/>
    <w:rsid w:val="00B6177B"/>
    <w:rsid w:val="00B619C6"/>
    <w:rsid w:val="00B61B21"/>
    <w:rsid w:val="00B61B3D"/>
    <w:rsid w:val="00B623C7"/>
    <w:rsid w:val="00B62610"/>
    <w:rsid w:val="00B62748"/>
    <w:rsid w:val="00B628A0"/>
    <w:rsid w:val="00B62C93"/>
    <w:rsid w:val="00B62F3F"/>
    <w:rsid w:val="00B632DC"/>
    <w:rsid w:val="00B63403"/>
    <w:rsid w:val="00B635CF"/>
    <w:rsid w:val="00B63D79"/>
    <w:rsid w:val="00B644A8"/>
    <w:rsid w:val="00B644E9"/>
    <w:rsid w:val="00B648FD"/>
    <w:rsid w:val="00B64A22"/>
    <w:rsid w:val="00B64A4C"/>
    <w:rsid w:val="00B6511C"/>
    <w:rsid w:val="00B653CB"/>
    <w:rsid w:val="00B65D8D"/>
    <w:rsid w:val="00B665B2"/>
    <w:rsid w:val="00B667D8"/>
    <w:rsid w:val="00B66AAE"/>
    <w:rsid w:val="00B6765F"/>
    <w:rsid w:val="00B678A1"/>
    <w:rsid w:val="00B678CC"/>
    <w:rsid w:val="00B67A38"/>
    <w:rsid w:val="00B67F75"/>
    <w:rsid w:val="00B7019A"/>
    <w:rsid w:val="00B7056A"/>
    <w:rsid w:val="00B70A04"/>
    <w:rsid w:val="00B70C5E"/>
    <w:rsid w:val="00B70DC0"/>
    <w:rsid w:val="00B713D9"/>
    <w:rsid w:val="00B71627"/>
    <w:rsid w:val="00B717DD"/>
    <w:rsid w:val="00B71928"/>
    <w:rsid w:val="00B71CCD"/>
    <w:rsid w:val="00B724FD"/>
    <w:rsid w:val="00B7269B"/>
    <w:rsid w:val="00B72735"/>
    <w:rsid w:val="00B7285D"/>
    <w:rsid w:val="00B72AEC"/>
    <w:rsid w:val="00B72C9F"/>
    <w:rsid w:val="00B73116"/>
    <w:rsid w:val="00B73283"/>
    <w:rsid w:val="00B73482"/>
    <w:rsid w:val="00B73526"/>
    <w:rsid w:val="00B7379F"/>
    <w:rsid w:val="00B73D5E"/>
    <w:rsid w:val="00B73F13"/>
    <w:rsid w:val="00B740F1"/>
    <w:rsid w:val="00B742D4"/>
    <w:rsid w:val="00B74D83"/>
    <w:rsid w:val="00B74F27"/>
    <w:rsid w:val="00B7566D"/>
    <w:rsid w:val="00B75B2A"/>
    <w:rsid w:val="00B75BEC"/>
    <w:rsid w:val="00B7635F"/>
    <w:rsid w:val="00B7670F"/>
    <w:rsid w:val="00B7716B"/>
    <w:rsid w:val="00B7744F"/>
    <w:rsid w:val="00B77C16"/>
    <w:rsid w:val="00B80190"/>
    <w:rsid w:val="00B80321"/>
    <w:rsid w:val="00B804B4"/>
    <w:rsid w:val="00B8057B"/>
    <w:rsid w:val="00B805DD"/>
    <w:rsid w:val="00B8063E"/>
    <w:rsid w:val="00B80BEF"/>
    <w:rsid w:val="00B80F28"/>
    <w:rsid w:val="00B8111B"/>
    <w:rsid w:val="00B81290"/>
    <w:rsid w:val="00B8129D"/>
    <w:rsid w:val="00B8159B"/>
    <w:rsid w:val="00B81B6A"/>
    <w:rsid w:val="00B81C1E"/>
    <w:rsid w:val="00B81C6D"/>
    <w:rsid w:val="00B81FEC"/>
    <w:rsid w:val="00B82311"/>
    <w:rsid w:val="00B82F98"/>
    <w:rsid w:val="00B83254"/>
    <w:rsid w:val="00B83477"/>
    <w:rsid w:val="00B8350E"/>
    <w:rsid w:val="00B83640"/>
    <w:rsid w:val="00B83A2F"/>
    <w:rsid w:val="00B83C91"/>
    <w:rsid w:val="00B85006"/>
    <w:rsid w:val="00B85736"/>
    <w:rsid w:val="00B85BD6"/>
    <w:rsid w:val="00B85CD6"/>
    <w:rsid w:val="00B85FD8"/>
    <w:rsid w:val="00B86908"/>
    <w:rsid w:val="00B86CD1"/>
    <w:rsid w:val="00B87286"/>
    <w:rsid w:val="00B87B08"/>
    <w:rsid w:val="00B87CB0"/>
    <w:rsid w:val="00B90007"/>
    <w:rsid w:val="00B900FF"/>
    <w:rsid w:val="00B901DB"/>
    <w:rsid w:val="00B903AA"/>
    <w:rsid w:val="00B906CF"/>
    <w:rsid w:val="00B90778"/>
    <w:rsid w:val="00B90BF0"/>
    <w:rsid w:val="00B9156F"/>
    <w:rsid w:val="00B91A94"/>
    <w:rsid w:val="00B91CD1"/>
    <w:rsid w:val="00B91FA5"/>
    <w:rsid w:val="00B92555"/>
    <w:rsid w:val="00B929E4"/>
    <w:rsid w:val="00B92BF1"/>
    <w:rsid w:val="00B932D5"/>
    <w:rsid w:val="00B935FA"/>
    <w:rsid w:val="00B945BE"/>
    <w:rsid w:val="00B9464E"/>
    <w:rsid w:val="00B94809"/>
    <w:rsid w:val="00B951AF"/>
    <w:rsid w:val="00B95590"/>
    <w:rsid w:val="00B956BA"/>
    <w:rsid w:val="00B95D4A"/>
    <w:rsid w:val="00B95E00"/>
    <w:rsid w:val="00B962EB"/>
    <w:rsid w:val="00B96780"/>
    <w:rsid w:val="00B96DC3"/>
    <w:rsid w:val="00B97F82"/>
    <w:rsid w:val="00BA0BA4"/>
    <w:rsid w:val="00BA1540"/>
    <w:rsid w:val="00BA16A5"/>
    <w:rsid w:val="00BA19C8"/>
    <w:rsid w:val="00BA1E9E"/>
    <w:rsid w:val="00BA2581"/>
    <w:rsid w:val="00BA259F"/>
    <w:rsid w:val="00BA2B19"/>
    <w:rsid w:val="00BA2D80"/>
    <w:rsid w:val="00BA3D69"/>
    <w:rsid w:val="00BA40E7"/>
    <w:rsid w:val="00BA4DD1"/>
    <w:rsid w:val="00BA5328"/>
    <w:rsid w:val="00BA5D76"/>
    <w:rsid w:val="00BA60D3"/>
    <w:rsid w:val="00BA6323"/>
    <w:rsid w:val="00BA65E6"/>
    <w:rsid w:val="00BA6E2A"/>
    <w:rsid w:val="00BA722E"/>
    <w:rsid w:val="00BA7AFD"/>
    <w:rsid w:val="00BB01A8"/>
    <w:rsid w:val="00BB09CA"/>
    <w:rsid w:val="00BB0C1E"/>
    <w:rsid w:val="00BB10A9"/>
    <w:rsid w:val="00BB140F"/>
    <w:rsid w:val="00BB1457"/>
    <w:rsid w:val="00BB1614"/>
    <w:rsid w:val="00BB1706"/>
    <w:rsid w:val="00BB218F"/>
    <w:rsid w:val="00BB21ED"/>
    <w:rsid w:val="00BB25B2"/>
    <w:rsid w:val="00BB262B"/>
    <w:rsid w:val="00BB2BF1"/>
    <w:rsid w:val="00BB2F28"/>
    <w:rsid w:val="00BB3146"/>
    <w:rsid w:val="00BB397F"/>
    <w:rsid w:val="00BB39AE"/>
    <w:rsid w:val="00BB3A23"/>
    <w:rsid w:val="00BB3C95"/>
    <w:rsid w:val="00BB4129"/>
    <w:rsid w:val="00BB4788"/>
    <w:rsid w:val="00BB4DD1"/>
    <w:rsid w:val="00BB4E43"/>
    <w:rsid w:val="00BB560E"/>
    <w:rsid w:val="00BB56BA"/>
    <w:rsid w:val="00BB64B4"/>
    <w:rsid w:val="00BB64BB"/>
    <w:rsid w:val="00BB6BE5"/>
    <w:rsid w:val="00BB70F1"/>
    <w:rsid w:val="00BB7594"/>
    <w:rsid w:val="00BC08EA"/>
    <w:rsid w:val="00BC0EFD"/>
    <w:rsid w:val="00BC0FAB"/>
    <w:rsid w:val="00BC116A"/>
    <w:rsid w:val="00BC12CD"/>
    <w:rsid w:val="00BC1B28"/>
    <w:rsid w:val="00BC1F86"/>
    <w:rsid w:val="00BC2AC7"/>
    <w:rsid w:val="00BC2AE3"/>
    <w:rsid w:val="00BC2EF7"/>
    <w:rsid w:val="00BC33A2"/>
    <w:rsid w:val="00BC37C2"/>
    <w:rsid w:val="00BC37FE"/>
    <w:rsid w:val="00BC3C3C"/>
    <w:rsid w:val="00BC3F81"/>
    <w:rsid w:val="00BC3FEF"/>
    <w:rsid w:val="00BC4112"/>
    <w:rsid w:val="00BC423F"/>
    <w:rsid w:val="00BC46D9"/>
    <w:rsid w:val="00BC4CFD"/>
    <w:rsid w:val="00BC54E5"/>
    <w:rsid w:val="00BC5DC0"/>
    <w:rsid w:val="00BC639F"/>
    <w:rsid w:val="00BC6453"/>
    <w:rsid w:val="00BC6495"/>
    <w:rsid w:val="00BC6725"/>
    <w:rsid w:val="00BC7530"/>
    <w:rsid w:val="00BC75F2"/>
    <w:rsid w:val="00BC7957"/>
    <w:rsid w:val="00BD0193"/>
    <w:rsid w:val="00BD1222"/>
    <w:rsid w:val="00BD15B4"/>
    <w:rsid w:val="00BD19BA"/>
    <w:rsid w:val="00BD1DB3"/>
    <w:rsid w:val="00BD1F4F"/>
    <w:rsid w:val="00BD2CC5"/>
    <w:rsid w:val="00BD3104"/>
    <w:rsid w:val="00BD33EA"/>
    <w:rsid w:val="00BD3639"/>
    <w:rsid w:val="00BD369A"/>
    <w:rsid w:val="00BD381D"/>
    <w:rsid w:val="00BD3FE4"/>
    <w:rsid w:val="00BD4014"/>
    <w:rsid w:val="00BD45FC"/>
    <w:rsid w:val="00BD4665"/>
    <w:rsid w:val="00BD481C"/>
    <w:rsid w:val="00BD4891"/>
    <w:rsid w:val="00BD4A8D"/>
    <w:rsid w:val="00BD4C27"/>
    <w:rsid w:val="00BD4D69"/>
    <w:rsid w:val="00BD4EEA"/>
    <w:rsid w:val="00BD5071"/>
    <w:rsid w:val="00BD5274"/>
    <w:rsid w:val="00BD5383"/>
    <w:rsid w:val="00BD54D8"/>
    <w:rsid w:val="00BD5D1A"/>
    <w:rsid w:val="00BD5F2B"/>
    <w:rsid w:val="00BD65A8"/>
    <w:rsid w:val="00BD65AF"/>
    <w:rsid w:val="00BD68B9"/>
    <w:rsid w:val="00BD6997"/>
    <w:rsid w:val="00BD6E59"/>
    <w:rsid w:val="00BD7022"/>
    <w:rsid w:val="00BD7079"/>
    <w:rsid w:val="00BD7A94"/>
    <w:rsid w:val="00BD7CEC"/>
    <w:rsid w:val="00BE0C66"/>
    <w:rsid w:val="00BE0FB6"/>
    <w:rsid w:val="00BE1332"/>
    <w:rsid w:val="00BE1556"/>
    <w:rsid w:val="00BE1932"/>
    <w:rsid w:val="00BE1979"/>
    <w:rsid w:val="00BE1E87"/>
    <w:rsid w:val="00BE24BE"/>
    <w:rsid w:val="00BE2DCB"/>
    <w:rsid w:val="00BE2DDC"/>
    <w:rsid w:val="00BE3297"/>
    <w:rsid w:val="00BE3E83"/>
    <w:rsid w:val="00BE3E86"/>
    <w:rsid w:val="00BE468B"/>
    <w:rsid w:val="00BE4878"/>
    <w:rsid w:val="00BE56CB"/>
    <w:rsid w:val="00BE5A91"/>
    <w:rsid w:val="00BE5DAE"/>
    <w:rsid w:val="00BE625B"/>
    <w:rsid w:val="00BE63A7"/>
    <w:rsid w:val="00BE656C"/>
    <w:rsid w:val="00BE6ACD"/>
    <w:rsid w:val="00BE70C3"/>
    <w:rsid w:val="00BE7130"/>
    <w:rsid w:val="00BE7212"/>
    <w:rsid w:val="00BE7512"/>
    <w:rsid w:val="00BE7B0E"/>
    <w:rsid w:val="00BF0173"/>
    <w:rsid w:val="00BF04EF"/>
    <w:rsid w:val="00BF05AF"/>
    <w:rsid w:val="00BF05FF"/>
    <w:rsid w:val="00BF1283"/>
    <w:rsid w:val="00BF142D"/>
    <w:rsid w:val="00BF1DFE"/>
    <w:rsid w:val="00BF2443"/>
    <w:rsid w:val="00BF2563"/>
    <w:rsid w:val="00BF2727"/>
    <w:rsid w:val="00BF27C9"/>
    <w:rsid w:val="00BF2E00"/>
    <w:rsid w:val="00BF3012"/>
    <w:rsid w:val="00BF33D1"/>
    <w:rsid w:val="00BF36BB"/>
    <w:rsid w:val="00BF3734"/>
    <w:rsid w:val="00BF3A9F"/>
    <w:rsid w:val="00BF3CDD"/>
    <w:rsid w:val="00BF43BC"/>
    <w:rsid w:val="00BF4561"/>
    <w:rsid w:val="00BF45DF"/>
    <w:rsid w:val="00BF4C4F"/>
    <w:rsid w:val="00BF4C66"/>
    <w:rsid w:val="00BF5C71"/>
    <w:rsid w:val="00BF6073"/>
    <w:rsid w:val="00BF67F0"/>
    <w:rsid w:val="00BF6D2C"/>
    <w:rsid w:val="00BF6D96"/>
    <w:rsid w:val="00BF781D"/>
    <w:rsid w:val="00BF7DB6"/>
    <w:rsid w:val="00C00A53"/>
    <w:rsid w:val="00C01244"/>
    <w:rsid w:val="00C01883"/>
    <w:rsid w:val="00C01A66"/>
    <w:rsid w:val="00C01B2D"/>
    <w:rsid w:val="00C01F5D"/>
    <w:rsid w:val="00C02214"/>
    <w:rsid w:val="00C02CEB"/>
    <w:rsid w:val="00C02DAC"/>
    <w:rsid w:val="00C02DD3"/>
    <w:rsid w:val="00C032E0"/>
    <w:rsid w:val="00C03EEA"/>
    <w:rsid w:val="00C04005"/>
    <w:rsid w:val="00C04044"/>
    <w:rsid w:val="00C04D41"/>
    <w:rsid w:val="00C059D7"/>
    <w:rsid w:val="00C05BF2"/>
    <w:rsid w:val="00C05E38"/>
    <w:rsid w:val="00C065B5"/>
    <w:rsid w:val="00C0676A"/>
    <w:rsid w:val="00C06CAB"/>
    <w:rsid w:val="00C06F00"/>
    <w:rsid w:val="00C0734B"/>
    <w:rsid w:val="00C07530"/>
    <w:rsid w:val="00C078FD"/>
    <w:rsid w:val="00C1007F"/>
    <w:rsid w:val="00C105E3"/>
    <w:rsid w:val="00C1073F"/>
    <w:rsid w:val="00C10DAF"/>
    <w:rsid w:val="00C110B8"/>
    <w:rsid w:val="00C115C7"/>
    <w:rsid w:val="00C11B59"/>
    <w:rsid w:val="00C11B61"/>
    <w:rsid w:val="00C11CB8"/>
    <w:rsid w:val="00C12488"/>
    <w:rsid w:val="00C12AC2"/>
    <w:rsid w:val="00C12B3E"/>
    <w:rsid w:val="00C12C7E"/>
    <w:rsid w:val="00C13333"/>
    <w:rsid w:val="00C13687"/>
    <w:rsid w:val="00C138A6"/>
    <w:rsid w:val="00C13926"/>
    <w:rsid w:val="00C139D8"/>
    <w:rsid w:val="00C13C24"/>
    <w:rsid w:val="00C13DB9"/>
    <w:rsid w:val="00C13EB3"/>
    <w:rsid w:val="00C141F2"/>
    <w:rsid w:val="00C1446C"/>
    <w:rsid w:val="00C14AA0"/>
    <w:rsid w:val="00C15F0C"/>
    <w:rsid w:val="00C161AE"/>
    <w:rsid w:val="00C16306"/>
    <w:rsid w:val="00C16AE4"/>
    <w:rsid w:val="00C16D98"/>
    <w:rsid w:val="00C16DA9"/>
    <w:rsid w:val="00C16F7C"/>
    <w:rsid w:val="00C16FC4"/>
    <w:rsid w:val="00C172D3"/>
    <w:rsid w:val="00C1742A"/>
    <w:rsid w:val="00C1750D"/>
    <w:rsid w:val="00C17923"/>
    <w:rsid w:val="00C17BA0"/>
    <w:rsid w:val="00C17CC4"/>
    <w:rsid w:val="00C17DDA"/>
    <w:rsid w:val="00C20508"/>
    <w:rsid w:val="00C20622"/>
    <w:rsid w:val="00C20908"/>
    <w:rsid w:val="00C20981"/>
    <w:rsid w:val="00C20EF1"/>
    <w:rsid w:val="00C20F15"/>
    <w:rsid w:val="00C21306"/>
    <w:rsid w:val="00C21AE9"/>
    <w:rsid w:val="00C21E7E"/>
    <w:rsid w:val="00C2212C"/>
    <w:rsid w:val="00C228C5"/>
    <w:rsid w:val="00C22B58"/>
    <w:rsid w:val="00C22CC8"/>
    <w:rsid w:val="00C230DA"/>
    <w:rsid w:val="00C23635"/>
    <w:rsid w:val="00C236FE"/>
    <w:rsid w:val="00C23CED"/>
    <w:rsid w:val="00C23FED"/>
    <w:rsid w:val="00C24408"/>
    <w:rsid w:val="00C245B5"/>
    <w:rsid w:val="00C253C8"/>
    <w:rsid w:val="00C2540B"/>
    <w:rsid w:val="00C2578C"/>
    <w:rsid w:val="00C257DF"/>
    <w:rsid w:val="00C25F58"/>
    <w:rsid w:val="00C260A4"/>
    <w:rsid w:val="00C2655D"/>
    <w:rsid w:val="00C266E4"/>
    <w:rsid w:val="00C2793F"/>
    <w:rsid w:val="00C30031"/>
    <w:rsid w:val="00C30316"/>
    <w:rsid w:val="00C30633"/>
    <w:rsid w:val="00C30841"/>
    <w:rsid w:val="00C31394"/>
    <w:rsid w:val="00C31454"/>
    <w:rsid w:val="00C3155C"/>
    <w:rsid w:val="00C31934"/>
    <w:rsid w:val="00C319E4"/>
    <w:rsid w:val="00C31CE6"/>
    <w:rsid w:val="00C32042"/>
    <w:rsid w:val="00C32BE9"/>
    <w:rsid w:val="00C337DB"/>
    <w:rsid w:val="00C33842"/>
    <w:rsid w:val="00C33F46"/>
    <w:rsid w:val="00C33F6D"/>
    <w:rsid w:val="00C33F8C"/>
    <w:rsid w:val="00C3414A"/>
    <w:rsid w:val="00C342AC"/>
    <w:rsid w:val="00C346DC"/>
    <w:rsid w:val="00C3484D"/>
    <w:rsid w:val="00C34CD3"/>
    <w:rsid w:val="00C3572A"/>
    <w:rsid w:val="00C3585B"/>
    <w:rsid w:val="00C35862"/>
    <w:rsid w:val="00C35978"/>
    <w:rsid w:val="00C35B25"/>
    <w:rsid w:val="00C3629C"/>
    <w:rsid w:val="00C362AE"/>
    <w:rsid w:val="00C3642D"/>
    <w:rsid w:val="00C365BC"/>
    <w:rsid w:val="00C36958"/>
    <w:rsid w:val="00C36CA9"/>
    <w:rsid w:val="00C37174"/>
    <w:rsid w:val="00C3746E"/>
    <w:rsid w:val="00C37B84"/>
    <w:rsid w:val="00C40120"/>
    <w:rsid w:val="00C40C2F"/>
    <w:rsid w:val="00C411F2"/>
    <w:rsid w:val="00C414F0"/>
    <w:rsid w:val="00C41B9E"/>
    <w:rsid w:val="00C41D80"/>
    <w:rsid w:val="00C422CB"/>
    <w:rsid w:val="00C422EC"/>
    <w:rsid w:val="00C424F2"/>
    <w:rsid w:val="00C431B0"/>
    <w:rsid w:val="00C43448"/>
    <w:rsid w:val="00C4344F"/>
    <w:rsid w:val="00C4376A"/>
    <w:rsid w:val="00C437CD"/>
    <w:rsid w:val="00C43833"/>
    <w:rsid w:val="00C43C6A"/>
    <w:rsid w:val="00C43F23"/>
    <w:rsid w:val="00C44534"/>
    <w:rsid w:val="00C44689"/>
    <w:rsid w:val="00C44990"/>
    <w:rsid w:val="00C44D3E"/>
    <w:rsid w:val="00C4508B"/>
    <w:rsid w:val="00C459E7"/>
    <w:rsid w:val="00C467BD"/>
    <w:rsid w:val="00C46B0A"/>
    <w:rsid w:val="00C46C95"/>
    <w:rsid w:val="00C47294"/>
    <w:rsid w:val="00C47842"/>
    <w:rsid w:val="00C479EE"/>
    <w:rsid w:val="00C47B89"/>
    <w:rsid w:val="00C5033A"/>
    <w:rsid w:val="00C5033F"/>
    <w:rsid w:val="00C5097B"/>
    <w:rsid w:val="00C50B2A"/>
    <w:rsid w:val="00C512F0"/>
    <w:rsid w:val="00C51953"/>
    <w:rsid w:val="00C521A5"/>
    <w:rsid w:val="00C526F3"/>
    <w:rsid w:val="00C52989"/>
    <w:rsid w:val="00C529F8"/>
    <w:rsid w:val="00C5320C"/>
    <w:rsid w:val="00C534A8"/>
    <w:rsid w:val="00C53B17"/>
    <w:rsid w:val="00C53B9C"/>
    <w:rsid w:val="00C54146"/>
    <w:rsid w:val="00C54268"/>
    <w:rsid w:val="00C542DB"/>
    <w:rsid w:val="00C54EE3"/>
    <w:rsid w:val="00C555E3"/>
    <w:rsid w:val="00C556D1"/>
    <w:rsid w:val="00C55B38"/>
    <w:rsid w:val="00C55C20"/>
    <w:rsid w:val="00C55CB3"/>
    <w:rsid w:val="00C5696B"/>
    <w:rsid w:val="00C56AFB"/>
    <w:rsid w:val="00C56CB2"/>
    <w:rsid w:val="00C56CFB"/>
    <w:rsid w:val="00C5701B"/>
    <w:rsid w:val="00C570F8"/>
    <w:rsid w:val="00C5718A"/>
    <w:rsid w:val="00C57885"/>
    <w:rsid w:val="00C57D9D"/>
    <w:rsid w:val="00C60434"/>
    <w:rsid w:val="00C606A9"/>
    <w:rsid w:val="00C60808"/>
    <w:rsid w:val="00C60ABF"/>
    <w:rsid w:val="00C60DEA"/>
    <w:rsid w:val="00C628B6"/>
    <w:rsid w:val="00C62D4E"/>
    <w:rsid w:val="00C638CA"/>
    <w:rsid w:val="00C638E7"/>
    <w:rsid w:val="00C63A5A"/>
    <w:rsid w:val="00C63AB3"/>
    <w:rsid w:val="00C63D24"/>
    <w:rsid w:val="00C64484"/>
    <w:rsid w:val="00C644E5"/>
    <w:rsid w:val="00C64ABB"/>
    <w:rsid w:val="00C65529"/>
    <w:rsid w:val="00C658F7"/>
    <w:rsid w:val="00C65A59"/>
    <w:rsid w:val="00C65FA9"/>
    <w:rsid w:val="00C67974"/>
    <w:rsid w:val="00C67C70"/>
    <w:rsid w:val="00C7088A"/>
    <w:rsid w:val="00C70C27"/>
    <w:rsid w:val="00C70C39"/>
    <w:rsid w:val="00C71410"/>
    <w:rsid w:val="00C71DF0"/>
    <w:rsid w:val="00C71EC7"/>
    <w:rsid w:val="00C71EF8"/>
    <w:rsid w:val="00C7217A"/>
    <w:rsid w:val="00C72BA5"/>
    <w:rsid w:val="00C72E69"/>
    <w:rsid w:val="00C72FFF"/>
    <w:rsid w:val="00C73349"/>
    <w:rsid w:val="00C7396D"/>
    <w:rsid w:val="00C74279"/>
    <w:rsid w:val="00C74351"/>
    <w:rsid w:val="00C743BA"/>
    <w:rsid w:val="00C743D7"/>
    <w:rsid w:val="00C7483B"/>
    <w:rsid w:val="00C74B8C"/>
    <w:rsid w:val="00C74DCC"/>
    <w:rsid w:val="00C74EC1"/>
    <w:rsid w:val="00C75691"/>
    <w:rsid w:val="00C75862"/>
    <w:rsid w:val="00C75ADD"/>
    <w:rsid w:val="00C75FFF"/>
    <w:rsid w:val="00C76698"/>
    <w:rsid w:val="00C76A3C"/>
    <w:rsid w:val="00C777CC"/>
    <w:rsid w:val="00C77ABA"/>
    <w:rsid w:val="00C80035"/>
    <w:rsid w:val="00C80A17"/>
    <w:rsid w:val="00C80A3B"/>
    <w:rsid w:val="00C81A40"/>
    <w:rsid w:val="00C81D36"/>
    <w:rsid w:val="00C8221C"/>
    <w:rsid w:val="00C82539"/>
    <w:rsid w:val="00C8294F"/>
    <w:rsid w:val="00C82A58"/>
    <w:rsid w:val="00C82B47"/>
    <w:rsid w:val="00C82CF3"/>
    <w:rsid w:val="00C82DE3"/>
    <w:rsid w:val="00C831A1"/>
    <w:rsid w:val="00C8351C"/>
    <w:rsid w:val="00C8401D"/>
    <w:rsid w:val="00C84698"/>
    <w:rsid w:val="00C84801"/>
    <w:rsid w:val="00C84FA5"/>
    <w:rsid w:val="00C851BB"/>
    <w:rsid w:val="00C8531B"/>
    <w:rsid w:val="00C854F7"/>
    <w:rsid w:val="00C85C02"/>
    <w:rsid w:val="00C86225"/>
    <w:rsid w:val="00C862EB"/>
    <w:rsid w:val="00C86B8A"/>
    <w:rsid w:val="00C86C31"/>
    <w:rsid w:val="00C8702B"/>
    <w:rsid w:val="00C8742B"/>
    <w:rsid w:val="00C87E3E"/>
    <w:rsid w:val="00C87F80"/>
    <w:rsid w:val="00C9048F"/>
    <w:rsid w:val="00C90551"/>
    <w:rsid w:val="00C909F0"/>
    <w:rsid w:val="00C90CEB"/>
    <w:rsid w:val="00C9177D"/>
    <w:rsid w:val="00C91B5D"/>
    <w:rsid w:val="00C91ED7"/>
    <w:rsid w:val="00C920B6"/>
    <w:rsid w:val="00C922AA"/>
    <w:rsid w:val="00C9297C"/>
    <w:rsid w:val="00C92B73"/>
    <w:rsid w:val="00C93644"/>
    <w:rsid w:val="00C93987"/>
    <w:rsid w:val="00C93988"/>
    <w:rsid w:val="00C93AB6"/>
    <w:rsid w:val="00C93D38"/>
    <w:rsid w:val="00C94023"/>
    <w:rsid w:val="00C94637"/>
    <w:rsid w:val="00C947C0"/>
    <w:rsid w:val="00C9568A"/>
    <w:rsid w:val="00C95EFA"/>
    <w:rsid w:val="00C961C0"/>
    <w:rsid w:val="00C963B2"/>
    <w:rsid w:val="00C965AA"/>
    <w:rsid w:val="00C96ED7"/>
    <w:rsid w:val="00C973DD"/>
    <w:rsid w:val="00C9752C"/>
    <w:rsid w:val="00C975C1"/>
    <w:rsid w:val="00C97F63"/>
    <w:rsid w:val="00C97F84"/>
    <w:rsid w:val="00C97FD5"/>
    <w:rsid w:val="00CA1400"/>
    <w:rsid w:val="00CA1839"/>
    <w:rsid w:val="00CA2139"/>
    <w:rsid w:val="00CA28A0"/>
    <w:rsid w:val="00CA2B4C"/>
    <w:rsid w:val="00CA2C2F"/>
    <w:rsid w:val="00CA3077"/>
    <w:rsid w:val="00CA3C72"/>
    <w:rsid w:val="00CA40EC"/>
    <w:rsid w:val="00CA4112"/>
    <w:rsid w:val="00CA430B"/>
    <w:rsid w:val="00CA4396"/>
    <w:rsid w:val="00CA4D14"/>
    <w:rsid w:val="00CA5432"/>
    <w:rsid w:val="00CA553C"/>
    <w:rsid w:val="00CA59C1"/>
    <w:rsid w:val="00CA6BFB"/>
    <w:rsid w:val="00CA6FC9"/>
    <w:rsid w:val="00CA767E"/>
    <w:rsid w:val="00CB0462"/>
    <w:rsid w:val="00CB0C3A"/>
    <w:rsid w:val="00CB0CEF"/>
    <w:rsid w:val="00CB0F9D"/>
    <w:rsid w:val="00CB1415"/>
    <w:rsid w:val="00CB1611"/>
    <w:rsid w:val="00CB198D"/>
    <w:rsid w:val="00CB1D3A"/>
    <w:rsid w:val="00CB1D61"/>
    <w:rsid w:val="00CB1F38"/>
    <w:rsid w:val="00CB23C5"/>
    <w:rsid w:val="00CB26F9"/>
    <w:rsid w:val="00CB32DA"/>
    <w:rsid w:val="00CB3BE7"/>
    <w:rsid w:val="00CB439C"/>
    <w:rsid w:val="00CB4B72"/>
    <w:rsid w:val="00CB4E31"/>
    <w:rsid w:val="00CB525A"/>
    <w:rsid w:val="00CB53C3"/>
    <w:rsid w:val="00CB579F"/>
    <w:rsid w:val="00CB5BB7"/>
    <w:rsid w:val="00CB5F34"/>
    <w:rsid w:val="00CB62CF"/>
    <w:rsid w:val="00CB6C33"/>
    <w:rsid w:val="00CB6CB8"/>
    <w:rsid w:val="00CB6D31"/>
    <w:rsid w:val="00CB6E4D"/>
    <w:rsid w:val="00CB7749"/>
    <w:rsid w:val="00CB799A"/>
    <w:rsid w:val="00CC0570"/>
    <w:rsid w:val="00CC068E"/>
    <w:rsid w:val="00CC082F"/>
    <w:rsid w:val="00CC0D54"/>
    <w:rsid w:val="00CC1071"/>
    <w:rsid w:val="00CC10BA"/>
    <w:rsid w:val="00CC1913"/>
    <w:rsid w:val="00CC26F1"/>
    <w:rsid w:val="00CC2B3E"/>
    <w:rsid w:val="00CC345B"/>
    <w:rsid w:val="00CC3A78"/>
    <w:rsid w:val="00CC4224"/>
    <w:rsid w:val="00CC4E87"/>
    <w:rsid w:val="00CC5354"/>
    <w:rsid w:val="00CC5356"/>
    <w:rsid w:val="00CC54B6"/>
    <w:rsid w:val="00CC588F"/>
    <w:rsid w:val="00CC5C23"/>
    <w:rsid w:val="00CC6880"/>
    <w:rsid w:val="00CC69F3"/>
    <w:rsid w:val="00CC6FB7"/>
    <w:rsid w:val="00CC7250"/>
    <w:rsid w:val="00CC72DD"/>
    <w:rsid w:val="00CC7460"/>
    <w:rsid w:val="00CC75CE"/>
    <w:rsid w:val="00CC77F1"/>
    <w:rsid w:val="00CC7953"/>
    <w:rsid w:val="00CC7B8C"/>
    <w:rsid w:val="00CC7DA6"/>
    <w:rsid w:val="00CD02B1"/>
    <w:rsid w:val="00CD073A"/>
    <w:rsid w:val="00CD0B0B"/>
    <w:rsid w:val="00CD0B2C"/>
    <w:rsid w:val="00CD0B30"/>
    <w:rsid w:val="00CD0CC9"/>
    <w:rsid w:val="00CD0D47"/>
    <w:rsid w:val="00CD0DCB"/>
    <w:rsid w:val="00CD13F0"/>
    <w:rsid w:val="00CD140D"/>
    <w:rsid w:val="00CD19E5"/>
    <w:rsid w:val="00CD1AA3"/>
    <w:rsid w:val="00CD1ED7"/>
    <w:rsid w:val="00CD21A6"/>
    <w:rsid w:val="00CD249F"/>
    <w:rsid w:val="00CD286F"/>
    <w:rsid w:val="00CD3A63"/>
    <w:rsid w:val="00CD4631"/>
    <w:rsid w:val="00CD4A13"/>
    <w:rsid w:val="00CD4A81"/>
    <w:rsid w:val="00CD4AC2"/>
    <w:rsid w:val="00CD4EA1"/>
    <w:rsid w:val="00CD5FA6"/>
    <w:rsid w:val="00CD650D"/>
    <w:rsid w:val="00CD674F"/>
    <w:rsid w:val="00CD6EEF"/>
    <w:rsid w:val="00CD7016"/>
    <w:rsid w:val="00CD705F"/>
    <w:rsid w:val="00CD7860"/>
    <w:rsid w:val="00CD78B2"/>
    <w:rsid w:val="00CD7A09"/>
    <w:rsid w:val="00CD7C42"/>
    <w:rsid w:val="00CD7CBF"/>
    <w:rsid w:val="00CE0071"/>
    <w:rsid w:val="00CE1057"/>
    <w:rsid w:val="00CE119F"/>
    <w:rsid w:val="00CE15B6"/>
    <w:rsid w:val="00CE160E"/>
    <w:rsid w:val="00CE19C3"/>
    <w:rsid w:val="00CE1A52"/>
    <w:rsid w:val="00CE1BFE"/>
    <w:rsid w:val="00CE280B"/>
    <w:rsid w:val="00CE294D"/>
    <w:rsid w:val="00CE318D"/>
    <w:rsid w:val="00CE31C6"/>
    <w:rsid w:val="00CE3294"/>
    <w:rsid w:val="00CE4102"/>
    <w:rsid w:val="00CE505A"/>
    <w:rsid w:val="00CE532B"/>
    <w:rsid w:val="00CE5426"/>
    <w:rsid w:val="00CE62FF"/>
    <w:rsid w:val="00CE66A3"/>
    <w:rsid w:val="00CE67D5"/>
    <w:rsid w:val="00CE6EB6"/>
    <w:rsid w:val="00CE701D"/>
    <w:rsid w:val="00CE70FE"/>
    <w:rsid w:val="00CE7F85"/>
    <w:rsid w:val="00CF0425"/>
    <w:rsid w:val="00CF0B22"/>
    <w:rsid w:val="00CF13DC"/>
    <w:rsid w:val="00CF162D"/>
    <w:rsid w:val="00CF184C"/>
    <w:rsid w:val="00CF192C"/>
    <w:rsid w:val="00CF23BB"/>
    <w:rsid w:val="00CF2661"/>
    <w:rsid w:val="00CF2D17"/>
    <w:rsid w:val="00CF3238"/>
    <w:rsid w:val="00CF333E"/>
    <w:rsid w:val="00CF3362"/>
    <w:rsid w:val="00CF3685"/>
    <w:rsid w:val="00CF37AA"/>
    <w:rsid w:val="00CF39ED"/>
    <w:rsid w:val="00CF3E7B"/>
    <w:rsid w:val="00CF496D"/>
    <w:rsid w:val="00CF54BA"/>
    <w:rsid w:val="00CF5572"/>
    <w:rsid w:val="00CF65B3"/>
    <w:rsid w:val="00CF6D6E"/>
    <w:rsid w:val="00CF6D75"/>
    <w:rsid w:val="00CF7022"/>
    <w:rsid w:val="00CF74E6"/>
    <w:rsid w:val="00CF76D4"/>
    <w:rsid w:val="00CF7E88"/>
    <w:rsid w:val="00D00274"/>
    <w:rsid w:val="00D003B7"/>
    <w:rsid w:val="00D003FB"/>
    <w:rsid w:val="00D005B5"/>
    <w:rsid w:val="00D00768"/>
    <w:rsid w:val="00D00F1B"/>
    <w:rsid w:val="00D00FB4"/>
    <w:rsid w:val="00D00FE1"/>
    <w:rsid w:val="00D015B1"/>
    <w:rsid w:val="00D01CC2"/>
    <w:rsid w:val="00D02336"/>
    <w:rsid w:val="00D02511"/>
    <w:rsid w:val="00D02D20"/>
    <w:rsid w:val="00D035DB"/>
    <w:rsid w:val="00D0388F"/>
    <w:rsid w:val="00D0449D"/>
    <w:rsid w:val="00D04542"/>
    <w:rsid w:val="00D04A55"/>
    <w:rsid w:val="00D04AB2"/>
    <w:rsid w:val="00D0555E"/>
    <w:rsid w:val="00D056BE"/>
    <w:rsid w:val="00D057B0"/>
    <w:rsid w:val="00D05DC5"/>
    <w:rsid w:val="00D05DFD"/>
    <w:rsid w:val="00D06090"/>
    <w:rsid w:val="00D06246"/>
    <w:rsid w:val="00D06352"/>
    <w:rsid w:val="00D06521"/>
    <w:rsid w:val="00D0679D"/>
    <w:rsid w:val="00D071EF"/>
    <w:rsid w:val="00D076B3"/>
    <w:rsid w:val="00D076B4"/>
    <w:rsid w:val="00D0797A"/>
    <w:rsid w:val="00D07EAA"/>
    <w:rsid w:val="00D102C9"/>
    <w:rsid w:val="00D10521"/>
    <w:rsid w:val="00D10542"/>
    <w:rsid w:val="00D114E1"/>
    <w:rsid w:val="00D114F0"/>
    <w:rsid w:val="00D115DE"/>
    <w:rsid w:val="00D11A32"/>
    <w:rsid w:val="00D11D35"/>
    <w:rsid w:val="00D11EC1"/>
    <w:rsid w:val="00D1298C"/>
    <w:rsid w:val="00D12A3D"/>
    <w:rsid w:val="00D12E4D"/>
    <w:rsid w:val="00D13041"/>
    <w:rsid w:val="00D1362D"/>
    <w:rsid w:val="00D139D7"/>
    <w:rsid w:val="00D146F4"/>
    <w:rsid w:val="00D15281"/>
    <w:rsid w:val="00D15D03"/>
    <w:rsid w:val="00D160FC"/>
    <w:rsid w:val="00D16207"/>
    <w:rsid w:val="00D16753"/>
    <w:rsid w:val="00D17B9B"/>
    <w:rsid w:val="00D17D94"/>
    <w:rsid w:val="00D203FD"/>
    <w:rsid w:val="00D2067E"/>
    <w:rsid w:val="00D212B8"/>
    <w:rsid w:val="00D212CF"/>
    <w:rsid w:val="00D21A28"/>
    <w:rsid w:val="00D21A56"/>
    <w:rsid w:val="00D21DEE"/>
    <w:rsid w:val="00D21EDC"/>
    <w:rsid w:val="00D23452"/>
    <w:rsid w:val="00D235AF"/>
    <w:rsid w:val="00D23BDB"/>
    <w:rsid w:val="00D24058"/>
    <w:rsid w:val="00D241BE"/>
    <w:rsid w:val="00D243E8"/>
    <w:rsid w:val="00D25229"/>
    <w:rsid w:val="00D259A1"/>
    <w:rsid w:val="00D2651E"/>
    <w:rsid w:val="00D2687E"/>
    <w:rsid w:val="00D2698C"/>
    <w:rsid w:val="00D269A8"/>
    <w:rsid w:val="00D2709D"/>
    <w:rsid w:val="00D27B40"/>
    <w:rsid w:val="00D27CB0"/>
    <w:rsid w:val="00D30260"/>
    <w:rsid w:val="00D308BA"/>
    <w:rsid w:val="00D30BF5"/>
    <w:rsid w:val="00D31166"/>
    <w:rsid w:val="00D31171"/>
    <w:rsid w:val="00D3130D"/>
    <w:rsid w:val="00D317FE"/>
    <w:rsid w:val="00D31A9B"/>
    <w:rsid w:val="00D31EAC"/>
    <w:rsid w:val="00D3238A"/>
    <w:rsid w:val="00D3260A"/>
    <w:rsid w:val="00D3276A"/>
    <w:rsid w:val="00D329D6"/>
    <w:rsid w:val="00D33138"/>
    <w:rsid w:val="00D33474"/>
    <w:rsid w:val="00D33610"/>
    <w:rsid w:val="00D336D1"/>
    <w:rsid w:val="00D336E1"/>
    <w:rsid w:val="00D339C3"/>
    <w:rsid w:val="00D33D75"/>
    <w:rsid w:val="00D348C1"/>
    <w:rsid w:val="00D349D3"/>
    <w:rsid w:val="00D34A0A"/>
    <w:rsid w:val="00D34AA4"/>
    <w:rsid w:val="00D34E8D"/>
    <w:rsid w:val="00D35067"/>
    <w:rsid w:val="00D350F2"/>
    <w:rsid w:val="00D35317"/>
    <w:rsid w:val="00D35406"/>
    <w:rsid w:val="00D35625"/>
    <w:rsid w:val="00D35D58"/>
    <w:rsid w:val="00D36017"/>
    <w:rsid w:val="00D3682F"/>
    <w:rsid w:val="00D3683A"/>
    <w:rsid w:val="00D36B04"/>
    <w:rsid w:val="00D36F9B"/>
    <w:rsid w:val="00D37169"/>
    <w:rsid w:val="00D37404"/>
    <w:rsid w:val="00D3748F"/>
    <w:rsid w:val="00D40004"/>
    <w:rsid w:val="00D403CC"/>
    <w:rsid w:val="00D40442"/>
    <w:rsid w:val="00D40E75"/>
    <w:rsid w:val="00D413E8"/>
    <w:rsid w:val="00D4172D"/>
    <w:rsid w:val="00D41BA1"/>
    <w:rsid w:val="00D41C7C"/>
    <w:rsid w:val="00D428A0"/>
    <w:rsid w:val="00D42E43"/>
    <w:rsid w:val="00D440B6"/>
    <w:rsid w:val="00D443FF"/>
    <w:rsid w:val="00D44B47"/>
    <w:rsid w:val="00D44E92"/>
    <w:rsid w:val="00D453E3"/>
    <w:rsid w:val="00D4541B"/>
    <w:rsid w:val="00D455CC"/>
    <w:rsid w:val="00D45AE7"/>
    <w:rsid w:val="00D468F6"/>
    <w:rsid w:val="00D47278"/>
    <w:rsid w:val="00D501FF"/>
    <w:rsid w:val="00D502C7"/>
    <w:rsid w:val="00D505DC"/>
    <w:rsid w:val="00D50C23"/>
    <w:rsid w:val="00D5240E"/>
    <w:rsid w:val="00D524CF"/>
    <w:rsid w:val="00D52660"/>
    <w:rsid w:val="00D528B3"/>
    <w:rsid w:val="00D53272"/>
    <w:rsid w:val="00D53BC8"/>
    <w:rsid w:val="00D5476E"/>
    <w:rsid w:val="00D54B9E"/>
    <w:rsid w:val="00D551A6"/>
    <w:rsid w:val="00D55208"/>
    <w:rsid w:val="00D55686"/>
    <w:rsid w:val="00D5589B"/>
    <w:rsid w:val="00D5594D"/>
    <w:rsid w:val="00D559A6"/>
    <w:rsid w:val="00D55A78"/>
    <w:rsid w:val="00D55B14"/>
    <w:rsid w:val="00D55F00"/>
    <w:rsid w:val="00D55FCE"/>
    <w:rsid w:val="00D56320"/>
    <w:rsid w:val="00D56B7C"/>
    <w:rsid w:val="00D57027"/>
    <w:rsid w:val="00D57567"/>
    <w:rsid w:val="00D57A0A"/>
    <w:rsid w:val="00D600A4"/>
    <w:rsid w:val="00D6016F"/>
    <w:rsid w:val="00D6028E"/>
    <w:rsid w:val="00D6055B"/>
    <w:rsid w:val="00D6067A"/>
    <w:rsid w:val="00D60E5D"/>
    <w:rsid w:val="00D60F5D"/>
    <w:rsid w:val="00D61052"/>
    <w:rsid w:val="00D61322"/>
    <w:rsid w:val="00D6157E"/>
    <w:rsid w:val="00D617C9"/>
    <w:rsid w:val="00D61983"/>
    <w:rsid w:val="00D61B1F"/>
    <w:rsid w:val="00D61C4D"/>
    <w:rsid w:val="00D61D0F"/>
    <w:rsid w:val="00D62194"/>
    <w:rsid w:val="00D62702"/>
    <w:rsid w:val="00D62E3F"/>
    <w:rsid w:val="00D630CF"/>
    <w:rsid w:val="00D63501"/>
    <w:rsid w:val="00D6378F"/>
    <w:rsid w:val="00D63999"/>
    <w:rsid w:val="00D63C5B"/>
    <w:rsid w:val="00D64A5C"/>
    <w:rsid w:val="00D64DAE"/>
    <w:rsid w:val="00D64FC0"/>
    <w:rsid w:val="00D65AC3"/>
    <w:rsid w:val="00D65EC6"/>
    <w:rsid w:val="00D66415"/>
    <w:rsid w:val="00D6648C"/>
    <w:rsid w:val="00D66506"/>
    <w:rsid w:val="00D671D5"/>
    <w:rsid w:val="00D674A7"/>
    <w:rsid w:val="00D674BA"/>
    <w:rsid w:val="00D67C18"/>
    <w:rsid w:val="00D702C7"/>
    <w:rsid w:val="00D70371"/>
    <w:rsid w:val="00D70537"/>
    <w:rsid w:val="00D70550"/>
    <w:rsid w:val="00D70B19"/>
    <w:rsid w:val="00D70D89"/>
    <w:rsid w:val="00D7123D"/>
    <w:rsid w:val="00D716E2"/>
    <w:rsid w:val="00D71763"/>
    <w:rsid w:val="00D71CEB"/>
    <w:rsid w:val="00D71D26"/>
    <w:rsid w:val="00D72694"/>
    <w:rsid w:val="00D72750"/>
    <w:rsid w:val="00D7292E"/>
    <w:rsid w:val="00D729D6"/>
    <w:rsid w:val="00D72DBF"/>
    <w:rsid w:val="00D73609"/>
    <w:rsid w:val="00D73D40"/>
    <w:rsid w:val="00D74AA2"/>
    <w:rsid w:val="00D74D12"/>
    <w:rsid w:val="00D75584"/>
    <w:rsid w:val="00D75654"/>
    <w:rsid w:val="00D75A16"/>
    <w:rsid w:val="00D75A5B"/>
    <w:rsid w:val="00D75B59"/>
    <w:rsid w:val="00D75C3D"/>
    <w:rsid w:val="00D76050"/>
    <w:rsid w:val="00D766BC"/>
    <w:rsid w:val="00D776EF"/>
    <w:rsid w:val="00D77ADE"/>
    <w:rsid w:val="00D80033"/>
    <w:rsid w:val="00D80997"/>
    <w:rsid w:val="00D818A1"/>
    <w:rsid w:val="00D81D29"/>
    <w:rsid w:val="00D82312"/>
    <w:rsid w:val="00D8253B"/>
    <w:rsid w:val="00D826C1"/>
    <w:rsid w:val="00D837F2"/>
    <w:rsid w:val="00D8390D"/>
    <w:rsid w:val="00D84509"/>
    <w:rsid w:val="00D8459B"/>
    <w:rsid w:val="00D84801"/>
    <w:rsid w:val="00D849ED"/>
    <w:rsid w:val="00D85E58"/>
    <w:rsid w:val="00D862EB"/>
    <w:rsid w:val="00D86AF8"/>
    <w:rsid w:val="00D86DAF"/>
    <w:rsid w:val="00D86F8D"/>
    <w:rsid w:val="00D873C1"/>
    <w:rsid w:val="00D874FC"/>
    <w:rsid w:val="00D876D2"/>
    <w:rsid w:val="00D878C9"/>
    <w:rsid w:val="00D909D9"/>
    <w:rsid w:val="00D90DE0"/>
    <w:rsid w:val="00D912C5"/>
    <w:rsid w:val="00D91A3A"/>
    <w:rsid w:val="00D91A9F"/>
    <w:rsid w:val="00D91F27"/>
    <w:rsid w:val="00D91F37"/>
    <w:rsid w:val="00D925DB"/>
    <w:rsid w:val="00D92968"/>
    <w:rsid w:val="00D92AB2"/>
    <w:rsid w:val="00D92C27"/>
    <w:rsid w:val="00D92E10"/>
    <w:rsid w:val="00D93196"/>
    <w:rsid w:val="00D939A7"/>
    <w:rsid w:val="00D93CC8"/>
    <w:rsid w:val="00D93E56"/>
    <w:rsid w:val="00D93E5B"/>
    <w:rsid w:val="00D9491C"/>
    <w:rsid w:val="00D94D2C"/>
    <w:rsid w:val="00D94EF3"/>
    <w:rsid w:val="00D95CEF"/>
    <w:rsid w:val="00D96514"/>
    <w:rsid w:val="00D967E8"/>
    <w:rsid w:val="00DA0187"/>
    <w:rsid w:val="00DA0F9E"/>
    <w:rsid w:val="00DA1204"/>
    <w:rsid w:val="00DA1CF9"/>
    <w:rsid w:val="00DA3E19"/>
    <w:rsid w:val="00DA3E43"/>
    <w:rsid w:val="00DA43DE"/>
    <w:rsid w:val="00DA463D"/>
    <w:rsid w:val="00DA516B"/>
    <w:rsid w:val="00DA562E"/>
    <w:rsid w:val="00DA57A1"/>
    <w:rsid w:val="00DA57B4"/>
    <w:rsid w:val="00DA624A"/>
    <w:rsid w:val="00DA68C5"/>
    <w:rsid w:val="00DA6A0B"/>
    <w:rsid w:val="00DA6A3D"/>
    <w:rsid w:val="00DA6CE7"/>
    <w:rsid w:val="00DA70D9"/>
    <w:rsid w:val="00DA73ED"/>
    <w:rsid w:val="00DA7A96"/>
    <w:rsid w:val="00DB00C1"/>
    <w:rsid w:val="00DB0625"/>
    <w:rsid w:val="00DB07E5"/>
    <w:rsid w:val="00DB0EF6"/>
    <w:rsid w:val="00DB105F"/>
    <w:rsid w:val="00DB1869"/>
    <w:rsid w:val="00DB1A02"/>
    <w:rsid w:val="00DB1A8D"/>
    <w:rsid w:val="00DB1B4E"/>
    <w:rsid w:val="00DB21E3"/>
    <w:rsid w:val="00DB236B"/>
    <w:rsid w:val="00DB27D0"/>
    <w:rsid w:val="00DB2E15"/>
    <w:rsid w:val="00DB31DC"/>
    <w:rsid w:val="00DB33B8"/>
    <w:rsid w:val="00DB3A61"/>
    <w:rsid w:val="00DB3CDC"/>
    <w:rsid w:val="00DB4135"/>
    <w:rsid w:val="00DB45B9"/>
    <w:rsid w:val="00DB476A"/>
    <w:rsid w:val="00DB4ACB"/>
    <w:rsid w:val="00DB4BD6"/>
    <w:rsid w:val="00DB4DC6"/>
    <w:rsid w:val="00DB506F"/>
    <w:rsid w:val="00DB51B5"/>
    <w:rsid w:val="00DB52F8"/>
    <w:rsid w:val="00DB5E60"/>
    <w:rsid w:val="00DB690E"/>
    <w:rsid w:val="00DB6A67"/>
    <w:rsid w:val="00DB6B71"/>
    <w:rsid w:val="00DB6BB1"/>
    <w:rsid w:val="00DB6BD4"/>
    <w:rsid w:val="00DB7422"/>
    <w:rsid w:val="00DB79A3"/>
    <w:rsid w:val="00DB7AA8"/>
    <w:rsid w:val="00DC008C"/>
    <w:rsid w:val="00DC0244"/>
    <w:rsid w:val="00DC03BB"/>
    <w:rsid w:val="00DC0603"/>
    <w:rsid w:val="00DC07CC"/>
    <w:rsid w:val="00DC0840"/>
    <w:rsid w:val="00DC085F"/>
    <w:rsid w:val="00DC0DB3"/>
    <w:rsid w:val="00DC0FEC"/>
    <w:rsid w:val="00DC126B"/>
    <w:rsid w:val="00DC1414"/>
    <w:rsid w:val="00DC1625"/>
    <w:rsid w:val="00DC16BC"/>
    <w:rsid w:val="00DC21CD"/>
    <w:rsid w:val="00DC295A"/>
    <w:rsid w:val="00DC2E39"/>
    <w:rsid w:val="00DC36F2"/>
    <w:rsid w:val="00DC3848"/>
    <w:rsid w:val="00DC3E15"/>
    <w:rsid w:val="00DC470A"/>
    <w:rsid w:val="00DC4A41"/>
    <w:rsid w:val="00DC5040"/>
    <w:rsid w:val="00DC5091"/>
    <w:rsid w:val="00DC50B8"/>
    <w:rsid w:val="00DC589A"/>
    <w:rsid w:val="00DC5B17"/>
    <w:rsid w:val="00DC5C3A"/>
    <w:rsid w:val="00DC629D"/>
    <w:rsid w:val="00DC6AFE"/>
    <w:rsid w:val="00DC6C9C"/>
    <w:rsid w:val="00DC72BB"/>
    <w:rsid w:val="00DC731B"/>
    <w:rsid w:val="00DC7BDE"/>
    <w:rsid w:val="00DC7E7E"/>
    <w:rsid w:val="00DD025F"/>
    <w:rsid w:val="00DD0268"/>
    <w:rsid w:val="00DD0516"/>
    <w:rsid w:val="00DD1016"/>
    <w:rsid w:val="00DD228D"/>
    <w:rsid w:val="00DD2554"/>
    <w:rsid w:val="00DD255F"/>
    <w:rsid w:val="00DD2970"/>
    <w:rsid w:val="00DD2B74"/>
    <w:rsid w:val="00DD2EA5"/>
    <w:rsid w:val="00DD329C"/>
    <w:rsid w:val="00DD34EE"/>
    <w:rsid w:val="00DD367D"/>
    <w:rsid w:val="00DD3DD6"/>
    <w:rsid w:val="00DD3E42"/>
    <w:rsid w:val="00DD4B1E"/>
    <w:rsid w:val="00DD4C80"/>
    <w:rsid w:val="00DD4FE7"/>
    <w:rsid w:val="00DD51DB"/>
    <w:rsid w:val="00DD5703"/>
    <w:rsid w:val="00DD5742"/>
    <w:rsid w:val="00DD5A61"/>
    <w:rsid w:val="00DD5F06"/>
    <w:rsid w:val="00DD6064"/>
    <w:rsid w:val="00DD6C58"/>
    <w:rsid w:val="00DE012B"/>
    <w:rsid w:val="00DE0AC4"/>
    <w:rsid w:val="00DE0E6B"/>
    <w:rsid w:val="00DE0E82"/>
    <w:rsid w:val="00DE18D2"/>
    <w:rsid w:val="00DE2030"/>
    <w:rsid w:val="00DE215A"/>
    <w:rsid w:val="00DE2B00"/>
    <w:rsid w:val="00DE2B4A"/>
    <w:rsid w:val="00DE2DB6"/>
    <w:rsid w:val="00DE328A"/>
    <w:rsid w:val="00DE3A99"/>
    <w:rsid w:val="00DE3B75"/>
    <w:rsid w:val="00DE3D50"/>
    <w:rsid w:val="00DE41E9"/>
    <w:rsid w:val="00DE4445"/>
    <w:rsid w:val="00DE4751"/>
    <w:rsid w:val="00DE489B"/>
    <w:rsid w:val="00DE48B0"/>
    <w:rsid w:val="00DE4BEE"/>
    <w:rsid w:val="00DE4DA0"/>
    <w:rsid w:val="00DE5155"/>
    <w:rsid w:val="00DE5993"/>
    <w:rsid w:val="00DE5A0A"/>
    <w:rsid w:val="00DE5BB1"/>
    <w:rsid w:val="00DE630E"/>
    <w:rsid w:val="00DE686F"/>
    <w:rsid w:val="00DE7EB0"/>
    <w:rsid w:val="00DF02B7"/>
    <w:rsid w:val="00DF03D4"/>
    <w:rsid w:val="00DF0450"/>
    <w:rsid w:val="00DF0969"/>
    <w:rsid w:val="00DF0B1C"/>
    <w:rsid w:val="00DF135C"/>
    <w:rsid w:val="00DF18ED"/>
    <w:rsid w:val="00DF208B"/>
    <w:rsid w:val="00DF2141"/>
    <w:rsid w:val="00DF2236"/>
    <w:rsid w:val="00DF224B"/>
    <w:rsid w:val="00DF26CE"/>
    <w:rsid w:val="00DF2B9A"/>
    <w:rsid w:val="00DF3866"/>
    <w:rsid w:val="00DF38D4"/>
    <w:rsid w:val="00DF3C30"/>
    <w:rsid w:val="00DF4674"/>
    <w:rsid w:val="00DF4965"/>
    <w:rsid w:val="00DF4BF4"/>
    <w:rsid w:val="00DF5080"/>
    <w:rsid w:val="00DF5139"/>
    <w:rsid w:val="00DF5465"/>
    <w:rsid w:val="00DF585A"/>
    <w:rsid w:val="00DF5DF3"/>
    <w:rsid w:val="00DF6355"/>
    <w:rsid w:val="00DF6973"/>
    <w:rsid w:val="00DF7C43"/>
    <w:rsid w:val="00DF7EC7"/>
    <w:rsid w:val="00E000F9"/>
    <w:rsid w:val="00E00541"/>
    <w:rsid w:val="00E011BB"/>
    <w:rsid w:val="00E015EB"/>
    <w:rsid w:val="00E01655"/>
    <w:rsid w:val="00E0189B"/>
    <w:rsid w:val="00E01AE7"/>
    <w:rsid w:val="00E01F5A"/>
    <w:rsid w:val="00E020F9"/>
    <w:rsid w:val="00E021B0"/>
    <w:rsid w:val="00E024CD"/>
    <w:rsid w:val="00E02B2E"/>
    <w:rsid w:val="00E02CD1"/>
    <w:rsid w:val="00E03327"/>
    <w:rsid w:val="00E0332F"/>
    <w:rsid w:val="00E03736"/>
    <w:rsid w:val="00E0405A"/>
    <w:rsid w:val="00E041B9"/>
    <w:rsid w:val="00E04227"/>
    <w:rsid w:val="00E04326"/>
    <w:rsid w:val="00E045BA"/>
    <w:rsid w:val="00E04875"/>
    <w:rsid w:val="00E04A9B"/>
    <w:rsid w:val="00E04B42"/>
    <w:rsid w:val="00E04B4C"/>
    <w:rsid w:val="00E04CD4"/>
    <w:rsid w:val="00E04EC2"/>
    <w:rsid w:val="00E04FBB"/>
    <w:rsid w:val="00E0540A"/>
    <w:rsid w:val="00E05B60"/>
    <w:rsid w:val="00E06159"/>
    <w:rsid w:val="00E06642"/>
    <w:rsid w:val="00E06656"/>
    <w:rsid w:val="00E06A9C"/>
    <w:rsid w:val="00E06ADD"/>
    <w:rsid w:val="00E06F3B"/>
    <w:rsid w:val="00E06F5F"/>
    <w:rsid w:val="00E0717B"/>
    <w:rsid w:val="00E07C49"/>
    <w:rsid w:val="00E07D0B"/>
    <w:rsid w:val="00E10C9F"/>
    <w:rsid w:val="00E11039"/>
    <w:rsid w:val="00E11263"/>
    <w:rsid w:val="00E11480"/>
    <w:rsid w:val="00E11B3A"/>
    <w:rsid w:val="00E121B8"/>
    <w:rsid w:val="00E12278"/>
    <w:rsid w:val="00E123AE"/>
    <w:rsid w:val="00E12F37"/>
    <w:rsid w:val="00E1393D"/>
    <w:rsid w:val="00E142A9"/>
    <w:rsid w:val="00E147DB"/>
    <w:rsid w:val="00E14994"/>
    <w:rsid w:val="00E153EC"/>
    <w:rsid w:val="00E158A1"/>
    <w:rsid w:val="00E15938"/>
    <w:rsid w:val="00E15A02"/>
    <w:rsid w:val="00E15CF4"/>
    <w:rsid w:val="00E1670A"/>
    <w:rsid w:val="00E169EF"/>
    <w:rsid w:val="00E170FE"/>
    <w:rsid w:val="00E172D3"/>
    <w:rsid w:val="00E177FC"/>
    <w:rsid w:val="00E17DA7"/>
    <w:rsid w:val="00E17E0F"/>
    <w:rsid w:val="00E2027D"/>
    <w:rsid w:val="00E20C5B"/>
    <w:rsid w:val="00E20DEB"/>
    <w:rsid w:val="00E21010"/>
    <w:rsid w:val="00E2230B"/>
    <w:rsid w:val="00E2284B"/>
    <w:rsid w:val="00E22CAB"/>
    <w:rsid w:val="00E2367E"/>
    <w:rsid w:val="00E2395C"/>
    <w:rsid w:val="00E23977"/>
    <w:rsid w:val="00E24399"/>
    <w:rsid w:val="00E245E4"/>
    <w:rsid w:val="00E246E5"/>
    <w:rsid w:val="00E24E3D"/>
    <w:rsid w:val="00E24FE1"/>
    <w:rsid w:val="00E2541D"/>
    <w:rsid w:val="00E25561"/>
    <w:rsid w:val="00E259C6"/>
    <w:rsid w:val="00E25D42"/>
    <w:rsid w:val="00E2638A"/>
    <w:rsid w:val="00E26DA7"/>
    <w:rsid w:val="00E2728E"/>
    <w:rsid w:val="00E273BA"/>
    <w:rsid w:val="00E2755C"/>
    <w:rsid w:val="00E27637"/>
    <w:rsid w:val="00E279C0"/>
    <w:rsid w:val="00E27BCD"/>
    <w:rsid w:val="00E3001D"/>
    <w:rsid w:val="00E302A9"/>
    <w:rsid w:val="00E30B3D"/>
    <w:rsid w:val="00E322D7"/>
    <w:rsid w:val="00E327F0"/>
    <w:rsid w:val="00E328C5"/>
    <w:rsid w:val="00E32980"/>
    <w:rsid w:val="00E3360A"/>
    <w:rsid w:val="00E337A7"/>
    <w:rsid w:val="00E339B7"/>
    <w:rsid w:val="00E339D7"/>
    <w:rsid w:val="00E33E61"/>
    <w:rsid w:val="00E344D5"/>
    <w:rsid w:val="00E34855"/>
    <w:rsid w:val="00E34DB5"/>
    <w:rsid w:val="00E34EE7"/>
    <w:rsid w:val="00E361BD"/>
    <w:rsid w:val="00E36608"/>
    <w:rsid w:val="00E36A93"/>
    <w:rsid w:val="00E36B89"/>
    <w:rsid w:val="00E36CC5"/>
    <w:rsid w:val="00E36EE7"/>
    <w:rsid w:val="00E37697"/>
    <w:rsid w:val="00E37D02"/>
    <w:rsid w:val="00E37F19"/>
    <w:rsid w:val="00E37F27"/>
    <w:rsid w:val="00E40729"/>
    <w:rsid w:val="00E41D24"/>
    <w:rsid w:val="00E41DA7"/>
    <w:rsid w:val="00E4241C"/>
    <w:rsid w:val="00E425CF"/>
    <w:rsid w:val="00E42E29"/>
    <w:rsid w:val="00E42F9C"/>
    <w:rsid w:val="00E43085"/>
    <w:rsid w:val="00E431BA"/>
    <w:rsid w:val="00E431CB"/>
    <w:rsid w:val="00E431D2"/>
    <w:rsid w:val="00E43CD6"/>
    <w:rsid w:val="00E43DD1"/>
    <w:rsid w:val="00E4425C"/>
    <w:rsid w:val="00E44909"/>
    <w:rsid w:val="00E452BD"/>
    <w:rsid w:val="00E45319"/>
    <w:rsid w:val="00E454E9"/>
    <w:rsid w:val="00E45526"/>
    <w:rsid w:val="00E45806"/>
    <w:rsid w:val="00E45EE6"/>
    <w:rsid w:val="00E4628F"/>
    <w:rsid w:val="00E46AB2"/>
    <w:rsid w:val="00E46D5D"/>
    <w:rsid w:val="00E46FF0"/>
    <w:rsid w:val="00E471D6"/>
    <w:rsid w:val="00E475FE"/>
    <w:rsid w:val="00E506E0"/>
    <w:rsid w:val="00E50AFB"/>
    <w:rsid w:val="00E50D32"/>
    <w:rsid w:val="00E50DA7"/>
    <w:rsid w:val="00E51673"/>
    <w:rsid w:val="00E51777"/>
    <w:rsid w:val="00E529C0"/>
    <w:rsid w:val="00E52EC8"/>
    <w:rsid w:val="00E52ECF"/>
    <w:rsid w:val="00E530C5"/>
    <w:rsid w:val="00E533A6"/>
    <w:rsid w:val="00E53539"/>
    <w:rsid w:val="00E536BB"/>
    <w:rsid w:val="00E5372B"/>
    <w:rsid w:val="00E53793"/>
    <w:rsid w:val="00E5395F"/>
    <w:rsid w:val="00E53B16"/>
    <w:rsid w:val="00E53BF5"/>
    <w:rsid w:val="00E53DE5"/>
    <w:rsid w:val="00E549D6"/>
    <w:rsid w:val="00E54C2C"/>
    <w:rsid w:val="00E54D68"/>
    <w:rsid w:val="00E54DE1"/>
    <w:rsid w:val="00E55266"/>
    <w:rsid w:val="00E552D7"/>
    <w:rsid w:val="00E55B03"/>
    <w:rsid w:val="00E55D18"/>
    <w:rsid w:val="00E55EE2"/>
    <w:rsid w:val="00E57289"/>
    <w:rsid w:val="00E57DFB"/>
    <w:rsid w:val="00E57F85"/>
    <w:rsid w:val="00E60064"/>
    <w:rsid w:val="00E603A2"/>
    <w:rsid w:val="00E60767"/>
    <w:rsid w:val="00E60848"/>
    <w:rsid w:val="00E608DA"/>
    <w:rsid w:val="00E60C42"/>
    <w:rsid w:val="00E60F88"/>
    <w:rsid w:val="00E6157F"/>
    <w:rsid w:val="00E616AD"/>
    <w:rsid w:val="00E61919"/>
    <w:rsid w:val="00E61E72"/>
    <w:rsid w:val="00E620D5"/>
    <w:rsid w:val="00E624C1"/>
    <w:rsid w:val="00E62BE8"/>
    <w:rsid w:val="00E62BE9"/>
    <w:rsid w:val="00E63E07"/>
    <w:rsid w:val="00E64367"/>
    <w:rsid w:val="00E645C7"/>
    <w:rsid w:val="00E646F7"/>
    <w:rsid w:val="00E64747"/>
    <w:rsid w:val="00E64D92"/>
    <w:rsid w:val="00E650DC"/>
    <w:rsid w:val="00E6514D"/>
    <w:rsid w:val="00E6588F"/>
    <w:rsid w:val="00E65DC2"/>
    <w:rsid w:val="00E6610A"/>
    <w:rsid w:val="00E66229"/>
    <w:rsid w:val="00E6631B"/>
    <w:rsid w:val="00E66341"/>
    <w:rsid w:val="00E664C7"/>
    <w:rsid w:val="00E66540"/>
    <w:rsid w:val="00E66AB3"/>
    <w:rsid w:val="00E66B44"/>
    <w:rsid w:val="00E66F2D"/>
    <w:rsid w:val="00E670DD"/>
    <w:rsid w:val="00E67B78"/>
    <w:rsid w:val="00E67C17"/>
    <w:rsid w:val="00E70023"/>
    <w:rsid w:val="00E70491"/>
    <w:rsid w:val="00E71064"/>
    <w:rsid w:val="00E712A0"/>
    <w:rsid w:val="00E719E0"/>
    <w:rsid w:val="00E72233"/>
    <w:rsid w:val="00E722AC"/>
    <w:rsid w:val="00E722B6"/>
    <w:rsid w:val="00E723CC"/>
    <w:rsid w:val="00E72DF8"/>
    <w:rsid w:val="00E73C39"/>
    <w:rsid w:val="00E74217"/>
    <w:rsid w:val="00E743F4"/>
    <w:rsid w:val="00E749AE"/>
    <w:rsid w:val="00E750F0"/>
    <w:rsid w:val="00E7517D"/>
    <w:rsid w:val="00E75212"/>
    <w:rsid w:val="00E75397"/>
    <w:rsid w:val="00E77687"/>
    <w:rsid w:val="00E77A5C"/>
    <w:rsid w:val="00E8000A"/>
    <w:rsid w:val="00E80098"/>
    <w:rsid w:val="00E804E3"/>
    <w:rsid w:val="00E80598"/>
    <w:rsid w:val="00E80C60"/>
    <w:rsid w:val="00E80E79"/>
    <w:rsid w:val="00E8115A"/>
    <w:rsid w:val="00E813BC"/>
    <w:rsid w:val="00E814B4"/>
    <w:rsid w:val="00E81740"/>
    <w:rsid w:val="00E81A96"/>
    <w:rsid w:val="00E81C57"/>
    <w:rsid w:val="00E81EDF"/>
    <w:rsid w:val="00E82F84"/>
    <w:rsid w:val="00E8373E"/>
    <w:rsid w:val="00E84720"/>
    <w:rsid w:val="00E8578E"/>
    <w:rsid w:val="00E8593C"/>
    <w:rsid w:val="00E86328"/>
    <w:rsid w:val="00E86E1C"/>
    <w:rsid w:val="00E8771B"/>
    <w:rsid w:val="00E87A1E"/>
    <w:rsid w:val="00E87D92"/>
    <w:rsid w:val="00E90218"/>
    <w:rsid w:val="00E902A2"/>
    <w:rsid w:val="00E90500"/>
    <w:rsid w:val="00E9063B"/>
    <w:rsid w:val="00E90E45"/>
    <w:rsid w:val="00E911AA"/>
    <w:rsid w:val="00E91552"/>
    <w:rsid w:val="00E91E6D"/>
    <w:rsid w:val="00E91EB3"/>
    <w:rsid w:val="00E9291F"/>
    <w:rsid w:val="00E930C6"/>
    <w:rsid w:val="00E9411D"/>
    <w:rsid w:val="00E94227"/>
    <w:rsid w:val="00E94B59"/>
    <w:rsid w:val="00E950BC"/>
    <w:rsid w:val="00E95801"/>
    <w:rsid w:val="00E95923"/>
    <w:rsid w:val="00E9600D"/>
    <w:rsid w:val="00E96B7E"/>
    <w:rsid w:val="00E97685"/>
    <w:rsid w:val="00E9779F"/>
    <w:rsid w:val="00E97C0C"/>
    <w:rsid w:val="00EA0488"/>
    <w:rsid w:val="00EA0A53"/>
    <w:rsid w:val="00EA0CFC"/>
    <w:rsid w:val="00EA0D53"/>
    <w:rsid w:val="00EA0E79"/>
    <w:rsid w:val="00EA1030"/>
    <w:rsid w:val="00EA1210"/>
    <w:rsid w:val="00EA219B"/>
    <w:rsid w:val="00EA2B66"/>
    <w:rsid w:val="00EA2B9F"/>
    <w:rsid w:val="00EA2C40"/>
    <w:rsid w:val="00EA2CF1"/>
    <w:rsid w:val="00EA3030"/>
    <w:rsid w:val="00EA334D"/>
    <w:rsid w:val="00EA379A"/>
    <w:rsid w:val="00EA390B"/>
    <w:rsid w:val="00EA45FC"/>
    <w:rsid w:val="00EA4A25"/>
    <w:rsid w:val="00EA4AF5"/>
    <w:rsid w:val="00EA4CB5"/>
    <w:rsid w:val="00EA4CD2"/>
    <w:rsid w:val="00EA4FF5"/>
    <w:rsid w:val="00EA5587"/>
    <w:rsid w:val="00EA5597"/>
    <w:rsid w:val="00EA5C0A"/>
    <w:rsid w:val="00EA5D80"/>
    <w:rsid w:val="00EA5E99"/>
    <w:rsid w:val="00EA667E"/>
    <w:rsid w:val="00EA7043"/>
    <w:rsid w:val="00EA7296"/>
    <w:rsid w:val="00EA7763"/>
    <w:rsid w:val="00EA7992"/>
    <w:rsid w:val="00EB0210"/>
    <w:rsid w:val="00EB03E8"/>
    <w:rsid w:val="00EB0415"/>
    <w:rsid w:val="00EB042B"/>
    <w:rsid w:val="00EB072D"/>
    <w:rsid w:val="00EB0765"/>
    <w:rsid w:val="00EB0A2D"/>
    <w:rsid w:val="00EB1046"/>
    <w:rsid w:val="00EB105B"/>
    <w:rsid w:val="00EB1088"/>
    <w:rsid w:val="00EB12F0"/>
    <w:rsid w:val="00EB132E"/>
    <w:rsid w:val="00EB1AD8"/>
    <w:rsid w:val="00EB1F23"/>
    <w:rsid w:val="00EB30BA"/>
    <w:rsid w:val="00EB33B1"/>
    <w:rsid w:val="00EB43E0"/>
    <w:rsid w:val="00EB4693"/>
    <w:rsid w:val="00EB46C5"/>
    <w:rsid w:val="00EB4972"/>
    <w:rsid w:val="00EB49C7"/>
    <w:rsid w:val="00EB4A34"/>
    <w:rsid w:val="00EB4CB7"/>
    <w:rsid w:val="00EB4F8A"/>
    <w:rsid w:val="00EB542F"/>
    <w:rsid w:val="00EB5728"/>
    <w:rsid w:val="00EB6031"/>
    <w:rsid w:val="00EB6044"/>
    <w:rsid w:val="00EB6BD5"/>
    <w:rsid w:val="00EB6C80"/>
    <w:rsid w:val="00EB6CCF"/>
    <w:rsid w:val="00EB6E07"/>
    <w:rsid w:val="00EB6E3A"/>
    <w:rsid w:val="00EB7060"/>
    <w:rsid w:val="00EB7064"/>
    <w:rsid w:val="00EB7A98"/>
    <w:rsid w:val="00EB7B12"/>
    <w:rsid w:val="00EB7F04"/>
    <w:rsid w:val="00EC006C"/>
    <w:rsid w:val="00EC0ABD"/>
    <w:rsid w:val="00EC0E96"/>
    <w:rsid w:val="00EC119B"/>
    <w:rsid w:val="00EC170C"/>
    <w:rsid w:val="00EC2AFD"/>
    <w:rsid w:val="00EC363B"/>
    <w:rsid w:val="00EC39A0"/>
    <w:rsid w:val="00EC3D58"/>
    <w:rsid w:val="00EC3D88"/>
    <w:rsid w:val="00EC4142"/>
    <w:rsid w:val="00EC429E"/>
    <w:rsid w:val="00EC502E"/>
    <w:rsid w:val="00EC5B02"/>
    <w:rsid w:val="00EC5DF6"/>
    <w:rsid w:val="00EC5E63"/>
    <w:rsid w:val="00EC6199"/>
    <w:rsid w:val="00EC6831"/>
    <w:rsid w:val="00EC6977"/>
    <w:rsid w:val="00EC7259"/>
    <w:rsid w:val="00EC736B"/>
    <w:rsid w:val="00EC7495"/>
    <w:rsid w:val="00EC7B5E"/>
    <w:rsid w:val="00EC7C72"/>
    <w:rsid w:val="00EC7ED9"/>
    <w:rsid w:val="00ED007F"/>
    <w:rsid w:val="00ED0A0A"/>
    <w:rsid w:val="00ED11A2"/>
    <w:rsid w:val="00ED160F"/>
    <w:rsid w:val="00ED18FD"/>
    <w:rsid w:val="00ED21A5"/>
    <w:rsid w:val="00ED275A"/>
    <w:rsid w:val="00ED2ABE"/>
    <w:rsid w:val="00ED3AFB"/>
    <w:rsid w:val="00ED3B6C"/>
    <w:rsid w:val="00ED3B98"/>
    <w:rsid w:val="00ED40B5"/>
    <w:rsid w:val="00ED420D"/>
    <w:rsid w:val="00ED44DD"/>
    <w:rsid w:val="00ED4655"/>
    <w:rsid w:val="00ED4680"/>
    <w:rsid w:val="00ED4740"/>
    <w:rsid w:val="00ED4C0C"/>
    <w:rsid w:val="00ED4F18"/>
    <w:rsid w:val="00ED5331"/>
    <w:rsid w:val="00ED6161"/>
    <w:rsid w:val="00ED776C"/>
    <w:rsid w:val="00ED7C1C"/>
    <w:rsid w:val="00EE0575"/>
    <w:rsid w:val="00EE0A35"/>
    <w:rsid w:val="00EE0F65"/>
    <w:rsid w:val="00EE17D5"/>
    <w:rsid w:val="00EE1BDB"/>
    <w:rsid w:val="00EE1E00"/>
    <w:rsid w:val="00EE1FFB"/>
    <w:rsid w:val="00EE26F4"/>
    <w:rsid w:val="00EE2913"/>
    <w:rsid w:val="00EE2B87"/>
    <w:rsid w:val="00EE2CA5"/>
    <w:rsid w:val="00EE2D7E"/>
    <w:rsid w:val="00EE3539"/>
    <w:rsid w:val="00EE3864"/>
    <w:rsid w:val="00EE40E9"/>
    <w:rsid w:val="00EE412E"/>
    <w:rsid w:val="00EE47EA"/>
    <w:rsid w:val="00EE49E1"/>
    <w:rsid w:val="00EE5194"/>
    <w:rsid w:val="00EE58F4"/>
    <w:rsid w:val="00EE5C30"/>
    <w:rsid w:val="00EE6295"/>
    <w:rsid w:val="00EE6387"/>
    <w:rsid w:val="00EE668C"/>
    <w:rsid w:val="00EE66A1"/>
    <w:rsid w:val="00EE67BF"/>
    <w:rsid w:val="00EE6B54"/>
    <w:rsid w:val="00EE7976"/>
    <w:rsid w:val="00EE7ACE"/>
    <w:rsid w:val="00EF0097"/>
    <w:rsid w:val="00EF018C"/>
    <w:rsid w:val="00EF01D3"/>
    <w:rsid w:val="00EF0293"/>
    <w:rsid w:val="00EF0EA1"/>
    <w:rsid w:val="00EF1C9B"/>
    <w:rsid w:val="00EF28E2"/>
    <w:rsid w:val="00EF2A90"/>
    <w:rsid w:val="00EF2C67"/>
    <w:rsid w:val="00EF35C9"/>
    <w:rsid w:val="00EF3FCC"/>
    <w:rsid w:val="00EF41DA"/>
    <w:rsid w:val="00EF5A3F"/>
    <w:rsid w:val="00EF63EF"/>
    <w:rsid w:val="00EF667C"/>
    <w:rsid w:val="00EF668F"/>
    <w:rsid w:val="00EF6B2C"/>
    <w:rsid w:val="00EF6EA0"/>
    <w:rsid w:val="00EF72FB"/>
    <w:rsid w:val="00EF73E0"/>
    <w:rsid w:val="00EF747B"/>
    <w:rsid w:val="00EF7543"/>
    <w:rsid w:val="00EF7714"/>
    <w:rsid w:val="00EF7CD7"/>
    <w:rsid w:val="00F0010A"/>
    <w:rsid w:val="00F00A48"/>
    <w:rsid w:val="00F0103B"/>
    <w:rsid w:val="00F01138"/>
    <w:rsid w:val="00F01C5C"/>
    <w:rsid w:val="00F02502"/>
    <w:rsid w:val="00F02647"/>
    <w:rsid w:val="00F029BA"/>
    <w:rsid w:val="00F032AA"/>
    <w:rsid w:val="00F03AA0"/>
    <w:rsid w:val="00F03ADC"/>
    <w:rsid w:val="00F03CBC"/>
    <w:rsid w:val="00F03E3A"/>
    <w:rsid w:val="00F03ED5"/>
    <w:rsid w:val="00F03FB6"/>
    <w:rsid w:val="00F043C6"/>
    <w:rsid w:val="00F04570"/>
    <w:rsid w:val="00F05780"/>
    <w:rsid w:val="00F05D74"/>
    <w:rsid w:val="00F06119"/>
    <w:rsid w:val="00F063FA"/>
    <w:rsid w:val="00F06933"/>
    <w:rsid w:val="00F06AA4"/>
    <w:rsid w:val="00F07119"/>
    <w:rsid w:val="00F072A3"/>
    <w:rsid w:val="00F102AE"/>
    <w:rsid w:val="00F104C4"/>
    <w:rsid w:val="00F10AE2"/>
    <w:rsid w:val="00F112BB"/>
    <w:rsid w:val="00F11770"/>
    <w:rsid w:val="00F11B79"/>
    <w:rsid w:val="00F11F7C"/>
    <w:rsid w:val="00F1252D"/>
    <w:rsid w:val="00F125C3"/>
    <w:rsid w:val="00F12675"/>
    <w:rsid w:val="00F1293E"/>
    <w:rsid w:val="00F12C62"/>
    <w:rsid w:val="00F12F23"/>
    <w:rsid w:val="00F1319F"/>
    <w:rsid w:val="00F1388B"/>
    <w:rsid w:val="00F13924"/>
    <w:rsid w:val="00F13BB6"/>
    <w:rsid w:val="00F140FD"/>
    <w:rsid w:val="00F1422C"/>
    <w:rsid w:val="00F150FB"/>
    <w:rsid w:val="00F151D8"/>
    <w:rsid w:val="00F1537F"/>
    <w:rsid w:val="00F155BC"/>
    <w:rsid w:val="00F15609"/>
    <w:rsid w:val="00F15897"/>
    <w:rsid w:val="00F15BB0"/>
    <w:rsid w:val="00F161E9"/>
    <w:rsid w:val="00F161F4"/>
    <w:rsid w:val="00F16641"/>
    <w:rsid w:val="00F16745"/>
    <w:rsid w:val="00F1685E"/>
    <w:rsid w:val="00F16F21"/>
    <w:rsid w:val="00F17153"/>
    <w:rsid w:val="00F1746A"/>
    <w:rsid w:val="00F17488"/>
    <w:rsid w:val="00F175D6"/>
    <w:rsid w:val="00F17838"/>
    <w:rsid w:val="00F17951"/>
    <w:rsid w:val="00F17BD8"/>
    <w:rsid w:val="00F17F4B"/>
    <w:rsid w:val="00F2026F"/>
    <w:rsid w:val="00F203A3"/>
    <w:rsid w:val="00F20E72"/>
    <w:rsid w:val="00F2130B"/>
    <w:rsid w:val="00F21378"/>
    <w:rsid w:val="00F219C2"/>
    <w:rsid w:val="00F21B30"/>
    <w:rsid w:val="00F21D4C"/>
    <w:rsid w:val="00F21FBE"/>
    <w:rsid w:val="00F2234A"/>
    <w:rsid w:val="00F22C53"/>
    <w:rsid w:val="00F22C8D"/>
    <w:rsid w:val="00F233CE"/>
    <w:rsid w:val="00F2359F"/>
    <w:rsid w:val="00F2362C"/>
    <w:rsid w:val="00F23CD2"/>
    <w:rsid w:val="00F24072"/>
    <w:rsid w:val="00F242B1"/>
    <w:rsid w:val="00F2433B"/>
    <w:rsid w:val="00F247BA"/>
    <w:rsid w:val="00F2487D"/>
    <w:rsid w:val="00F248C7"/>
    <w:rsid w:val="00F24C2F"/>
    <w:rsid w:val="00F25AD3"/>
    <w:rsid w:val="00F25DF4"/>
    <w:rsid w:val="00F25FD3"/>
    <w:rsid w:val="00F26B48"/>
    <w:rsid w:val="00F26E35"/>
    <w:rsid w:val="00F27E08"/>
    <w:rsid w:val="00F27ED0"/>
    <w:rsid w:val="00F3007A"/>
    <w:rsid w:val="00F3013F"/>
    <w:rsid w:val="00F30551"/>
    <w:rsid w:val="00F30963"/>
    <w:rsid w:val="00F31266"/>
    <w:rsid w:val="00F31269"/>
    <w:rsid w:val="00F3173D"/>
    <w:rsid w:val="00F31B5E"/>
    <w:rsid w:val="00F31BCF"/>
    <w:rsid w:val="00F32360"/>
    <w:rsid w:val="00F32AF6"/>
    <w:rsid w:val="00F3342C"/>
    <w:rsid w:val="00F34CE8"/>
    <w:rsid w:val="00F36875"/>
    <w:rsid w:val="00F36A00"/>
    <w:rsid w:val="00F36A50"/>
    <w:rsid w:val="00F36EEF"/>
    <w:rsid w:val="00F37761"/>
    <w:rsid w:val="00F37E92"/>
    <w:rsid w:val="00F4007D"/>
    <w:rsid w:val="00F4022F"/>
    <w:rsid w:val="00F408B3"/>
    <w:rsid w:val="00F40E76"/>
    <w:rsid w:val="00F4120A"/>
    <w:rsid w:val="00F4123E"/>
    <w:rsid w:val="00F4135D"/>
    <w:rsid w:val="00F413FF"/>
    <w:rsid w:val="00F41867"/>
    <w:rsid w:val="00F41F38"/>
    <w:rsid w:val="00F421E2"/>
    <w:rsid w:val="00F42F7F"/>
    <w:rsid w:val="00F431F9"/>
    <w:rsid w:val="00F43AFB"/>
    <w:rsid w:val="00F43BE7"/>
    <w:rsid w:val="00F43D9C"/>
    <w:rsid w:val="00F43EEC"/>
    <w:rsid w:val="00F440F3"/>
    <w:rsid w:val="00F441FF"/>
    <w:rsid w:val="00F4441A"/>
    <w:rsid w:val="00F4447D"/>
    <w:rsid w:val="00F44636"/>
    <w:rsid w:val="00F44A71"/>
    <w:rsid w:val="00F44F3E"/>
    <w:rsid w:val="00F4509F"/>
    <w:rsid w:val="00F4530F"/>
    <w:rsid w:val="00F45608"/>
    <w:rsid w:val="00F45882"/>
    <w:rsid w:val="00F4595C"/>
    <w:rsid w:val="00F45DD9"/>
    <w:rsid w:val="00F45F07"/>
    <w:rsid w:val="00F4654D"/>
    <w:rsid w:val="00F46871"/>
    <w:rsid w:val="00F4690C"/>
    <w:rsid w:val="00F46A98"/>
    <w:rsid w:val="00F472E3"/>
    <w:rsid w:val="00F47655"/>
    <w:rsid w:val="00F47AAA"/>
    <w:rsid w:val="00F47C36"/>
    <w:rsid w:val="00F50755"/>
    <w:rsid w:val="00F50BEE"/>
    <w:rsid w:val="00F5112F"/>
    <w:rsid w:val="00F5121A"/>
    <w:rsid w:val="00F51C0B"/>
    <w:rsid w:val="00F51FC7"/>
    <w:rsid w:val="00F525E8"/>
    <w:rsid w:val="00F52847"/>
    <w:rsid w:val="00F5286E"/>
    <w:rsid w:val="00F529DA"/>
    <w:rsid w:val="00F52AA7"/>
    <w:rsid w:val="00F53319"/>
    <w:rsid w:val="00F533C4"/>
    <w:rsid w:val="00F535D1"/>
    <w:rsid w:val="00F545CA"/>
    <w:rsid w:val="00F54B89"/>
    <w:rsid w:val="00F5536F"/>
    <w:rsid w:val="00F55AD6"/>
    <w:rsid w:val="00F55C76"/>
    <w:rsid w:val="00F56838"/>
    <w:rsid w:val="00F56C18"/>
    <w:rsid w:val="00F57066"/>
    <w:rsid w:val="00F570BF"/>
    <w:rsid w:val="00F571A9"/>
    <w:rsid w:val="00F571DF"/>
    <w:rsid w:val="00F572C1"/>
    <w:rsid w:val="00F57F1E"/>
    <w:rsid w:val="00F60094"/>
    <w:rsid w:val="00F60215"/>
    <w:rsid w:val="00F60345"/>
    <w:rsid w:val="00F6084B"/>
    <w:rsid w:val="00F60F91"/>
    <w:rsid w:val="00F61ABA"/>
    <w:rsid w:val="00F61FA3"/>
    <w:rsid w:val="00F62154"/>
    <w:rsid w:val="00F6274B"/>
    <w:rsid w:val="00F628FB"/>
    <w:rsid w:val="00F62DD0"/>
    <w:rsid w:val="00F630E6"/>
    <w:rsid w:val="00F63588"/>
    <w:rsid w:val="00F63838"/>
    <w:rsid w:val="00F638E5"/>
    <w:rsid w:val="00F63ADC"/>
    <w:rsid w:val="00F64598"/>
    <w:rsid w:val="00F65211"/>
    <w:rsid w:val="00F65C09"/>
    <w:rsid w:val="00F65D84"/>
    <w:rsid w:val="00F66012"/>
    <w:rsid w:val="00F660DA"/>
    <w:rsid w:val="00F66710"/>
    <w:rsid w:val="00F66AEE"/>
    <w:rsid w:val="00F66D84"/>
    <w:rsid w:val="00F67048"/>
    <w:rsid w:val="00F6718C"/>
    <w:rsid w:val="00F678D1"/>
    <w:rsid w:val="00F67F03"/>
    <w:rsid w:val="00F70208"/>
    <w:rsid w:val="00F70311"/>
    <w:rsid w:val="00F705B5"/>
    <w:rsid w:val="00F70638"/>
    <w:rsid w:val="00F70EC0"/>
    <w:rsid w:val="00F70FEB"/>
    <w:rsid w:val="00F715A9"/>
    <w:rsid w:val="00F71E61"/>
    <w:rsid w:val="00F71E6D"/>
    <w:rsid w:val="00F7201A"/>
    <w:rsid w:val="00F725AC"/>
    <w:rsid w:val="00F72A1D"/>
    <w:rsid w:val="00F72BAF"/>
    <w:rsid w:val="00F72C57"/>
    <w:rsid w:val="00F72F5F"/>
    <w:rsid w:val="00F73079"/>
    <w:rsid w:val="00F73138"/>
    <w:rsid w:val="00F737F0"/>
    <w:rsid w:val="00F7404E"/>
    <w:rsid w:val="00F743DF"/>
    <w:rsid w:val="00F74591"/>
    <w:rsid w:val="00F7576E"/>
    <w:rsid w:val="00F759E5"/>
    <w:rsid w:val="00F75A3B"/>
    <w:rsid w:val="00F75D3B"/>
    <w:rsid w:val="00F76354"/>
    <w:rsid w:val="00F76C71"/>
    <w:rsid w:val="00F7718B"/>
    <w:rsid w:val="00F77B0F"/>
    <w:rsid w:val="00F77B9C"/>
    <w:rsid w:val="00F77C6A"/>
    <w:rsid w:val="00F77D90"/>
    <w:rsid w:val="00F77DE8"/>
    <w:rsid w:val="00F80299"/>
    <w:rsid w:val="00F805A5"/>
    <w:rsid w:val="00F80B38"/>
    <w:rsid w:val="00F80F13"/>
    <w:rsid w:val="00F8140A"/>
    <w:rsid w:val="00F814CF"/>
    <w:rsid w:val="00F81C59"/>
    <w:rsid w:val="00F820E0"/>
    <w:rsid w:val="00F82238"/>
    <w:rsid w:val="00F82283"/>
    <w:rsid w:val="00F82427"/>
    <w:rsid w:val="00F82674"/>
    <w:rsid w:val="00F8274B"/>
    <w:rsid w:val="00F82B77"/>
    <w:rsid w:val="00F82F09"/>
    <w:rsid w:val="00F82FB2"/>
    <w:rsid w:val="00F831B3"/>
    <w:rsid w:val="00F8340D"/>
    <w:rsid w:val="00F8372D"/>
    <w:rsid w:val="00F83730"/>
    <w:rsid w:val="00F8394E"/>
    <w:rsid w:val="00F83A2C"/>
    <w:rsid w:val="00F83B37"/>
    <w:rsid w:val="00F8482F"/>
    <w:rsid w:val="00F84A3C"/>
    <w:rsid w:val="00F84E3E"/>
    <w:rsid w:val="00F84EAC"/>
    <w:rsid w:val="00F8580B"/>
    <w:rsid w:val="00F85DC3"/>
    <w:rsid w:val="00F85F49"/>
    <w:rsid w:val="00F8652F"/>
    <w:rsid w:val="00F86886"/>
    <w:rsid w:val="00F86B83"/>
    <w:rsid w:val="00F86E53"/>
    <w:rsid w:val="00F874B0"/>
    <w:rsid w:val="00F878EE"/>
    <w:rsid w:val="00F87AD4"/>
    <w:rsid w:val="00F87EC4"/>
    <w:rsid w:val="00F90426"/>
    <w:rsid w:val="00F90D34"/>
    <w:rsid w:val="00F90F17"/>
    <w:rsid w:val="00F90F62"/>
    <w:rsid w:val="00F91046"/>
    <w:rsid w:val="00F911CB"/>
    <w:rsid w:val="00F91818"/>
    <w:rsid w:val="00F91F26"/>
    <w:rsid w:val="00F92486"/>
    <w:rsid w:val="00F925D6"/>
    <w:rsid w:val="00F926F0"/>
    <w:rsid w:val="00F92700"/>
    <w:rsid w:val="00F9344F"/>
    <w:rsid w:val="00F93502"/>
    <w:rsid w:val="00F93932"/>
    <w:rsid w:val="00F93A73"/>
    <w:rsid w:val="00F94549"/>
    <w:rsid w:val="00F949AA"/>
    <w:rsid w:val="00F94AFD"/>
    <w:rsid w:val="00F95A83"/>
    <w:rsid w:val="00F95C23"/>
    <w:rsid w:val="00F95C63"/>
    <w:rsid w:val="00F96E5C"/>
    <w:rsid w:val="00F974D6"/>
    <w:rsid w:val="00FA080B"/>
    <w:rsid w:val="00FA0B7E"/>
    <w:rsid w:val="00FA0E3B"/>
    <w:rsid w:val="00FA13DE"/>
    <w:rsid w:val="00FA14B3"/>
    <w:rsid w:val="00FA1B89"/>
    <w:rsid w:val="00FA1F1E"/>
    <w:rsid w:val="00FA2099"/>
    <w:rsid w:val="00FA27F6"/>
    <w:rsid w:val="00FA2F0F"/>
    <w:rsid w:val="00FA3424"/>
    <w:rsid w:val="00FA3EC0"/>
    <w:rsid w:val="00FA4D55"/>
    <w:rsid w:val="00FA4E93"/>
    <w:rsid w:val="00FA51C5"/>
    <w:rsid w:val="00FA53E1"/>
    <w:rsid w:val="00FA5FB0"/>
    <w:rsid w:val="00FA6305"/>
    <w:rsid w:val="00FA6453"/>
    <w:rsid w:val="00FA65D5"/>
    <w:rsid w:val="00FA75B2"/>
    <w:rsid w:val="00FA7DC8"/>
    <w:rsid w:val="00FB0048"/>
    <w:rsid w:val="00FB018A"/>
    <w:rsid w:val="00FB0731"/>
    <w:rsid w:val="00FB0AC3"/>
    <w:rsid w:val="00FB1891"/>
    <w:rsid w:val="00FB1D14"/>
    <w:rsid w:val="00FB2825"/>
    <w:rsid w:val="00FB2B4E"/>
    <w:rsid w:val="00FB2C81"/>
    <w:rsid w:val="00FB2D49"/>
    <w:rsid w:val="00FB2F07"/>
    <w:rsid w:val="00FB3400"/>
    <w:rsid w:val="00FB39E6"/>
    <w:rsid w:val="00FB3D84"/>
    <w:rsid w:val="00FB400A"/>
    <w:rsid w:val="00FB4699"/>
    <w:rsid w:val="00FB49AB"/>
    <w:rsid w:val="00FB4C45"/>
    <w:rsid w:val="00FB53A9"/>
    <w:rsid w:val="00FB5530"/>
    <w:rsid w:val="00FB585F"/>
    <w:rsid w:val="00FB59E4"/>
    <w:rsid w:val="00FB59F1"/>
    <w:rsid w:val="00FB5EB6"/>
    <w:rsid w:val="00FB62BB"/>
    <w:rsid w:val="00FB6770"/>
    <w:rsid w:val="00FB681E"/>
    <w:rsid w:val="00FB6CCD"/>
    <w:rsid w:val="00FB7816"/>
    <w:rsid w:val="00FB791B"/>
    <w:rsid w:val="00FC0275"/>
    <w:rsid w:val="00FC042D"/>
    <w:rsid w:val="00FC0B71"/>
    <w:rsid w:val="00FC1BBD"/>
    <w:rsid w:val="00FC1D5C"/>
    <w:rsid w:val="00FC204D"/>
    <w:rsid w:val="00FC22F2"/>
    <w:rsid w:val="00FC24D6"/>
    <w:rsid w:val="00FC2715"/>
    <w:rsid w:val="00FC3A95"/>
    <w:rsid w:val="00FC3C9F"/>
    <w:rsid w:val="00FC4185"/>
    <w:rsid w:val="00FC4793"/>
    <w:rsid w:val="00FC47CD"/>
    <w:rsid w:val="00FC4EB3"/>
    <w:rsid w:val="00FC5913"/>
    <w:rsid w:val="00FC5C12"/>
    <w:rsid w:val="00FC5C94"/>
    <w:rsid w:val="00FC5FDD"/>
    <w:rsid w:val="00FC6243"/>
    <w:rsid w:val="00FC690A"/>
    <w:rsid w:val="00FC6FBB"/>
    <w:rsid w:val="00FC7014"/>
    <w:rsid w:val="00FC7230"/>
    <w:rsid w:val="00FC7FE2"/>
    <w:rsid w:val="00FD1E39"/>
    <w:rsid w:val="00FD1F50"/>
    <w:rsid w:val="00FD2708"/>
    <w:rsid w:val="00FD2D20"/>
    <w:rsid w:val="00FD30E8"/>
    <w:rsid w:val="00FD3915"/>
    <w:rsid w:val="00FD39AE"/>
    <w:rsid w:val="00FD3A40"/>
    <w:rsid w:val="00FD4BF7"/>
    <w:rsid w:val="00FD4CEE"/>
    <w:rsid w:val="00FD4EBE"/>
    <w:rsid w:val="00FD5282"/>
    <w:rsid w:val="00FD53E2"/>
    <w:rsid w:val="00FD6004"/>
    <w:rsid w:val="00FD6171"/>
    <w:rsid w:val="00FD6325"/>
    <w:rsid w:val="00FD6C61"/>
    <w:rsid w:val="00FD7143"/>
    <w:rsid w:val="00FD72C1"/>
    <w:rsid w:val="00FD7646"/>
    <w:rsid w:val="00FD76FD"/>
    <w:rsid w:val="00FD781E"/>
    <w:rsid w:val="00FE0138"/>
    <w:rsid w:val="00FE03A3"/>
    <w:rsid w:val="00FE0694"/>
    <w:rsid w:val="00FE0D2F"/>
    <w:rsid w:val="00FE1028"/>
    <w:rsid w:val="00FE176B"/>
    <w:rsid w:val="00FE1AB7"/>
    <w:rsid w:val="00FE1B35"/>
    <w:rsid w:val="00FE1C65"/>
    <w:rsid w:val="00FE1EBE"/>
    <w:rsid w:val="00FE2D29"/>
    <w:rsid w:val="00FE2E86"/>
    <w:rsid w:val="00FE3639"/>
    <w:rsid w:val="00FE3730"/>
    <w:rsid w:val="00FE3834"/>
    <w:rsid w:val="00FE426C"/>
    <w:rsid w:val="00FE451B"/>
    <w:rsid w:val="00FE524C"/>
    <w:rsid w:val="00FE57DF"/>
    <w:rsid w:val="00FE58C4"/>
    <w:rsid w:val="00FE5A0E"/>
    <w:rsid w:val="00FE5F1C"/>
    <w:rsid w:val="00FE647F"/>
    <w:rsid w:val="00FE6A4D"/>
    <w:rsid w:val="00FE7840"/>
    <w:rsid w:val="00FE7D28"/>
    <w:rsid w:val="00FE7E41"/>
    <w:rsid w:val="00FF062A"/>
    <w:rsid w:val="00FF0754"/>
    <w:rsid w:val="00FF1384"/>
    <w:rsid w:val="00FF1616"/>
    <w:rsid w:val="00FF1769"/>
    <w:rsid w:val="00FF1A59"/>
    <w:rsid w:val="00FF1A74"/>
    <w:rsid w:val="00FF1F98"/>
    <w:rsid w:val="00FF2368"/>
    <w:rsid w:val="00FF24B1"/>
    <w:rsid w:val="00FF253F"/>
    <w:rsid w:val="00FF27C3"/>
    <w:rsid w:val="00FF2D83"/>
    <w:rsid w:val="00FF2E26"/>
    <w:rsid w:val="00FF37A0"/>
    <w:rsid w:val="00FF3B19"/>
    <w:rsid w:val="00FF3BF2"/>
    <w:rsid w:val="00FF3CDA"/>
    <w:rsid w:val="00FF413A"/>
    <w:rsid w:val="00FF45E1"/>
    <w:rsid w:val="00FF498B"/>
    <w:rsid w:val="00FF5339"/>
    <w:rsid w:val="00FF5642"/>
    <w:rsid w:val="00FF5E75"/>
    <w:rsid w:val="00FF6C0B"/>
    <w:rsid w:val="00FF6C2B"/>
    <w:rsid w:val="00FF6E5C"/>
    <w:rsid w:val="00FF6EF1"/>
    <w:rsid w:val="00FF72CD"/>
    <w:rsid w:val="00FF73BD"/>
    <w:rsid w:val="00FF7C37"/>
    <w:rsid w:val="00FF7C64"/>
    <w:rsid w:val="00FF7DE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993BC2"/>
  <w14:defaultImageDpi w14:val="330"/>
  <w15:docId w15:val="{43384839-5F22-4A3D-854F-6AFCFA3F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fr-FR" w:eastAsia="fr-FR"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31"/>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uiPriority w:val="9"/>
    <w:qFormat/>
    <w:rsid w:val="008964FD"/>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Titre2">
    <w:name w:val="heading 2"/>
    <w:basedOn w:val="Normal"/>
    <w:next w:val="Normal"/>
    <w:link w:val="Titre2Car"/>
    <w:uiPriority w:val="9"/>
    <w:semiHidden/>
    <w:unhideWhenUsed/>
    <w:qFormat/>
    <w:rsid w:val="008964FD"/>
    <w:pPr>
      <w:pBdr>
        <w:bottom w:val="single" w:sz="4" w:space="1" w:color="622423" w:themeColor="accent2" w:themeShade="7F"/>
      </w:pBdr>
      <w:spacing w:before="400"/>
      <w:jc w:val="center"/>
      <w:outlineLvl w:val="1"/>
    </w:pPr>
    <w:rPr>
      <w:caps/>
      <w:color w:val="632423" w:themeColor="accent2" w:themeShade="80"/>
      <w:spacing w:val="15"/>
    </w:rPr>
  </w:style>
  <w:style w:type="paragraph" w:styleId="Titre3">
    <w:name w:val="heading 3"/>
    <w:basedOn w:val="Normal"/>
    <w:next w:val="Normal"/>
    <w:link w:val="Titre3Car"/>
    <w:uiPriority w:val="9"/>
    <w:semiHidden/>
    <w:unhideWhenUsed/>
    <w:qFormat/>
    <w:rsid w:val="008964FD"/>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rPr>
  </w:style>
  <w:style w:type="paragraph" w:styleId="Titre4">
    <w:name w:val="heading 4"/>
    <w:basedOn w:val="Normal"/>
    <w:next w:val="Normal"/>
    <w:link w:val="Titre4Car"/>
    <w:uiPriority w:val="9"/>
    <w:semiHidden/>
    <w:unhideWhenUsed/>
    <w:qFormat/>
    <w:rsid w:val="008964FD"/>
    <w:pPr>
      <w:pBdr>
        <w:bottom w:val="dotted" w:sz="4" w:space="1" w:color="943634" w:themeColor="accent2" w:themeShade="BF"/>
      </w:pBdr>
      <w:spacing w:after="120"/>
      <w:jc w:val="center"/>
      <w:outlineLvl w:val="3"/>
    </w:pPr>
    <w:rPr>
      <w:caps/>
      <w:color w:val="622423" w:themeColor="accent2" w:themeShade="7F"/>
      <w:spacing w:val="10"/>
    </w:rPr>
  </w:style>
  <w:style w:type="paragraph" w:styleId="Titre5">
    <w:name w:val="heading 5"/>
    <w:basedOn w:val="Normal"/>
    <w:next w:val="Normal"/>
    <w:link w:val="Titre5Car"/>
    <w:uiPriority w:val="9"/>
    <w:semiHidden/>
    <w:unhideWhenUsed/>
    <w:qFormat/>
    <w:rsid w:val="008964FD"/>
    <w:pPr>
      <w:spacing w:before="320" w:after="120"/>
      <w:jc w:val="center"/>
      <w:outlineLvl w:val="4"/>
    </w:pPr>
    <w:rPr>
      <w:caps/>
      <w:color w:val="622423" w:themeColor="accent2" w:themeShade="7F"/>
      <w:spacing w:val="10"/>
    </w:rPr>
  </w:style>
  <w:style w:type="paragraph" w:styleId="Titre6">
    <w:name w:val="heading 6"/>
    <w:basedOn w:val="Normal"/>
    <w:next w:val="Normal"/>
    <w:link w:val="Titre6Car"/>
    <w:uiPriority w:val="9"/>
    <w:semiHidden/>
    <w:unhideWhenUsed/>
    <w:qFormat/>
    <w:rsid w:val="008964FD"/>
    <w:pPr>
      <w:spacing w:after="120"/>
      <w:jc w:val="center"/>
      <w:outlineLvl w:val="5"/>
    </w:pPr>
    <w:rPr>
      <w:caps/>
      <w:color w:val="943634" w:themeColor="accent2" w:themeShade="BF"/>
      <w:spacing w:val="10"/>
    </w:rPr>
  </w:style>
  <w:style w:type="paragraph" w:styleId="Titre7">
    <w:name w:val="heading 7"/>
    <w:basedOn w:val="Normal"/>
    <w:next w:val="Normal"/>
    <w:link w:val="Titre7Car"/>
    <w:uiPriority w:val="9"/>
    <w:semiHidden/>
    <w:unhideWhenUsed/>
    <w:qFormat/>
    <w:rsid w:val="008964FD"/>
    <w:pPr>
      <w:spacing w:after="120"/>
      <w:jc w:val="center"/>
      <w:outlineLvl w:val="6"/>
    </w:pPr>
    <w:rPr>
      <w:i/>
      <w:iCs/>
      <w:caps/>
      <w:color w:val="943634" w:themeColor="accent2" w:themeShade="BF"/>
      <w:spacing w:val="10"/>
    </w:rPr>
  </w:style>
  <w:style w:type="paragraph" w:styleId="Titre8">
    <w:name w:val="heading 8"/>
    <w:basedOn w:val="Normal"/>
    <w:next w:val="Normal"/>
    <w:link w:val="Titre8Car"/>
    <w:uiPriority w:val="9"/>
    <w:semiHidden/>
    <w:unhideWhenUsed/>
    <w:qFormat/>
    <w:rsid w:val="008964FD"/>
    <w:pPr>
      <w:spacing w:after="120"/>
      <w:jc w:val="center"/>
      <w:outlineLvl w:val="7"/>
    </w:pPr>
    <w:rPr>
      <w:caps/>
      <w:spacing w:val="10"/>
      <w:sz w:val="20"/>
      <w:szCs w:val="20"/>
    </w:rPr>
  </w:style>
  <w:style w:type="paragraph" w:styleId="Titre9">
    <w:name w:val="heading 9"/>
    <w:basedOn w:val="Normal"/>
    <w:next w:val="Normal"/>
    <w:link w:val="Titre9Car"/>
    <w:uiPriority w:val="9"/>
    <w:semiHidden/>
    <w:unhideWhenUsed/>
    <w:qFormat/>
    <w:rsid w:val="008964FD"/>
    <w:pPr>
      <w:spacing w:after="120"/>
      <w:jc w:val="center"/>
      <w:outlineLvl w:val="8"/>
    </w:pPr>
    <w:rPr>
      <w:i/>
      <w:iCs/>
      <w:caps/>
      <w:spacing w:val="1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194F3C"/>
    <w:pPr>
      <w:autoSpaceDE w:val="0"/>
      <w:autoSpaceDN w:val="0"/>
      <w:adjustRightInd w:val="0"/>
    </w:pPr>
    <w:rPr>
      <w:rFonts w:ascii="Trade Gothic LT Std" w:eastAsiaTheme="minorHAnsi" w:hAnsi="Trade Gothic LT Std" w:cs="Trade Gothic LT Std"/>
      <w:color w:val="000000"/>
      <w:lang w:eastAsia="en-US"/>
    </w:rPr>
  </w:style>
  <w:style w:type="character" w:styleId="Lienhypertexte">
    <w:name w:val="Hyperlink"/>
    <w:basedOn w:val="Policepardfaut"/>
    <w:uiPriority w:val="99"/>
    <w:unhideWhenUsed/>
    <w:rsid w:val="000E5E5F"/>
    <w:rPr>
      <w:color w:val="0000FF" w:themeColor="hyperlink"/>
      <w:u w:val="single"/>
    </w:rPr>
  </w:style>
  <w:style w:type="paragraph" w:styleId="Paragraphedeliste">
    <w:name w:val="List Paragraph"/>
    <w:basedOn w:val="Normal"/>
    <w:uiPriority w:val="34"/>
    <w:qFormat/>
    <w:rsid w:val="008964FD"/>
    <w:pPr>
      <w:ind w:left="720"/>
      <w:contextualSpacing/>
    </w:pPr>
  </w:style>
  <w:style w:type="character" w:styleId="Numrodeligne">
    <w:name w:val="line number"/>
    <w:basedOn w:val="Policepardfaut"/>
    <w:uiPriority w:val="99"/>
    <w:semiHidden/>
    <w:unhideWhenUsed/>
    <w:rsid w:val="00956923"/>
  </w:style>
  <w:style w:type="character" w:customStyle="1" w:styleId="Titre1Car">
    <w:name w:val="Titre 1 Car"/>
    <w:basedOn w:val="Policepardfaut"/>
    <w:link w:val="Titre1"/>
    <w:uiPriority w:val="9"/>
    <w:rsid w:val="008964FD"/>
    <w:rPr>
      <w:caps/>
      <w:color w:val="632423" w:themeColor="accent2" w:themeShade="80"/>
      <w:spacing w:val="20"/>
      <w:sz w:val="28"/>
      <w:szCs w:val="28"/>
    </w:rPr>
  </w:style>
  <w:style w:type="character" w:customStyle="1" w:styleId="Titre2Car">
    <w:name w:val="Titre 2 Car"/>
    <w:basedOn w:val="Policepardfaut"/>
    <w:link w:val="Titre2"/>
    <w:uiPriority w:val="9"/>
    <w:semiHidden/>
    <w:rsid w:val="008964FD"/>
    <w:rPr>
      <w:caps/>
      <w:color w:val="632423" w:themeColor="accent2" w:themeShade="80"/>
      <w:spacing w:val="15"/>
      <w:sz w:val="24"/>
      <w:szCs w:val="24"/>
    </w:rPr>
  </w:style>
  <w:style w:type="character" w:customStyle="1" w:styleId="Titre3Car">
    <w:name w:val="Titre 3 Car"/>
    <w:basedOn w:val="Policepardfaut"/>
    <w:link w:val="Titre3"/>
    <w:uiPriority w:val="9"/>
    <w:semiHidden/>
    <w:rsid w:val="008964FD"/>
    <w:rPr>
      <w:caps/>
      <w:color w:val="622423" w:themeColor="accent2" w:themeShade="7F"/>
      <w:sz w:val="24"/>
      <w:szCs w:val="24"/>
    </w:rPr>
  </w:style>
  <w:style w:type="character" w:customStyle="1" w:styleId="Titre4Car">
    <w:name w:val="Titre 4 Car"/>
    <w:basedOn w:val="Policepardfaut"/>
    <w:link w:val="Titre4"/>
    <w:uiPriority w:val="9"/>
    <w:semiHidden/>
    <w:rsid w:val="008964FD"/>
    <w:rPr>
      <w:caps/>
      <w:color w:val="622423" w:themeColor="accent2" w:themeShade="7F"/>
      <w:spacing w:val="10"/>
    </w:rPr>
  </w:style>
  <w:style w:type="character" w:customStyle="1" w:styleId="Titre5Car">
    <w:name w:val="Titre 5 Car"/>
    <w:basedOn w:val="Policepardfaut"/>
    <w:link w:val="Titre5"/>
    <w:uiPriority w:val="9"/>
    <w:semiHidden/>
    <w:rsid w:val="008964FD"/>
    <w:rPr>
      <w:caps/>
      <w:color w:val="622423" w:themeColor="accent2" w:themeShade="7F"/>
      <w:spacing w:val="10"/>
    </w:rPr>
  </w:style>
  <w:style w:type="character" w:customStyle="1" w:styleId="Titre6Car">
    <w:name w:val="Titre 6 Car"/>
    <w:basedOn w:val="Policepardfaut"/>
    <w:link w:val="Titre6"/>
    <w:uiPriority w:val="9"/>
    <w:semiHidden/>
    <w:rsid w:val="008964FD"/>
    <w:rPr>
      <w:caps/>
      <w:color w:val="943634" w:themeColor="accent2" w:themeShade="BF"/>
      <w:spacing w:val="10"/>
    </w:rPr>
  </w:style>
  <w:style w:type="character" w:customStyle="1" w:styleId="Titre7Car">
    <w:name w:val="Titre 7 Car"/>
    <w:basedOn w:val="Policepardfaut"/>
    <w:link w:val="Titre7"/>
    <w:uiPriority w:val="9"/>
    <w:semiHidden/>
    <w:rsid w:val="008964FD"/>
    <w:rPr>
      <w:i/>
      <w:iCs/>
      <w:caps/>
      <w:color w:val="943634" w:themeColor="accent2" w:themeShade="BF"/>
      <w:spacing w:val="10"/>
    </w:rPr>
  </w:style>
  <w:style w:type="character" w:customStyle="1" w:styleId="Titre8Car">
    <w:name w:val="Titre 8 Car"/>
    <w:basedOn w:val="Policepardfaut"/>
    <w:link w:val="Titre8"/>
    <w:uiPriority w:val="9"/>
    <w:semiHidden/>
    <w:rsid w:val="008964FD"/>
    <w:rPr>
      <w:caps/>
      <w:spacing w:val="10"/>
      <w:sz w:val="20"/>
      <w:szCs w:val="20"/>
    </w:rPr>
  </w:style>
  <w:style w:type="character" w:customStyle="1" w:styleId="Titre9Car">
    <w:name w:val="Titre 9 Car"/>
    <w:basedOn w:val="Policepardfaut"/>
    <w:link w:val="Titre9"/>
    <w:uiPriority w:val="9"/>
    <w:semiHidden/>
    <w:rsid w:val="008964FD"/>
    <w:rPr>
      <w:i/>
      <w:iCs/>
      <w:caps/>
      <w:spacing w:val="10"/>
      <w:sz w:val="20"/>
      <w:szCs w:val="20"/>
    </w:rPr>
  </w:style>
  <w:style w:type="paragraph" w:styleId="Lgende">
    <w:name w:val="caption"/>
    <w:basedOn w:val="Normal"/>
    <w:next w:val="Normal"/>
    <w:uiPriority w:val="35"/>
    <w:semiHidden/>
    <w:unhideWhenUsed/>
    <w:qFormat/>
    <w:rsid w:val="008964FD"/>
    <w:rPr>
      <w:caps/>
      <w:spacing w:val="10"/>
      <w:sz w:val="18"/>
      <w:szCs w:val="18"/>
    </w:rPr>
  </w:style>
  <w:style w:type="paragraph" w:styleId="Titre">
    <w:name w:val="Title"/>
    <w:basedOn w:val="Normal"/>
    <w:next w:val="Normal"/>
    <w:link w:val="TitreCar"/>
    <w:uiPriority w:val="10"/>
    <w:qFormat/>
    <w:rsid w:val="008964FD"/>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character" w:customStyle="1" w:styleId="TitreCar">
    <w:name w:val="Titre Car"/>
    <w:basedOn w:val="Policepardfaut"/>
    <w:link w:val="Titre"/>
    <w:uiPriority w:val="10"/>
    <w:rsid w:val="008964FD"/>
    <w:rPr>
      <w:caps/>
      <w:color w:val="632423" w:themeColor="accent2" w:themeShade="80"/>
      <w:spacing w:val="50"/>
      <w:sz w:val="44"/>
      <w:szCs w:val="44"/>
    </w:rPr>
  </w:style>
  <w:style w:type="paragraph" w:styleId="Sous-titre">
    <w:name w:val="Subtitle"/>
    <w:basedOn w:val="Normal"/>
    <w:next w:val="Normal"/>
    <w:link w:val="Sous-titreCar"/>
    <w:uiPriority w:val="11"/>
    <w:qFormat/>
    <w:rsid w:val="008964FD"/>
    <w:pPr>
      <w:spacing w:after="560"/>
      <w:jc w:val="center"/>
    </w:pPr>
    <w:rPr>
      <w:caps/>
      <w:spacing w:val="20"/>
      <w:sz w:val="18"/>
      <w:szCs w:val="18"/>
    </w:rPr>
  </w:style>
  <w:style w:type="character" w:customStyle="1" w:styleId="Sous-titreCar">
    <w:name w:val="Sous-titre Car"/>
    <w:basedOn w:val="Policepardfaut"/>
    <w:link w:val="Sous-titre"/>
    <w:uiPriority w:val="11"/>
    <w:rsid w:val="008964FD"/>
    <w:rPr>
      <w:caps/>
      <w:spacing w:val="20"/>
      <w:sz w:val="18"/>
      <w:szCs w:val="18"/>
    </w:rPr>
  </w:style>
  <w:style w:type="character" w:styleId="lev">
    <w:name w:val="Strong"/>
    <w:uiPriority w:val="22"/>
    <w:qFormat/>
    <w:rsid w:val="008964FD"/>
    <w:rPr>
      <w:b/>
      <w:bCs/>
      <w:color w:val="943634" w:themeColor="accent2" w:themeShade="BF"/>
      <w:spacing w:val="5"/>
    </w:rPr>
  </w:style>
  <w:style w:type="character" w:styleId="Accentuation">
    <w:name w:val="Emphasis"/>
    <w:uiPriority w:val="20"/>
    <w:qFormat/>
    <w:rsid w:val="008964FD"/>
    <w:rPr>
      <w:caps/>
      <w:spacing w:val="5"/>
      <w:sz w:val="20"/>
      <w:szCs w:val="20"/>
    </w:rPr>
  </w:style>
  <w:style w:type="paragraph" w:styleId="Sansinterligne">
    <w:name w:val="No Spacing"/>
    <w:basedOn w:val="Normal"/>
    <w:link w:val="SansinterligneCar"/>
    <w:uiPriority w:val="1"/>
    <w:qFormat/>
    <w:rsid w:val="008964FD"/>
  </w:style>
  <w:style w:type="character" w:customStyle="1" w:styleId="SansinterligneCar">
    <w:name w:val="Sans interligne Car"/>
    <w:basedOn w:val="Policepardfaut"/>
    <w:link w:val="Sansinterligne"/>
    <w:uiPriority w:val="1"/>
    <w:rsid w:val="008964FD"/>
  </w:style>
  <w:style w:type="paragraph" w:styleId="Citation">
    <w:name w:val="Quote"/>
    <w:basedOn w:val="Normal"/>
    <w:next w:val="Normal"/>
    <w:link w:val="CitationCar"/>
    <w:uiPriority w:val="29"/>
    <w:qFormat/>
    <w:rsid w:val="008964FD"/>
    <w:rPr>
      <w:i/>
      <w:iCs/>
    </w:rPr>
  </w:style>
  <w:style w:type="character" w:customStyle="1" w:styleId="CitationCar">
    <w:name w:val="Citation Car"/>
    <w:basedOn w:val="Policepardfaut"/>
    <w:link w:val="Citation"/>
    <w:uiPriority w:val="29"/>
    <w:rsid w:val="008964FD"/>
    <w:rPr>
      <w:i/>
      <w:iCs/>
    </w:rPr>
  </w:style>
  <w:style w:type="paragraph" w:styleId="Citationintense">
    <w:name w:val="Intense Quote"/>
    <w:basedOn w:val="Normal"/>
    <w:next w:val="Normal"/>
    <w:link w:val="CitationintenseCar"/>
    <w:uiPriority w:val="30"/>
    <w:qFormat/>
    <w:rsid w:val="008964FD"/>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itationintenseCar">
    <w:name w:val="Citation intense Car"/>
    <w:basedOn w:val="Policepardfaut"/>
    <w:link w:val="Citationintense"/>
    <w:uiPriority w:val="30"/>
    <w:rsid w:val="008964FD"/>
    <w:rPr>
      <w:caps/>
      <w:color w:val="622423" w:themeColor="accent2" w:themeShade="7F"/>
      <w:spacing w:val="5"/>
      <w:sz w:val="20"/>
      <w:szCs w:val="20"/>
    </w:rPr>
  </w:style>
  <w:style w:type="character" w:styleId="Accentuationlgre">
    <w:name w:val="Subtle Emphasis"/>
    <w:uiPriority w:val="19"/>
    <w:qFormat/>
    <w:rsid w:val="008964FD"/>
    <w:rPr>
      <w:i/>
      <w:iCs/>
    </w:rPr>
  </w:style>
  <w:style w:type="character" w:styleId="Accentuationintense">
    <w:name w:val="Intense Emphasis"/>
    <w:uiPriority w:val="21"/>
    <w:qFormat/>
    <w:rsid w:val="008964FD"/>
    <w:rPr>
      <w:i/>
      <w:iCs/>
      <w:caps/>
      <w:spacing w:val="10"/>
      <w:sz w:val="20"/>
      <w:szCs w:val="20"/>
    </w:rPr>
  </w:style>
  <w:style w:type="character" w:styleId="Rfrencelgre">
    <w:name w:val="Subtle Reference"/>
    <w:basedOn w:val="Policepardfaut"/>
    <w:uiPriority w:val="31"/>
    <w:qFormat/>
    <w:rsid w:val="008964FD"/>
    <w:rPr>
      <w:rFonts w:asciiTheme="minorHAnsi" w:eastAsiaTheme="minorEastAsia" w:hAnsiTheme="minorHAnsi" w:cstheme="minorBidi"/>
      <w:i/>
      <w:iCs/>
      <w:color w:val="622423" w:themeColor="accent2" w:themeShade="7F"/>
    </w:rPr>
  </w:style>
  <w:style w:type="character" w:styleId="Rfrenceintense">
    <w:name w:val="Intense Reference"/>
    <w:uiPriority w:val="32"/>
    <w:qFormat/>
    <w:rsid w:val="008964FD"/>
    <w:rPr>
      <w:rFonts w:asciiTheme="minorHAnsi" w:eastAsiaTheme="minorEastAsia" w:hAnsiTheme="minorHAnsi" w:cstheme="minorBidi"/>
      <w:b/>
      <w:bCs/>
      <w:i/>
      <w:iCs/>
      <w:color w:val="622423" w:themeColor="accent2" w:themeShade="7F"/>
    </w:rPr>
  </w:style>
  <w:style w:type="character" w:styleId="Titredulivre">
    <w:name w:val="Book Title"/>
    <w:uiPriority w:val="33"/>
    <w:qFormat/>
    <w:rsid w:val="008964FD"/>
    <w:rPr>
      <w:caps/>
      <w:color w:val="622423" w:themeColor="accent2" w:themeShade="7F"/>
      <w:spacing w:val="5"/>
      <w:u w:color="622423" w:themeColor="accent2" w:themeShade="7F"/>
    </w:rPr>
  </w:style>
  <w:style w:type="paragraph" w:styleId="En-ttedetabledesmatires">
    <w:name w:val="TOC Heading"/>
    <w:basedOn w:val="Titre1"/>
    <w:next w:val="Normal"/>
    <w:uiPriority w:val="39"/>
    <w:semiHidden/>
    <w:unhideWhenUsed/>
    <w:qFormat/>
    <w:rsid w:val="008964FD"/>
    <w:pPr>
      <w:outlineLvl w:val="9"/>
    </w:pPr>
    <w:rPr>
      <w:lang w:bidi="en-US"/>
    </w:rPr>
  </w:style>
  <w:style w:type="character" w:styleId="Marquedecommentaire">
    <w:name w:val="annotation reference"/>
    <w:basedOn w:val="Policepardfaut"/>
    <w:uiPriority w:val="99"/>
    <w:semiHidden/>
    <w:unhideWhenUsed/>
    <w:rsid w:val="004D2D61"/>
    <w:rPr>
      <w:sz w:val="16"/>
      <w:szCs w:val="16"/>
    </w:rPr>
  </w:style>
  <w:style w:type="paragraph" w:styleId="Commentaire">
    <w:name w:val="annotation text"/>
    <w:basedOn w:val="Normal"/>
    <w:link w:val="CommentaireCar"/>
    <w:uiPriority w:val="99"/>
    <w:unhideWhenUsed/>
    <w:rsid w:val="004D2D61"/>
    <w:rPr>
      <w:sz w:val="20"/>
      <w:szCs w:val="20"/>
    </w:rPr>
  </w:style>
  <w:style w:type="character" w:customStyle="1" w:styleId="CommentaireCar">
    <w:name w:val="Commentaire Car"/>
    <w:basedOn w:val="Policepardfaut"/>
    <w:link w:val="Commentaire"/>
    <w:uiPriority w:val="99"/>
    <w:rsid w:val="004D2D61"/>
    <w:rPr>
      <w:sz w:val="20"/>
      <w:szCs w:val="20"/>
    </w:rPr>
  </w:style>
  <w:style w:type="paragraph" w:styleId="Objetducommentaire">
    <w:name w:val="annotation subject"/>
    <w:basedOn w:val="Commentaire"/>
    <w:next w:val="Commentaire"/>
    <w:link w:val="ObjetducommentaireCar"/>
    <w:uiPriority w:val="99"/>
    <w:semiHidden/>
    <w:unhideWhenUsed/>
    <w:rsid w:val="004D2D61"/>
    <w:rPr>
      <w:b/>
      <w:bCs/>
    </w:rPr>
  </w:style>
  <w:style w:type="character" w:customStyle="1" w:styleId="ObjetducommentaireCar">
    <w:name w:val="Objet du commentaire Car"/>
    <w:basedOn w:val="CommentaireCar"/>
    <w:link w:val="Objetducommentaire"/>
    <w:uiPriority w:val="99"/>
    <w:semiHidden/>
    <w:rsid w:val="004D2D61"/>
    <w:rPr>
      <w:b/>
      <w:bCs/>
      <w:sz w:val="20"/>
      <w:szCs w:val="20"/>
    </w:rPr>
  </w:style>
  <w:style w:type="paragraph" w:styleId="Textedebulles">
    <w:name w:val="Balloon Text"/>
    <w:basedOn w:val="Normal"/>
    <w:link w:val="TextedebullesCar"/>
    <w:uiPriority w:val="99"/>
    <w:semiHidden/>
    <w:unhideWhenUsed/>
    <w:rsid w:val="004D2D61"/>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2D61"/>
    <w:rPr>
      <w:rFonts w:ascii="Segoe UI" w:hAnsi="Segoe UI" w:cs="Segoe UI"/>
      <w:sz w:val="18"/>
      <w:szCs w:val="18"/>
    </w:rPr>
  </w:style>
  <w:style w:type="character" w:styleId="Textedelespacerserv">
    <w:name w:val="Placeholder Text"/>
    <w:basedOn w:val="Policepardfaut"/>
    <w:uiPriority w:val="99"/>
    <w:semiHidden/>
    <w:rsid w:val="00DE3D50"/>
    <w:rPr>
      <w:color w:val="808080"/>
    </w:rPr>
  </w:style>
  <w:style w:type="paragraph" w:styleId="NormalWeb">
    <w:name w:val="Normal (Web)"/>
    <w:basedOn w:val="Normal"/>
    <w:uiPriority w:val="99"/>
    <w:unhideWhenUsed/>
    <w:rsid w:val="00782EF2"/>
    <w:pPr>
      <w:spacing w:before="100" w:beforeAutospacing="1" w:after="100" w:afterAutospacing="1"/>
    </w:pPr>
    <w:rPr>
      <w:rFonts w:ascii="Times" w:hAnsi="Times"/>
      <w:sz w:val="20"/>
      <w:szCs w:val="20"/>
    </w:rPr>
  </w:style>
  <w:style w:type="table" w:customStyle="1" w:styleId="TableauListe1Clair-Accentuation41">
    <w:name w:val="Tableau Liste 1 Clair - Accentuation 41"/>
    <w:basedOn w:val="TableauNormal"/>
    <w:uiPriority w:val="46"/>
    <w:rsid w:val="00AE16E2"/>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7Couleur1">
    <w:name w:val="Tableau Liste 7 Couleur1"/>
    <w:basedOn w:val="TableauNormal"/>
    <w:uiPriority w:val="52"/>
    <w:rsid w:val="00AE16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utableau">
    <w:name w:val="Table Grid"/>
    <w:basedOn w:val="TableauNormal"/>
    <w:uiPriority w:val="39"/>
    <w:rsid w:val="00794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21">
    <w:name w:val="Tableau simple 21"/>
    <w:basedOn w:val="TableauNormal"/>
    <w:uiPriority w:val="99"/>
    <w:rsid w:val="0079457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auNormal"/>
    <w:uiPriority w:val="99"/>
    <w:rsid w:val="0079457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auNormal"/>
    <w:uiPriority w:val="99"/>
    <w:rsid w:val="0079457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etableauclaire1">
    <w:name w:val="Grille de tableau claire1"/>
    <w:basedOn w:val="TableauNormal"/>
    <w:uiPriority w:val="99"/>
    <w:rsid w:val="007945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vision">
    <w:name w:val="Revision"/>
    <w:hidden/>
    <w:uiPriority w:val="99"/>
    <w:semiHidden/>
    <w:rsid w:val="00E6610A"/>
    <w:pPr>
      <w:spacing w:after="0" w:line="240" w:lineRule="auto"/>
    </w:pPr>
  </w:style>
  <w:style w:type="character" w:customStyle="1" w:styleId="apple-converted-space">
    <w:name w:val="apple-converted-space"/>
    <w:basedOn w:val="Policepardfaut"/>
    <w:rsid w:val="001052D3"/>
  </w:style>
  <w:style w:type="character" w:customStyle="1" w:styleId="ref-journal">
    <w:name w:val="ref-journal"/>
    <w:basedOn w:val="Policepardfaut"/>
    <w:rsid w:val="0006098F"/>
  </w:style>
  <w:style w:type="character" w:customStyle="1" w:styleId="grame">
    <w:name w:val="grame"/>
    <w:basedOn w:val="Policepardfaut"/>
    <w:rsid w:val="00AE7024"/>
  </w:style>
  <w:style w:type="character" w:customStyle="1" w:styleId="ref-vol">
    <w:name w:val="ref-vol"/>
    <w:basedOn w:val="Policepardfaut"/>
    <w:rsid w:val="006D24DA"/>
  </w:style>
  <w:style w:type="character" w:customStyle="1" w:styleId="ref-title">
    <w:name w:val="ref-title"/>
    <w:basedOn w:val="Policepardfaut"/>
    <w:rsid w:val="006D24DA"/>
  </w:style>
  <w:style w:type="character" w:customStyle="1" w:styleId="highlight">
    <w:name w:val="highlight"/>
    <w:basedOn w:val="Policepardfaut"/>
    <w:rsid w:val="00BF6D96"/>
  </w:style>
  <w:style w:type="character" w:customStyle="1" w:styleId="title-text">
    <w:name w:val="title-text"/>
    <w:basedOn w:val="Policepardfaut"/>
    <w:rsid w:val="003C66B5"/>
  </w:style>
  <w:style w:type="paragraph" w:styleId="En-tte">
    <w:name w:val="header"/>
    <w:basedOn w:val="Normal"/>
    <w:link w:val="En-tteCar"/>
    <w:uiPriority w:val="99"/>
    <w:unhideWhenUsed/>
    <w:rsid w:val="003469EA"/>
    <w:pPr>
      <w:tabs>
        <w:tab w:val="center" w:pos="4536"/>
        <w:tab w:val="right" w:pos="9072"/>
      </w:tabs>
    </w:pPr>
  </w:style>
  <w:style w:type="character" w:customStyle="1" w:styleId="En-tteCar">
    <w:name w:val="En-tête Car"/>
    <w:basedOn w:val="Policepardfaut"/>
    <w:link w:val="En-tte"/>
    <w:uiPriority w:val="99"/>
    <w:rsid w:val="003469EA"/>
  </w:style>
  <w:style w:type="paragraph" w:styleId="Pieddepage">
    <w:name w:val="footer"/>
    <w:basedOn w:val="Normal"/>
    <w:link w:val="PieddepageCar"/>
    <w:uiPriority w:val="99"/>
    <w:unhideWhenUsed/>
    <w:rsid w:val="003469EA"/>
    <w:pPr>
      <w:tabs>
        <w:tab w:val="center" w:pos="4536"/>
        <w:tab w:val="right" w:pos="9072"/>
      </w:tabs>
    </w:pPr>
  </w:style>
  <w:style w:type="character" w:customStyle="1" w:styleId="PieddepageCar">
    <w:name w:val="Pied de page Car"/>
    <w:basedOn w:val="Policepardfaut"/>
    <w:link w:val="Pieddepage"/>
    <w:uiPriority w:val="99"/>
    <w:rsid w:val="003469EA"/>
  </w:style>
  <w:style w:type="character" w:customStyle="1" w:styleId="A2">
    <w:name w:val="A2"/>
    <w:uiPriority w:val="99"/>
    <w:rsid w:val="00D3238A"/>
    <w:rPr>
      <w:color w:val="000000"/>
      <w:sz w:val="20"/>
      <w:szCs w:val="20"/>
    </w:rPr>
  </w:style>
  <w:style w:type="character" w:customStyle="1" w:styleId="acopre">
    <w:name w:val="acopre"/>
    <w:basedOn w:val="Policepardfaut"/>
    <w:rsid w:val="00D00F1B"/>
  </w:style>
  <w:style w:type="paragraph" w:styleId="z-Hautduformulaire">
    <w:name w:val="HTML Top of Form"/>
    <w:basedOn w:val="Normal"/>
    <w:next w:val="Normal"/>
    <w:link w:val="z-HautduformulaireCar"/>
    <w:hidden/>
    <w:uiPriority w:val="99"/>
    <w:semiHidden/>
    <w:unhideWhenUsed/>
    <w:rsid w:val="005254DF"/>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uiPriority w:val="99"/>
    <w:semiHidden/>
    <w:rsid w:val="005254DF"/>
    <w:rPr>
      <w:rFonts w:ascii="Arial" w:eastAsia="Times New Roman" w:hAnsi="Arial" w:cs="Arial"/>
      <w:vanish/>
      <w:sz w:val="16"/>
      <w:szCs w:val="16"/>
    </w:rPr>
  </w:style>
  <w:style w:type="paragraph" w:styleId="z-Basduformulaire">
    <w:name w:val="HTML Bottom of Form"/>
    <w:basedOn w:val="Normal"/>
    <w:next w:val="Normal"/>
    <w:link w:val="z-BasduformulaireCar"/>
    <w:hidden/>
    <w:uiPriority w:val="99"/>
    <w:semiHidden/>
    <w:unhideWhenUsed/>
    <w:rsid w:val="005254DF"/>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5254DF"/>
    <w:rPr>
      <w:rFonts w:ascii="Arial" w:eastAsia="Times New Roman" w:hAnsi="Arial" w:cs="Arial"/>
      <w:vanish/>
      <w:sz w:val="16"/>
      <w:szCs w:val="16"/>
    </w:rPr>
  </w:style>
  <w:style w:type="character" w:customStyle="1" w:styleId="docsum-authors">
    <w:name w:val="docsum-authors"/>
    <w:basedOn w:val="Policepardfaut"/>
    <w:rsid w:val="005254DF"/>
  </w:style>
  <w:style w:type="character" w:customStyle="1" w:styleId="docsum-journal-citation">
    <w:name w:val="docsum-journal-citation"/>
    <w:basedOn w:val="Policepardfaut"/>
    <w:rsid w:val="005254DF"/>
  </w:style>
  <w:style w:type="character" w:styleId="Lienhypertextesuivivisit">
    <w:name w:val="FollowedHyperlink"/>
    <w:basedOn w:val="Policepardfaut"/>
    <w:uiPriority w:val="99"/>
    <w:semiHidden/>
    <w:unhideWhenUsed/>
    <w:rsid w:val="00861133"/>
    <w:rPr>
      <w:color w:val="800080" w:themeColor="followedHyperlink"/>
      <w:u w:val="single"/>
    </w:rPr>
  </w:style>
  <w:style w:type="character" w:customStyle="1" w:styleId="identifier">
    <w:name w:val="identifier"/>
    <w:basedOn w:val="Policepardfaut"/>
    <w:rsid w:val="00F0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6304">
      <w:bodyDiv w:val="1"/>
      <w:marLeft w:val="0"/>
      <w:marRight w:val="0"/>
      <w:marTop w:val="0"/>
      <w:marBottom w:val="0"/>
      <w:divBdr>
        <w:top w:val="none" w:sz="0" w:space="0" w:color="auto"/>
        <w:left w:val="none" w:sz="0" w:space="0" w:color="auto"/>
        <w:bottom w:val="none" w:sz="0" w:space="0" w:color="auto"/>
        <w:right w:val="none" w:sz="0" w:space="0" w:color="auto"/>
      </w:divBdr>
    </w:div>
    <w:div w:id="20712762">
      <w:bodyDiv w:val="1"/>
      <w:marLeft w:val="0"/>
      <w:marRight w:val="0"/>
      <w:marTop w:val="0"/>
      <w:marBottom w:val="0"/>
      <w:divBdr>
        <w:top w:val="none" w:sz="0" w:space="0" w:color="auto"/>
        <w:left w:val="none" w:sz="0" w:space="0" w:color="auto"/>
        <w:bottom w:val="none" w:sz="0" w:space="0" w:color="auto"/>
        <w:right w:val="none" w:sz="0" w:space="0" w:color="auto"/>
      </w:divBdr>
      <w:divsChild>
        <w:div w:id="235215050">
          <w:marLeft w:val="0"/>
          <w:marRight w:val="0"/>
          <w:marTop w:val="0"/>
          <w:marBottom w:val="0"/>
          <w:divBdr>
            <w:top w:val="none" w:sz="0" w:space="0" w:color="auto"/>
            <w:left w:val="none" w:sz="0" w:space="0" w:color="auto"/>
            <w:bottom w:val="none" w:sz="0" w:space="0" w:color="auto"/>
            <w:right w:val="none" w:sz="0" w:space="0" w:color="auto"/>
          </w:divBdr>
          <w:divsChild>
            <w:div w:id="1846624955">
              <w:marLeft w:val="0"/>
              <w:marRight w:val="0"/>
              <w:marTop w:val="0"/>
              <w:marBottom w:val="0"/>
              <w:divBdr>
                <w:top w:val="none" w:sz="0" w:space="0" w:color="auto"/>
                <w:left w:val="none" w:sz="0" w:space="0" w:color="auto"/>
                <w:bottom w:val="none" w:sz="0" w:space="0" w:color="auto"/>
                <w:right w:val="none" w:sz="0" w:space="0" w:color="auto"/>
              </w:divBdr>
              <w:divsChild>
                <w:div w:id="6406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81510">
      <w:bodyDiv w:val="1"/>
      <w:marLeft w:val="0"/>
      <w:marRight w:val="0"/>
      <w:marTop w:val="0"/>
      <w:marBottom w:val="0"/>
      <w:divBdr>
        <w:top w:val="none" w:sz="0" w:space="0" w:color="auto"/>
        <w:left w:val="none" w:sz="0" w:space="0" w:color="auto"/>
        <w:bottom w:val="none" w:sz="0" w:space="0" w:color="auto"/>
        <w:right w:val="none" w:sz="0" w:space="0" w:color="auto"/>
      </w:divBdr>
      <w:divsChild>
        <w:div w:id="840894534">
          <w:marLeft w:val="0"/>
          <w:marRight w:val="0"/>
          <w:marTop w:val="0"/>
          <w:marBottom w:val="0"/>
          <w:divBdr>
            <w:top w:val="none" w:sz="0" w:space="0" w:color="auto"/>
            <w:left w:val="none" w:sz="0" w:space="0" w:color="auto"/>
            <w:bottom w:val="none" w:sz="0" w:space="0" w:color="auto"/>
            <w:right w:val="none" w:sz="0" w:space="0" w:color="auto"/>
          </w:divBdr>
          <w:divsChild>
            <w:div w:id="423497560">
              <w:marLeft w:val="0"/>
              <w:marRight w:val="0"/>
              <w:marTop w:val="0"/>
              <w:marBottom w:val="0"/>
              <w:divBdr>
                <w:top w:val="none" w:sz="0" w:space="0" w:color="auto"/>
                <w:left w:val="none" w:sz="0" w:space="0" w:color="auto"/>
                <w:bottom w:val="none" w:sz="0" w:space="0" w:color="auto"/>
                <w:right w:val="none" w:sz="0" w:space="0" w:color="auto"/>
              </w:divBdr>
              <w:divsChild>
                <w:div w:id="8772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3062">
      <w:bodyDiv w:val="1"/>
      <w:marLeft w:val="0"/>
      <w:marRight w:val="0"/>
      <w:marTop w:val="0"/>
      <w:marBottom w:val="0"/>
      <w:divBdr>
        <w:top w:val="none" w:sz="0" w:space="0" w:color="auto"/>
        <w:left w:val="none" w:sz="0" w:space="0" w:color="auto"/>
        <w:bottom w:val="none" w:sz="0" w:space="0" w:color="auto"/>
        <w:right w:val="none" w:sz="0" w:space="0" w:color="auto"/>
      </w:divBdr>
    </w:div>
    <w:div w:id="101921992">
      <w:bodyDiv w:val="1"/>
      <w:marLeft w:val="0"/>
      <w:marRight w:val="0"/>
      <w:marTop w:val="0"/>
      <w:marBottom w:val="0"/>
      <w:divBdr>
        <w:top w:val="none" w:sz="0" w:space="0" w:color="auto"/>
        <w:left w:val="none" w:sz="0" w:space="0" w:color="auto"/>
        <w:bottom w:val="none" w:sz="0" w:space="0" w:color="auto"/>
        <w:right w:val="none" w:sz="0" w:space="0" w:color="auto"/>
      </w:divBdr>
      <w:divsChild>
        <w:div w:id="1724405513">
          <w:marLeft w:val="0"/>
          <w:marRight w:val="0"/>
          <w:marTop w:val="0"/>
          <w:marBottom w:val="0"/>
          <w:divBdr>
            <w:top w:val="none" w:sz="0" w:space="0" w:color="auto"/>
            <w:left w:val="none" w:sz="0" w:space="0" w:color="auto"/>
            <w:bottom w:val="none" w:sz="0" w:space="0" w:color="auto"/>
            <w:right w:val="none" w:sz="0" w:space="0" w:color="auto"/>
          </w:divBdr>
          <w:divsChild>
            <w:div w:id="106386624">
              <w:marLeft w:val="0"/>
              <w:marRight w:val="0"/>
              <w:marTop w:val="0"/>
              <w:marBottom w:val="0"/>
              <w:divBdr>
                <w:top w:val="none" w:sz="0" w:space="0" w:color="auto"/>
                <w:left w:val="none" w:sz="0" w:space="0" w:color="auto"/>
                <w:bottom w:val="none" w:sz="0" w:space="0" w:color="auto"/>
                <w:right w:val="none" w:sz="0" w:space="0" w:color="auto"/>
              </w:divBdr>
              <w:divsChild>
                <w:div w:id="171596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75553">
      <w:bodyDiv w:val="1"/>
      <w:marLeft w:val="0"/>
      <w:marRight w:val="0"/>
      <w:marTop w:val="0"/>
      <w:marBottom w:val="0"/>
      <w:divBdr>
        <w:top w:val="none" w:sz="0" w:space="0" w:color="auto"/>
        <w:left w:val="none" w:sz="0" w:space="0" w:color="auto"/>
        <w:bottom w:val="none" w:sz="0" w:space="0" w:color="auto"/>
        <w:right w:val="none" w:sz="0" w:space="0" w:color="auto"/>
      </w:divBdr>
    </w:div>
    <w:div w:id="135070653">
      <w:bodyDiv w:val="1"/>
      <w:marLeft w:val="0"/>
      <w:marRight w:val="0"/>
      <w:marTop w:val="0"/>
      <w:marBottom w:val="0"/>
      <w:divBdr>
        <w:top w:val="none" w:sz="0" w:space="0" w:color="auto"/>
        <w:left w:val="none" w:sz="0" w:space="0" w:color="auto"/>
        <w:bottom w:val="none" w:sz="0" w:space="0" w:color="auto"/>
        <w:right w:val="none" w:sz="0" w:space="0" w:color="auto"/>
      </w:divBdr>
      <w:divsChild>
        <w:div w:id="1858621629">
          <w:marLeft w:val="0"/>
          <w:marRight w:val="0"/>
          <w:marTop w:val="0"/>
          <w:marBottom w:val="0"/>
          <w:divBdr>
            <w:top w:val="none" w:sz="0" w:space="0" w:color="auto"/>
            <w:left w:val="none" w:sz="0" w:space="0" w:color="auto"/>
            <w:bottom w:val="none" w:sz="0" w:space="0" w:color="auto"/>
            <w:right w:val="none" w:sz="0" w:space="0" w:color="auto"/>
          </w:divBdr>
          <w:divsChild>
            <w:div w:id="1981612779">
              <w:marLeft w:val="0"/>
              <w:marRight w:val="0"/>
              <w:marTop w:val="0"/>
              <w:marBottom w:val="0"/>
              <w:divBdr>
                <w:top w:val="none" w:sz="0" w:space="0" w:color="auto"/>
                <w:left w:val="none" w:sz="0" w:space="0" w:color="auto"/>
                <w:bottom w:val="none" w:sz="0" w:space="0" w:color="auto"/>
                <w:right w:val="none" w:sz="0" w:space="0" w:color="auto"/>
              </w:divBdr>
              <w:divsChild>
                <w:div w:id="110129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65695">
      <w:bodyDiv w:val="1"/>
      <w:marLeft w:val="0"/>
      <w:marRight w:val="0"/>
      <w:marTop w:val="0"/>
      <w:marBottom w:val="0"/>
      <w:divBdr>
        <w:top w:val="none" w:sz="0" w:space="0" w:color="auto"/>
        <w:left w:val="none" w:sz="0" w:space="0" w:color="auto"/>
        <w:bottom w:val="none" w:sz="0" w:space="0" w:color="auto"/>
        <w:right w:val="none" w:sz="0" w:space="0" w:color="auto"/>
      </w:divBdr>
    </w:div>
    <w:div w:id="172963946">
      <w:bodyDiv w:val="1"/>
      <w:marLeft w:val="0"/>
      <w:marRight w:val="0"/>
      <w:marTop w:val="0"/>
      <w:marBottom w:val="0"/>
      <w:divBdr>
        <w:top w:val="none" w:sz="0" w:space="0" w:color="auto"/>
        <w:left w:val="none" w:sz="0" w:space="0" w:color="auto"/>
        <w:bottom w:val="none" w:sz="0" w:space="0" w:color="auto"/>
        <w:right w:val="none" w:sz="0" w:space="0" w:color="auto"/>
      </w:divBdr>
    </w:div>
    <w:div w:id="199823427">
      <w:bodyDiv w:val="1"/>
      <w:marLeft w:val="0"/>
      <w:marRight w:val="0"/>
      <w:marTop w:val="0"/>
      <w:marBottom w:val="0"/>
      <w:divBdr>
        <w:top w:val="none" w:sz="0" w:space="0" w:color="auto"/>
        <w:left w:val="none" w:sz="0" w:space="0" w:color="auto"/>
        <w:bottom w:val="none" w:sz="0" w:space="0" w:color="auto"/>
        <w:right w:val="none" w:sz="0" w:space="0" w:color="auto"/>
      </w:divBdr>
    </w:div>
    <w:div w:id="276761262">
      <w:bodyDiv w:val="1"/>
      <w:marLeft w:val="0"/>
      <w:marRight w:val="0"/>
      <w:marTop w:val="0"/>
      <w:marBottom w:val="0"/>
      <w:divBdr>
        <w:top w:val="none" w:sz="0" w:space="0" w:color="auto"/>
        <w:left w:val="none" w:sz="0" w:space="0" w:color="auto"/>
        <w:bottom w:val="none" w:sz="0" w:space="0" w:color="auto"/>
        <w:right w:val="none" w:sz="0" w:space="0" w:color="auto"/>
      </w:divBdr>
    </w:div>
    <w:div w:id="281766602">
      <w:bodyDiv w:val="1"/>
      <w:marLeft w:val="0"/>
      <w:marRight w:val="0"/>
      <w:marTop w:val="0"/>
      <w:marBottom w:val="0"/>
      <w:divBdr>
        <w:top w:val="none" w:sz="0" w:space="0" w:color="auto"/>
        <w:left w:val="none" w:sz="0" w:space="0" w:color="auto"/>
        <w:bottom w:val="none" w:sz="0" w:space="0" w:color="auto"/>
        <w:right w:val="none" w:sz="0" w:space="0" w:color="auto"/>
      </w:divBdr>
    </w:div>
    <w:div w:id="293751153">
      <w:bodyDiv w:val="1"/>
      <w:marLeft w:val="0"/>
      <w:marRight w:val="0"/>
      <w:marTop w:val="0"/>
      <w:marBottom w:val="0"/>
      <w:divBdr>
        <w:top w:val="none" w:sz="0" w:space="0" w:color="auto"/>
        <w:left w:val="none" w:sz="0" w:space="0" w:color="auto"/>
        <w:bottom w:val="none" w:sz="0" w:space="0" w:color="auto"/>
        <w:right w:val="none" w:sz="0" w:space="0" w:color="auto"/>
      </w:divBdr>
    </w:div>
    <w:div w:id="294606575">
      <w:bodyDiv w:val="1"/>
      <w:marLeft w:val="0"/>
      <w:marRight w:val="0"/>
      <w:marTop w:val="0"/>
      <w:marBottom w:val="0"/>
      <w:divBdr>
        <w:top w:val="none" w:sz="0" w:space="0" w:color="auto"/>
        <w:left w:val="none" w:sz="0" w:space="0" w:color="auto"/>
        <w:bottom w:val="none" w:sz="0" w:space="0" w:color="auto"/>
        <w:right w:val="none" w:sz="0" w:space="0" w:color="auto"/>
      </w:divBdr>
    </w:div>
    <w:div w:id="317537859">
      <w:bodyDiv w:val="1"/>
      <w:marLeft w:val="0"/>
      <w:marRight w:val="0"/>
      <w:marTop w:val="0"/>
      <w:marBottom w:val="0"/>
      <w:divBdr>
        <w:top w:val="none" w:sz="0" w:space="0" w:color="auto"/>
        <w:left w:val="none" w:sz="0" w:space="0" w:color="auto"/>
        <w:bottom w:val="none" w:sz="0" w:space="0" w:color="auto"/>
        <w:right w:val="none" w:sz="0" w:space="0" w:color="auto"/>
      </w:divBdr>
      <w:divsChild>
        <w:div w:id="1132867704">
          <w:marLeft w:val="0"/>
          <w:marRight w:val="0"/>
          <w:marTop w:val="0"/>
          <w:marBottom w:val="0"/>
          <w:divBdr>
            <w:top w:val="none" w:sz="0" w:space="0" w:color="auto"/>
            <w:left w:val="none" w:sz="0" w:space="0" w:color="auto"/>
            <w:bottom w:val="none" w:sz="0" w:space="0" w:color="auto"/>
            <w:right w:val="none" w:sz="0" w:space="0" w:color="auto"/>
          </w:divBdr>
          <w:divsChild>
            <w:div w:id="938756830">
              <w:marLeft w:val="0"/>
              <w:marRight w:val="0"/>
              <w:marTop w:val="0"/>
              <w:marBottom w:val="0"/>
              <w:divBdr>
                <w:top w:val="none" w:sz="0" w:space="0" w:color="auto"/>
                <w:left w:val="none" w:sz="0" w:space="0" w:color="auto"/>
                <w:bottom w:val="none" w:sz="0" w:space="0" w:color="auto"/>
                <w:right w:val="none" w:sz="0" w:space="0" w:color="auto"/>
              </w:divBdr>
              <w:divsChild>
                <w:div w:id="10898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708214">
      <w:bodyDiv w:val="1"/>
      <w:marLeft w:val="0"/>
      <w:marRight w:val="0"/>
      <w:marTop w:val="0"/>
      <w:marBottom w:val="0"/>
      <w:divBdr>
        <w:top w:val="none" w:sz="0" w:space="0" w:color="auto"/>
        <w:left w:val="none" w:sz="0" w:space="0" w:color="auto"/>
        <w:bottom w:val="none" w:sz="0" w:space="0" w:color="auto"/>
        <w:right w:val="none" w:sz="0" w:space="0" w:color="auto"/>
      </w:divBdr>
    </w:div>
    <w:div w:id="327681088">
      <w:bodyDiv w:val="1"/>
      <w:marLeft w:val="0"/>
      <w:marRight w:val="0"/>
      <w:marTop w:val="0"/>
      <w:marBottom w:val="0"/>
      <w:divBdr>
        <w:top w:val="none" w:sz="0" w:space="0" w:color="auto"/>
        <w:left w:val="none" w:sz="0" w:space="0" w:color="auto"/>
        <w:bottom w:val="none" w:sz="0" w:space="0" w:color="auto"/>
        <w:right w:val="none" w:sz="0" w:space="0" w:color="auto"/>
      </w:divBdr>
      <w:divsChild>
        <w:div w:id="444084498">
          <w:marLeft w:val="0"/>
          <w:marRight w:val="0"/>
          <w:marTop w:val="0"/>
          <w:marBottom w:val="0"/>
          <w:divBdr>
            <w:top w:val="none" w:sz="0" w:space="0" w:color="auto"/>
            <w:left w:val="none" w:sz="0" w:space="0" w:color="auto"/>
            <w:bottom w:val="none" w:sz="0" w:space="0" w:color="auto"/>
            <w:right w:val="none" w:sz="0" w:space="0" w:color="auto"/>
          </w:divBdr>
          <w:divsChild>
            <w:div w:id="337582112">
              <w:marLeft w:val="0"/>
              <w:marRight w:val="0"/>
              <w:marTop w:val="0"/>
              <w:marBottom w:val="0"/>
              <w:divBdr>
                <w:top w:val="none" w:sz="0" w:space="0" w:color="auto"/>
                <w:left w:val="none" w:sz="0" w:space="0" w:color="auto"/>
                <w:bottom w:val="none" w:sz="0" w:space="0" w:color="auto"/>
                <w:right w:val="none" w:sz="0" w:space="0" w:color="auto"/>
              </w:divBdr>
              <w:divsChild>
                <w:div w:id="165552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82888">
      <w:bodyDiv w:val="1"/>
      <w:marLeft w:val="0"/>
      <w:marRight w:val="0"/>
      <w:marTop w:val="0"/>
      <w:marBottom w:val="0"/>
      <w:divBdr>
        <w:top w:val="none" w:sz="0" w:space="0" w:color="auto"/>
        <w:left w:val="none" w:sz="0" w:space="0" w:color="auto"/>
        <w:bottom w:val="none" w:sz="0" w:space="0" w:color="auto"/>
        <w:right w:val="none" w:sz="0" w:space="0" w:color="auto"/>
      </w:divBdr>
      <w:divsChild>
        <w:div w:id="474373423">
          <w:marLeft w:val="0"/>
          <w:marRight w:val="0"/>
          <w:marTop w:val="0"/>
          <w:marBottom w:val="0"/>
          <w:divBdr>
            <w:top w:val="none" w:sz="0" w:space="0" w:color="auto"/>
            <w:left w:val="none" w:sz="0" w:space="0" w:color="auto"/>
            <w:bottom w:val="none" w:sz="0" w:space="0" w:color="auto"/>
            <w:right w:val="none" w:sz="0" w:space="0" w:color="auto"/>
          </w:divBdr>
        </w:div>
        <w:div w:id="110370419">
          <w:marLeft w:val="0"/>
          <w:marRight w:val="0"/>
          <w:marTop w:val="0"/>
          <w:marBottom w:val="0"/>
          <w:divBdr>
            <w:top w:val="none" w:sz="0" w:space="0" w:color="auto"/>
            <w:left w:val="none" w:sz="0" w:space="0" w:color="auto"/>
            <w:bottom w:val="none" w:sz="0" w:space="0" w:color="auto"/>
            <w:right w:val="none" w:sz="0" w:space="0" w:color="auto"/>
          </w:divBdr>
        </w:div>
        <w:div w:id="1031145093">
          <w:marLeft w:val="0"/>
          <w:marRight w:val="0"/>
          <w:marTop w:val="0"/>
          <w:marBottom w:val="0"/>
          <w:divBdr>
            <w:top w:val="none" w:sz="0" w:space="0" w:color="auto"/>
            <w:left w:val="none" w:sz="0" w:space="0" w:color="auto"/>
            <w:bottom w:val="none" w:sz="0" w:space="0" w:color="auto"/>
            <w:right w:val="none" w:sz="0" w:space="0" w:color="auto"/>
          </w:divBdr>
        </w:div>
        <w:div w:id="362441555">
          <w:marLeft w:val="0"/>
          <w:marRight w:val="0"/>
          <w:marTop w:val="0"/>
          <w:marBottom w:val="0"/>
          <w:divBdr>
            <w:top w:val="none" w:sz="0" w:space="0" w:color="auto"/>
            <w:left w:val="none" w:sz="0" w:space="0" w:color="auto"/>
            <w:bottom w:val="none" w:sz="0" w:space="0" w:color="auto"/>
            <w:right w:val="none" w:sz="0" w:space="0" w:color="auto"/>
          </w:divBdr>
        </w:div>
        <w:div w:id="44111158">
          <w:marLeft w:val="0"/>
          <w:marRight w:val="0"/>
          <w:marTop w:val="0"/>
          <w:marBottom w:val="0"/>
          <w:divBdr>
            <w:top w:val="none" w:sz="0" w:space="0" w:color="auto"/>
            <w:left w:val="none" w:sz="0" w:space="0" w:color="auto"/>
            <w:bottom w:val="none" w:sz="0" w:space="0" w:color="auto"/>
            <w:right w:val="none" w:sz="0" w:space="0" w:color="auto"/>
          </w:divBdr>
        </w:div>
        <w:div w:id="1429081556">
          <w:marLeft w:val="0"/>
          <w:marRight w:val="0"/>
          <w:marTop w:val="0"/>
          <w:marBottom w:val="0"/>
          <w:divBdr>
            <w:top w:val="none" w:sz="0" w:space="0" w:color="auto"/>
            <w:left w:val="none" w:sz="0" w:space="0" w:color="auto"/>
            <w:bottom w:val="none" w:sz="0" w:space="0" w:color="auto"/>
            <w:right w:val="none" w:sz="0" w:space="0" w:color="auto"/>
          </w:divBdr>
        </w:div>
        <w:div w:id="2143227913">
          <w:marLeft w:val="0"/>
          <w:marRight w:val="0"/>
          <w:marTop w:val="0"/>
          <w:marBottom w:val="0"/>
          <w:divBdr>
            <w:top w:val="none" w:sz="0" w:space="0" w:color="auto"/>
            <w:left w:val="none" w:sz="0" w:space="0" w:color="auto"/>
            <w:bottom w:val="none" w:sz="0" w:space="0" w:color="auto"/>
            <w:right w:val="none" w:sz="0" w:space="0" w:color="auto"/>
          </w:divBdr>
        </w:div>
        <w:div w:id="977615051">
          <w:marLeft w:val="0"/>
          <w:marRight w:val="0"/>
          <w:marTop w:val="0"/>
          <w:marBottom w:val="0"/>
          <w:divBdr>
            <w:top w:val="none" w:sz="0" w:space="0" w:color="auto"/>
            <w:left w:val="none" w:sz="0" w:space="0" w:color="auto"/>
            <w:bottom w:val="none" w:sz="0" w:space="0" w:color="auto"/>
            <w:right w:val="none" w:sz="0" w:space="0" w:color="auto"/>
          </w:divBdr>
        </w:div>
        <w:div w:id="1737632766">
          <w:marLeft w:val="0"/>
          <w:marRight w:val="0"/>
          <w:marTop w:val="0"/>
          <w:marBottom w:val="0"/>
          <w:divBdr>
            <w:top w:val="none" w:sz="0" w:space="0" w:color="auto"/>
            <w:left w:val="none" w:sz="0" w:space="0" w:color="auto"/>
            <w:bottom w:val="none" w:sz="0" w:space="0" w:color="auto"/>
            <w:right w:val="none" w:sz="0" w:space="0" w:color="auto"/>
          </w:divBdr>
        </w:div>
        <w:div w:id="1039354288">
          <w:marLeft w:val="0"/>
          <w:marRight w:val="0"/>
          <w:marTop w:val="0"/>
          <w:marBottom w:val="0"/>
          <w:divBdr>
            <w:top w:val="none" w:sz="0" w:space="0" w:color="auto"/>
            <w:left w:val="none" w:sz="0" w:space="0" w:color="auto"/>
            <w:bottom w:val="none" w:sz="0" w:space="0" w:color="auto"/>
            <w:right w:val="none" w:sz="0" w:space="0" w:color="auto"/>
          </w:divBdr>
        </w:div>
        <w:div w:id="2041122716">
          <w:marLeft w:val="0"/>
          <w:marRight w:val="0"/>
          <w:marTop w:val="0"/>
          <w:marBottom w:val="0"/>
          <w:divBdr>
            <w:top w:val="none" w:sz="0" w:space="0" w:color="auto"/>
            <w:left w:val="none" w:sz="0" w:space="0" w:color="auto"/>
            <w:bottom w:val="none" w:sz="0" w:space="0" w:color="auto"/>
            <w:right w:val="none" w:sz="0" w:space="0" w:color="auto"/>
          </w:divBdr>
        </w:div>
        <w:div w:id="1850023429">
          <w:marLeft w:val="0"/>
          <w:marRight w:val="0"/>
          <w:marTop w:val="0"/>
          <w:marBottom w:val="0"/>
          <w:divBdr>
            <w:top w:val="none" w:sz="0" w:space="0" w:color="auto"/>
            <w:left w:val="none" w:sz="0" w:space="0" w:color="auto"/>
            <w:bottom w:val="none" w:sz="0" w:space="0" w:color="auto"/>
            <w:right w:val="none" w:sz="0" w:space="0" w:color="auto"/>
          </w:divBdr>
        </w:div>
        <w:div w:id="704184526">
          <w:marLeft w:val="0"/>
          <w:marRight w:val="0"/>
          <w:marTop w:val="0"/>
          <w:marBottom w:val="0"/>
          <w:divBdr>
            <w:top w:val="none" w:sz="0" w:space="0" w:color="auto"/>
            <w:left w:val="none" w:sz="0" w:space="0" w:color="auto"/>
            <w:bottom w:val="none" w:sz="0" w:space="0" w:color="auto"/>
            <w:right w:val="none" w:sz="0" w:space="0" w:color="auto"/>
          </w:divBdr>
        </w:div>
        <w:div w:id="2043898257">
          <w:marLeft w:val="0"/>
          <w:marRight w:val="0"/>
          <w:marTop w:val="0"/>
          <w:marBottom w:val="0"/>
          <w:divBdr>
            <w:top w:val="none" w:sz="0" w:space="0" w:color="auto"/>
            <w:left w:val="none" w:sz="0" w:space="0" w:color="auto"/>
            <w:bottom w:val="none" w:sz="0" w:space="0" w:color="auto"/>
            <w:right w:val="none" w:sz="0" w:space="0" w:color="auto"/>
          </w:divBdr>
        </w:div>
        <w:div w:id="1949853830">
          <w:marLeft w:val="0"/>
          <w:marRight w:val="0"/>
          <w:marTop w:val="0"/>
          <w:marBottom w:val="0"/>
          <w:divBdr>
            <w:top w:val="none" w:sz="0" w:space="0" w:color="auto"/>
            <w:left w:val="none" w:sz="0" w:space="0" w:color="auto"/>
            <w:bottom w:val="none" w:sz="0" w:space="0" w:color="auto"/>
            <w:right w:val="none" w:sz="0" w:space="0" w:color="auto"/>
          </w:divBdr>
        </w:div>
      </w:divsChild>
    </w:div>
    <w:div w:id="361444169">
      <w:bodyDiv w:val="1"/>
      <w:marLeft w:val="0"/>
      <w:marRight w:val="0"/>
      <w:marTop w:val="0"/>
      <w:marBottom w:val="0"/>
      <w:divBdr>
        <w:top w:val="none" w:sz="0" w:space="0" w:color="auto"/>
        <w:left w:val="none" w:sz="0" w:space="0" w:color="auto"/>
        <w:bottom w:val="none" w:sz="0" w:space="0" w:color="auto"/>
        <w:right w:val="none" w:sz="0" w:space="0" w:color="auto"/>
      </w:divBdr>
    </w:div>
    <w:div w:id="375542870">
      <w:bodyDiv w:val="1"/>
      <w:marLeft w:val="0"/>
      <w:marRight w:val="0"/>
      <w:marTop w:val="0"/>
      <w:marBottom w:val="0"/>
      <w:divBdr>
        <w:top w:val="none" w:sz="0" w:space="0" w:color="auto"/>
        <w:left w:val="none" w:sz="0" w:space="0" w:color="auto"/>
        <w:bottom w:val="none" w:sz="0" w:space="0" w:color="auto"/>
        <w:right w:val="none" w:sz="0" w:space="0" w:color="auto"/>
      </w:divBdr>
      <w:divsChild>
        <w:div w:id="1448428389">
          <w:marLeft w:val="0"/>
          <w:marRight w:val="0"/>
          <w:marTop w:val="0"/>
          <w:marBottom w:val="0"/>
          <w:divBdr>
            <w:top w:val="none" w:sz="0" w:space="0" w:color="auto"/>
            <w:left w:val="none" w:sz="0" w:space="0" w:color="auto"/>
            <w:bottom w:val="none" w:sz="0" w:space="0" w:color="auto"/>
            <w:right w:val="none" w:sz="0" w:space="0" w:color="auto"/>
          </w:divBdr>
          <w:divsChild>
            <w:div w:id="405299125">
              <w:marLeft w:val="0"/>
              <w:marRight w:val="0"/>
              <w:marTop w:val="0"/>
              <w:marBottom w:val="0"/>
              <w:divBdr>
                <w:top w:val="none" w:sz="0" w:space="0" w:color="auto"/>
                <w:left w:val="none" w:sz="0" w:space="0" w:color="auto"/>
                <w:bottom w:val="none" w:sz="0" w:space="0" w:color="auto"/>
                <w:right w:val="none" w:sz="0" w:space="0" w:color="auto"/>
              </w:divBdr>
              <w:divsChild>
                <w:div w:id="135530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80777">
      <w:bodyDiv w:val="1"/>
      <w:marLeft w:val="0"/>
      <w:marRight w:val="0"/>
      <w:marTop w:val="0"/>
      <w:marBottom w:val="0"/>
      <w:divBdr>
        <w:top w:val="none" w:sz="0" w:space="0" w:color="auto"/>
        <w:left w:val="none" w:sz="0" w:space="0" w:color="auto"/>
        <w:bottom w:val="none" w:sz="0" w:space="0" w:color="auto"/>
        <w:right w:val="none" w:sz="0" w:space="0" w:color="auto"/>
      </w:divBdr>
    </w:div>
    <w:div w:id="442847039">
      <w:bodyDiv w:val="1"/>
      <w:marLeft w:val="0"/>
      <w:marRight w:val="0"/>
      <w:marTop w:val="0"/>
      <w:marBottom w:val="0"/>
      <w:divBdr>
        <w:top w:val="none" w:sz="0" w:space="0" w:color="auto"/>
        <w:left w:val="none" w:sz="0" w:space="0" w:color="auto"/>
        <w:bottom w:val="none" w:sz="0" w:space="0" w:color="auto"/>
        <w:right w:val="none" w:sz="0" w:space="0" w:color="auto"/>
      </w:divBdr>
    </w:div>
    <w:div w:id="482163646">
      <w:bodyDiv w:val="1"/>
      <w:marLeft w:val="0"/>
      <w:marRight w:val="0"/>
      <w:marTop w:val="0"/>
      <w:marBottom w:val="0"/>
      <w:divBdr>
        <w:top w:val="none" w:sz="0" w:space="0" w:color="auto"/>
        <w:left w:val="none" w:sz="0" w:space="0" w:color="auto"/>
        <w:bottom w:val="none" w:sz="0" w:space="0" w:color="auto"/>
        <w:right w:val="none" w:sz="0" w:space="0" w:color="auto"/>
      </w:divBdr>
      <w:divsChild>
        <w:div w:id="997730401">
          <w:marLeft w:val="0"/>
          <w:marRight w:val="0"/>
          <w:marTop w:val="0"/>
          <w:marBottom w:val="0"/>
          <w:divBdr>
            <w:top w:val="none" w:sz="0" w:space="0" w:color="auto"/>
            <w:left w:val="none" w:sz="0" w:space="0" w:color="auto"/>
            <w:bottom w:val="none" w:sz="0" w:space="0" w:color="auto"/>
            <w:right w:val="none" w:sz="0" w:space="0" w:color="auto"/>
          </w:divBdr>
          <w:divsChild>
            <w:div w:id="218982322">
              <w:marLeft w:val="0"/>
              <w:marRight w:val="0"/>
              <w:marTop w:val="0"/>
              <w:marBottom w:val="0"/>
              <w:divBdr>
                <w:top w:val="none" w:sz="0" w:space="0" w:color="auto"/>
                <w:left w:val="none" w:sz="0" w:space="0" w:color="auto"/>
                <w:bottom w:val="none" w:sz="0" w:space="0" w:color="auto"/>
                <w:right w:val="none" w:sz="0" w:space="0" w:color="auto"/>
              </w:divBdr>
              <w:divsChild>
                <w:div w:id="17795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64956">
      <w:bodyDiv w:val="1"/>
      <w:marLeft w:val="0"/>
      <w:marRight w:val="0"/>
      <w:marTop w:val="0"/>
      <w:marBottom w:val="0"/>
      <w:divBdr>
        <w:top w:val="none" w:sz="0" w:space="0" w:color="auto"/>
        <w:left w:val="none" w:sz="0" w:space="0" w:color="auto"/>
        <w:bottom w:val="none" w:sz="0" w:space="0" w:color="auto"/>
        <w:right w:val="none" w:sz="0" w:space="0" w:color="auto"/>
      </w:divBdr>
    </w:div>
    <w:div w:id="510607639">
      <w:bodyDiv w:val="1"/>
      <w:marLeft w:val="0"/>
      <w:marRight w:val="0"/>
      <w:marTop w:val="0"/>
      <w:marBottom w:val="0"/>
      <w:divBdr>
        <w:top w:val="none" w:sz="0" w:space="0" w:color="auto"/>
        <w:left w:val="none" w:sz="0" w:space="0" w:color="auto"/>
        <w:bottom w:val="none" w:sz="0" w:space="0" w:color="auto"/>
        <w:right w:val="none" w:sz="0" w:space="0" w:color="auto"/>
      </w:divBdr>
    </w:div>
    <w:div w:id="512647124">
      <w:bodyDiv w:val="1"/>
      <w:marLeft w:val="0"/>
      <w:marRight w:val="0"/>
      <w:marTop w:val="0"/>
      <w:marBottom w:val="0"/>
      <w:divBdr>
        <w:top w:val="none" w:sz="0" w:space="0" w:color="auto"/>
        <w:left w:val="none" w:sz="0" w:space="0" w:color="auto"/>
        <w:bottom w:val="none" w:sz="0" w:space="0" w:color="auto"/>
        <w:right w:val="none" w:sz="0" w:space="0" w:color="auto"/>
      </w:divBdr>
    </w:div>
    <w:div w:id="529222836">
      <w:bodyDiv w:val="1"/>
      <w:marLeft w:val="0"/>
      <w:marRight w:val="0"/>
      <w:marTop w:val="0"/>
      <w:marBottom w:val="0"/>
      <w:divBdr>
        <w:top w:val="none" w:sz="0" w:space="0" w:color="auto"/>
        <w:left w:val="none" w:sz="0" w:space="0" w:color="auto"/>
        <w:bottom w:val="none" w:sz="0" w:space="0" w:color="auto"/>
        <w:right w:val="none" w:sz="0" w:space="0" w:color="auto"/>
      </w:divBdr>
    </w:div>
    <w:div w:id="536619882">
      <w:bodyDiv w:val="1"/>
      <w:marLeft w:val="0"/>
      <w:marRight w:val="0"/>
      <w:marTop w:val="0"/>
      <w:marBottom w:val="0"/>
      <w:divBdr>
        <w:top w:val="none" w:sz="0" w:space="0" w:color="auto"/>
        <w:left w:val="none" w:sz="0" w:space="0" w:color="auto"/>
        <w:bottom w:val="none" w:sz="0" w:space="0" w:color="auto"/>
        <w:right w:val="none" w:sz="0" w:space="0" w:color="auto"/>
      </w:divBdr>
    </w:div>
    <w:div w:id="540021627">
      <w:bodyDiv w:val="1"/>
      <w:marLeft w:val="0"/>
      <w:marRight w:val="0"/>
      <w:marTop w:val="0"/>
      <w:marBottom w:val="0"/>
      <w:divBdr>
        <w:top w:val="none" w:sz="0" w:space="0" w:color="auto"/>
        <w:left w:val="none" w:sz="0" w:space="0" w:color="auto"/>
        <w:bottom w:val="none" w:sz="0" w:space="0" w:color="auto"/>
        <w:right w:val="none" w:sz="0" w:space="0" w:color="auto"/>
      </w:divBdr>
    </w:div>
    <w:div w:id="548152632">
      <w:bodyDiv w:val="1"/>
      <w:marLeft w:val="0"/>
      <w:marRight w:val="0"/>
      <w:marTop w:val="0"/>
      <w:marBottom w:val="0"/>
      <w:divBdr>
        <w:top w:val="none" w:sz="0" w:space="0" w:color="auto"/>
        <w:left w:val="none" w:sz="0" w:space="0" w:color="auto"/>
        <w:bottom w:val="none" w:sz="0" w:space="0" w:color="auto"/>
        <w:right w:val="none" w:sz="0" w:space="0" w:color="auto"/>
      </w:divBdr>
    </w:div>
    <w:div w:id="573052548">
      <w:bodyDiv w:val="1"/>
      <w:marLeft w:val="0"/>
      <w:marRight w:val="0"/>
      <w:marTop w:val="0"/>
      <w:marBottom w:val="0"/>
      <w:divBdr>
        <w:top w:val="none" w:sz="0" w:space="0" w:color="auto"/>
        <w:left w:val="none" w:sz="0" w:space="0" w:color="auto"/>
        <w:bottom w:val="none" w:sz="0" w:space="0" w:color="auto"/>
        <w:right w:val="none" w:sz="0" w:space="0" w:color="auto"/>
      </w:divBdr>
    </w:div>
    <w:div w:id="599412686">
      <w:bodyDiv w:val="1"/>
      <w:marLeft w:val="0"/>
      <w:marRight w:val="0"/>
      <w:marTop w:val="0"/>
      <w:marBottom w:val="0"/>
      <w:divBdr>
        <w:top w:val="none" w:sz="0" w:space="0" w:color="auto"/>
        <w:left w:val="none" w:sz="0" w:space="0" w:color="auto"/>
        <w:bottom w:val="none" w:sz="0" w:space="0" w:color="auto"/>
        <w:right w:val="none" w:sz="0" w:space="0" w:color="auto"/>
      </w:divBdr>
    </w:div>
    <w:div w:id="604120631">
      <w:bodyDiv w:val="1"/>
      <w:marLeft w:val="0"/>
      <w:marRight w:val="0"/>
      <w:marTop w:val="0"/>
      <w:marBottom w:val="0"/>
      <w:divBdr>
        <w:top w:val="none" w:sz="0" w:space="0" w:color="auto"/>
        <w:left w:val="none" w:sz="0" w:space="0" w:color="auto"/>
        <w:bottom w:val="none" w:sz="0" w:space="0" w:color="auto"/>
        <w:right w:val="none" w:sz="0" w:space="0" w:color="auto"/>
      </w:divBdr>
    </w:div>
    <w:div w:id="612056655">
      <w:bodyDiv w:val="1"/>
      <w:marLeft w:val="0"/>
      <w:marRight w:val="0"/>
      <w:marTop w:val="0"/>
      <w:marBottom w:val="0"/>
      <w:divBdr>
        <w:top w:val="none" w:sz="0" w:space="0" w:color="auto"/>
        <w:left w:val="none" w:sz="0" w:space="0" w:color="auto"/>
        <w:bottom w:val="none" w:sz="0" w:space="0" w:color="auto"/>
        <w:right w:val="none" w:sz="0" w:space="0" w:color="auto"/>
      </w:divBdr>
    </w:div>
    <w:div w:id="612444506">
      <w:bodyDiv w:val="1"/>
      <w:marLeft w:val="0"/>
      <w:marRight w:val="0"/>
      <w:marTop w:val="0"/>
      <w:marBottom w:val="0"/>
      <w:divBdr>
        <w:top w:val="none" w:sz="0" w:space="0" w:color="auto"/>
        <w:left w:val="none" w:sz="0" w:space="0" w:color="auto"/>
        <w:bottom w:val="none" w:sz="0" w:space="0" w:color="auto"/>
        <w:right w:val="none" w:sz="0" w:space="0" w:color="auto"/>
      </w:divBdr>
    </w:div>
    <w:div w:id="614750159">
      <w:bodyDiv w:val="1"/>
      <w:marLeft w:val="0"/>
      <w:marRight w:val="0"/>
      <w:marTop w:val="0"/>
      <w:marBottom w:val="0"/>
      <w:divBdr>
        <w:top w:val="none" w:sz="0" w:space="0" w:color="auto"/>
        <w:left w:val="none" w:sz="0" w:space="0" w:color="auto"/>
        <w:bottom w:val="none" w:sz="0" w:space="0" w:color="auto"/>
        <w:right w:val="none" w:sz="0" w:space="0" w:color="auto"/>
      </w:divBdr>
    </w:div>
    <w:div w:id="622734654">
      <w:bodyDiv w:val="1"/>
      <w:marLeft w:val="0"/>
      <w:marRight w:val="0"/>
      <w:marTop w:val="0"/>
      <w:marBottom w:val="0"/>
      <w:divBdr>
        <w:top w:val="none" w:sz="0" w:space="0" w:color="auto"/>
        <w:left w:val="none" w:sz="0" w:space="0" w:color="auto"/>
        <w:bottom w:val="none" w:sz="0" w:space="0" w:color="auto"/>
        <w:right w:val="none" w:sz="0" w:space="0" w:color="auto"/>
      </w:divBdr>
    </w:div>
    <w:div w:id="624772256">
      <w:bodyDiv w:val="1"/>
      <w:marLeft w:val="0"/>
      <w:marRight w:val="0"/>
      <w:marTop w:val="0"/>
      <w:marBottom w:val="0"/>
      <w:divBdr>
        <w:top w:val="none" w:sz="0" w:space="0" w:color="auto"/>
        <w:left w:val="none" w:sz="0" w:space="0" w:color="auto"/>
        <w:bottom w:val="none" w:sz="0" w:space="0" w:color="auto"/>
        <w:right w:val="none" w:sz="0" w:space="0" w:color="auto"/>
      </w:divBdr>
    </w:div>
    <w:div w:id="627856796">
      <w:bodyDiv w:val="1"/>
      <w:marLeft w:val="0"/>
      <w:marRight w:val="0"/>
      <w:marTop w:val="0"/>
      <w:marBottom w:val="0"/>
      <w:divBdr>
        <w:top w:val="none" w:sz="0" w:space="0" w:color="auto"/>
        <w:left w:val="none" w:sz="0" w:space="0" w:color="auto"/>
        <w:bottom w:val="none" w:sz="0" w:space="0" w:color="auto"/>
        <w:right w:val="none" w:sz="0" w:space="0" w:color="auto"/>
      </w:divBdr>
      <w:divsChild>
        <w:div w:id="1414468006">
          <w:marLeft w:val="0"/>
          <w:marRight w:val="0"/>
          <w:marTop w:val="0"/>
          <w:marBottom w:val="0"/>
          <w:divBdr>
            <w:top w:val="none" w:sz="0" w:space="0" w:color="auto"/>
            <w:left w:val="none" w:sz="0" w:space="0" w:color="auto"/>
            <w:bottom w:val="none" w:sz="0" w:space="0" w:color="auto"/>
            <w:right w:val="none" w:sz="0" w:space="0" w:color="auto"/>
          </w:divBdr>
          <w:divsChild>
            <w:div w:id="245653533">
              <w:marLeft w:val="0"/>
              <w:marRight w:val="0"/>
              <w:marTop w:val="0"/>
              <w:marBottom w:val="0"/>
              <w:divBdr>
                <w:top w:val="none" w:sz="0" w:space="0" w:color="auto"/>
                <w:left w:val="none" w:sz="0" w:space="0" w:color="auto"/>
                <w:bottom w:val="none" w:sz="0" w:space="0" w:color="auto"/>
                <w:right w:val="none" w:sz="0" w:space="0" w:color="auto"/>
              </w:divBdr>
              <w:divsChild>
                <w:div w:id="17412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102428">
      <w:bodyDiv w:val="1"/>
      <w:marLeft w:val="0"/>
      <w:marRight w:val="0"/>
      <w:marTop w:val="0"/>
      <w:marBottom w:val="0"/>
      <w:divBdr>
        <w:top w:val="none" w:sz="0" w:space="0" w:color="auto"/>
        <w:left w:val="none" w:sz="0" w:space="0" w:color="auto"/>
        <w:bottom w:val="none" w:sz="0" w:space="0" w:color="auto"/>
        <w:right w:val="none" w:sz="0" w:space="0" w:color="auto"/>
      </w:divBdr>
      <w:divsChild>
        <w:div w:id="1742210764">
          <w:marLeft w:val="640"/>
          <w:marRight w:val="0"/>
          <w:marTop w:val="0"/>
          <w:marBottom w:val="0"/>
          <w:divBdr>
            <w:top w:val="none" w:sz="0" w:space="0" w:color="auto"/>
            <w:left w:val="none" w:sz="0" w:space="0" w:color="auto"/>
            <w:bottom w:val="none" w:sz="0" w:space="0" w:color="auto"/>
            <w:right w:val="none" w:sz="0" w:space="0" w:color="auto"/>
          </w:divBdr>
        </w:div>
        <w:div w:id="1555769753">
          <w:marLeft w:val="640"/>
          <w:marRight w:val="0"/>
          <w:marTop w:val="0"/>
          <w:marBottom w:val="0"/>
          <w:divBdr>
            <w:top w:val="none" w:sz="0" w:space="0" w:color="auto"/>
            <w:left w:val="none" w:sz="0" w:space="0" w:color="auto"/>
            <w:bottom w:val="none" w:sz="0" w:space="0" w:color="auto"/>
            <w:right w:val="none" w:sz="0" w:space="0" w:color="auto"/>
          </w:divBdr>
        </w:div>
        <w:div w:id="1903904667">
          <w:marLeft w:val="640"/>
          <w:marRight w:val="0"/>
          <w:marTop w:val="0"/>
          <w:marBottom w:val="0"/>
          <w:divBdr>
            <w:top w:val="none" w:sz="0" w:space="0" w:color="auto"/>
            <w:left w:val="none" w:sz="0" w:space="0" w:color="auto"/>
            <w:bottom w:val="none" w:sz="0" w:space="0" w:color="auto"/>
            <w:right w:val="none" w:sz="0" w:space="0" w:color="auto"/>
          </w:divBdr>
        </w:div>
        <w:div w:id="339356719">
          <w:marLeft w:val="640"/>
          <w:marRight w:val="0"/>
          <w:marTop w:val="0"/>
          <w:marBottom w:val="0"/>
          <w:divBdr>
            <w:top w:val="none" w:sz="0" w:space="0" w:color="auto"/>
            <w:left w:val="none" w:sz="0" w:space="0" w:color="auto"/>
            <w:bottom w:val="none" w:sz="0" w:space="0" w:color="auto"/>
            <w:right w:val="none" w:sz="0" w:space="0" w:color="auto"/>
          </w:divBdr>
        </w:div>
        <w:div w:id="760225417">
          <w:marLeft w:val="640"/>
          <w:marRight w:val="0"/>
          <w:marTop w:val="0"/>
          <w:marBottom w:val="0"/>
          <w:divBdr>
            <w:top w:val="none" w:sz="0" w:space="0" w:color="auto"/>
            <w:left w:val="none" w:sz="0" w:space="0" w:color="auto"/>
            <w:bottom w:val="none" w:sz="0" w:space="0" w:color="auto"/>
            <w:right w:val="none" w:sz="0" w:space="0" w:color="auto"/>
          </w:divBdr>
        </w:div>
        <w:div w:id="192160356">
          <w:marLeft w:val="640"/>
          <w:marRight w:val="0"/>
          <w:marTop w:val="0"/>
          <w:marBottom w:val="0"/>
          <w:divBdr>
            <w:top w:val="none" w:sz="0" w:space="0" w:color="auto"/>
            <w:left w:val="none" w:sz="0" w:space="0" w:color="auto"/>
            <w:bottom w:val="none" w:sz="0" w:space="0" w:color="auto"/>
            <w:right w:val="none" w:sz="0" w:space="0" w:color="auto"/>
          </w:divBdr>
        </w:div>
        <w:div w:id="1949385002">
          <w:marLeft w:val="640"/>
          <w:marRight w:val="0"/>
          <w:marTop w:val="0"/>
          <w:marBottom w:val="0"/>
          <w:divBdr>
            <w:top w:val="none" w:sz="0" w:space="0" w:color="auto"/>
            <w:left w:val="none" w:sz="0" w:space="0" w:color="auto"/>
            <w:bottom w:val="none" w:sz="0" w:space="0" w:color="auto"/>
            <w:right w:val="none" w:sz="0" w:space="0" w:color="auto"/>
          </w:divBdr>
        </w:div>
        <w:div w:id="211550583">
          <w:marLeft w:val="640"/>
          <w:marRight w:val="0"/>
          <w:marTop w:val="0"/>
          <w:marBottom w:val="0"/>
          <w:divBdr>
            <w:top w:val="none" w:sz="0" w:space="0" w:color="auto"/>
            <w:left w:val="none" w:sz="0" w:space="0" w:color="auto"/>
            <w:bottom w:val="none" w:sz="0" w:space="0" w:color="auto"/>
            <w:right w:val="none" w:sz="0" w:space="0" w:color="auto"/>
          </w:divBdr>
        </w:div>
        <w:div w:id="743141512">
          <w:marLeft w:val="640"/>
          <w:marRight w:val="0"/>
          <w:marTop w:val="0"/>
          <w:marBottom w:val="0"/>
          <w:divBdr>
            <w:top w:val="none" w:sz="0" w:space="0" w:color="auto"/>
            <w:left w:val="none" w:sz="0" w:space="0" w:color="auto"/>
            <w:bottom w:val="none" w:sz="0" w:space="0" w:color="auto"/>
            <w:right w:val="none" w:sz="0" w:space="0" w:color="auto"/>
          </w:divBdr>
        </w:div>
        <w:div w:id="824980203">
          <w:marLeft w:val="640"/>
          <w:marRight w:val="0"/>
          <w:marTop w:val="0"/>
          <w:marBottom w:val="0"/>
          <w:divBdr>
            <w:top w:val="none" w:sz="0" w:space="0" w:color="auto"/>
            <w:left w:val="none" w:sz="0" w:space="0" w:color="auto"/>
            <w:bottom w:val="none" w:sz="0" w:space="0" w:color="auto"/>
            <w:right w:val="none" w:sz="0" w:space="0" w:color="auto"/>
          </w:divBdr>
        </w:div>
        <w:div w:id="1997417007">
          <w:marLeft w:val="640"/>
          <w:marRight w:val="0"/>
          <w:marTop w:val="0"/>
          <w:marBottom w:val="0"/>
          <w:divBdr>
            <w:top w:val="none" w:sz="0" w:space="0" w:color="auto"/>
            <w:left w:val="none" w:sz="0" w:space="0" w:color="auto"/>
            <w:bottom w:val="none" w:sz="0" w:space="0" w:color="auto"/>
            <w:right w:val="none" w:sz="0" w:space="0" w:color="auto"/>
          </w:divBdr>
        </w:div>
        <w:div w:id="1488745842">
          <w:marLeft w:val="640"/>
          <w:marRight w:val="0"/>
          <w:marTop w:val="0"/>
          <w:marBottom w:val="0"/>
          <w:divBdr>
            <w:top w:val="none" w:sz="0" w:space="0" w:color="auto"/>
            <w:left w:val="none" w:sz="0" w:space="0" w:color="auto"/>
            <w:bottom w:val="none" w:sz="0" w:space="0" w:color="auto"/>
            <w:right w:val="none" w:sz="0" w:space="0" w:color="auto"/>
          </w:divBdr>
        </w:div>
        <w:div w:id="1055395463">
          <w:marLeft w:val="640"/>
          <w:marRight w:val="0"/>
          <w:marTop w:val="0"/>
          <w:marBottom w:val="0"/>
          <w:divBdr>
            <w:top w:val="none" w:sz="0" w:space="0" w:color="auto"/>
            <w:left w:val="none" w:sz="0" w:space="0" w:color="auto"/>
            <w:bottom w:val="none" w:sz="0" w:space="0" w:color="auto"/>
            <w:right w:val="none" w:sz="0" w:space="0" w:color="auto"/>
          </w:divBdr>
        </w:div>
        <w:div w:id="1884169393">
          <w:marLeft w:val="640"/>
          <w:marRight w:val="0"/>
          <w:marTop w:val="0"/>
          <w:marBottom w:val="0"/>
          <w:divBdr>
            <w:top w:val="none" w:sz="0" w:space="0" w:color="auto"/>
            <w:left w:val="none" w:sz="0" w:space="0" w:color="auto"/>
            <w:bottom w:val="none" w:sz="0" w:space="0" w:color="auto"/>
            <w:right w:val="none" w:sz="0" w:space="0" w:color="auto"/>
          </w:divBdr>
        </w:div>
        <w:div w:id="738407597">
          <w:marLeft w:val="640"/>
          <w:marRight w:val="0"/>
          <w:marTop w:val="0"/>
          <w:marBottom w:val="0"/>
          <w:divBdr>
            <w:top w:val="none" w:sz="0" w:space="0" w:color="auto"/>
            <w:left w:val="none" w:sz="0" w:space="0" w:color="auto"/>
            <w:bottom w:val="none" w:sz="0" w:space="0" w:color="auto"/>
            <w:right w:val="none" w:sz="0" w:space="0" w:color="auto"/>
          </w:divBdr>
        </w:div>
        <w:div w:id="1684015631">
          <w:marLeft w:val="640"/>
          <w:marRight w:val="0"/>
          <w:marTop w:val="0"/>
          <w:marBottom w:val="0"/>
          <w:divBdr>
            <w:top w:val="none" w:sz="0" w:space="0" w:color="auto"/>
            <w:left w:val="none" w:sz="0" w:space="0" w:color="auto"/>
            <w:bottom w:val="none" w:sz="0" w:space="0" w:color="auto"/>
            <w:right w:val="none" w:sz="0" w:space="0" w:color="auto"/>
          </w:divBdr>
        </w:div>
        <w:div w:id="1673288963">
          <w:marLeft w:val="640"/>
          <w:marRight w:val="0"/>
          <w:marTop w:val="0"/>
          <w:marBottom w:val="0"/>
          <w:divBdr>
            <w:top w:val="none" w:sz="0" w:space="0" w:color="auto"/>
            <w:left w:val="none" w:sz="0" w:space="0" w:color="auto"/>
            <w:bottom w:val="none" w:sz="0" w:space="0" w:color="auto"/>
            <w:right w:val="none" w:sz="0" w:space="0" w:color="auto"/>
          </w:divBdr>
        </w:div>
        <w:div w:id="1329095560">
          <w:marLeft w:val="640"/>
          <w:marRight w:val="0"/>
          <w:marTop w:val="0"/>
          <w:marBottom w:val="0"/>
          <w:divBdr>
            <w:top w:val="none" w:sz="0" w:space="0" w:color="auto"/>
            <w:left w:val="none" w:sz="0" w:space="0" w:color="auto"/>
            <w:bottom w:val="none" w:sz="0" w:space="0" w:color="auto"/>
            <w:right w:val="none" w:sz="0" w:space="0" w:color="auto"/>
          </w:divBdr>
        </w:div>
        <w:div w:id="2079009322">
          <w:marLeft w:val="640"/>
          <w:marRight w:val="0"/>
          <w:marTop w:val="0"/>
          <w:marBottom w:val="0"/>
          <w:divBdr>
            <w:top w:val="none" w:sz="0" w:space="0" w:color="auto"/>
            <w:left w:val="none" w:sz="0" w:space="0" w:color="auto"/>
            <w:bottom w:val="none" w:sz="0" w:space="0" w:color="auto"/>
            <w:right w:val="none" w:sz="0" w:space="0" w:color="auto"/>
          </w:divBdr>
        </w:div>
        <w:div w:id="369955484">
          <w:marLeft w:val="640"/>
          <w:marRight w:val="0"/>
          <w:marTop w:val="0"/>
          <w:marBottom w:val="0"/>
          <w:divBdr>
            <w:top w:val="none" w:sz="0" w:space="0" w:color="auto"/>
            <w:left w:val="none" w:sz="0" w:space="0" w:color="auto"/>
            <w:bottom w:val="none" w:sz="0" w:space="0" w:color="auto"/>
            <w:right w:val="none" w:sz="0" w:space="0" w:color="auto"/>
          </w:divBdr>
        </w:div>
        <w:div w:id="1990787855">
          <w:marLeft w:val="640"/>
          <w:marRight w:val="0"/>
          <w:marTop w:val="0"/>
          <w:marBottom w:val="0"/>
          <w:divBdr>
            <w:top w:val="none" w:sz="0" w:space="0" w:color="auto"/>
            <w:left w:val="none" w:sz="0" w:space="0" w:color="auto"/>
            <w:bottom w:val="none" w:sz="0" w:space="0" w:color="auto"/>
            <w:right w:val="none" w:sz="0" w:space="0" w:color="auto"/>
          </w:divBdr>
        </w:div>
        <w:div w:id="1481844940">
          <w:marLeft w:val="640"/>
          <w:marRight w:val="0"/>
          <w:marTop w:val="0"/>
          <w:marBottom w:val="0"/>
          <w:divBdr>
            <w:top w:val="none" w:sz="0" w:space="0" w:color="auto"/>
            <w:left w:val="none" w:sz="0" w:space="0" w:color="auto"/>
            <w:bottom w:val="none" w:sz="0" w:space="0" w:color="auto"/>
            <w:right w:val="none" w:sz="0" w:space="0" w:color="auto"/>
          </w:divBdr>
        </w:div>
        <w:div w:id="545218828">
          <w:marLeft w:val="640"/>
          <w:marRight w:val="0"/>
          <w:marTop w:val="0"/>
          <w:marBottom w:val="0"/>
          <w:divBdr>
            <w:top w:val="none" w:sz="0" w:space="0" w:color="auto"/>
            <w:left w:val="none" w:sz="0" w:space="0" w:color="auto"/>
            <w:bottom w:val="none" w:sz="0" w:space="0" w:color="auto"/>
            <w:right w:val="none" w:sz="0" w:space="0" w:color="auto"/>
          </w:divBdr>
        </w:div>
        <w:div w:id="1035349820">
          <w:marLeft w:val="640"/>
          <w:marRight w:val="0"/>
          <w:marTop w:val="0"/>
          <w:marBottom w:val="0"/>
          <w:divBdr>
            <w:top w:val="none" w:sz="0" w:space="0" w:color="auto"/>
            <w:left w:val="none" w:sz="0" w:space="0" w:color="auto"/>
            <w:bottom w:val="none" w:sz="0" w:space="0" w:color="auto"/>
            <w:right w:val="none" w:sz="0" w:space="0" w:color="auto"/>
          </w:divBdr>
        </w:div>
        <w:div w:id="927734617">
          <w:marLeft w:val="640"/>
          <w:marRight w:val="0"/>
          <w:marTop w:val="0"/>
          <w:marBottom w:val="0"/>
          <w:divBdr>
            <w:top w:val="none" w:sz="0" w:space="0" w:color="auto"/>
            <w:left w:val="none" w:sz="0" w:space="0" w:color="auto"/>
            <w:bottom w:val="none" w:sz="0" w:space="0" w:color="auto"/>
            <w:right w:val="none" w:sz="0" w:space="0" w:color="auto"/>
          </w:divBdr>
        </w:div>
        <w:div w:id="809829090">
          <w:marLeft w:val="640"/>
          <w:marRight w:val="0"/>
          <w:marTop w:val="0"/>
          <w:marBottom w:val="0"/>
          <w:divBdr>
            <w:top w:val="none" w:sz="0" w:space="0" w:color="auto"/>
            <w:left w:val="none" w:sz="0" w:space="0" w:color="auto"/>
            <w:bottom w:val="none" w:sz="0" w:space="0" w:color="auto"/>
            <w:right w:val="none" w:sz="0" w:space="0" w:color="auto"/>
          </w:divBdr>
        </w:div>
        <w:div w:id="854541523">
          <w:marLeft w:val="640"/>
          <w:marRight w:val="0"/>
          <w:marTop w:val="0"/>
          <w:marBottom w:val="0"/>
          <w:divBdr>
            <w:top w:val="none" w:sz="0" w:space="0" w:color="auto"/>
            <w:left w:val="none" w:sz="0" w:space="0" w:color="auto"/>
            <w:bottom w:val="none" w:sz="0" w:space="0" w:color="auto"/>
            <w:right w:val="none" w:sz="0" w:space="0" w:color="auto"/>
          </w:divBdr>
        </w:div>
        <w:div w:id="1860653546">
          <w:marLeft w:val="640"/>
          <w:marRight w:val="0"/>
          <w:marTop w:val="0"/>
          <w:marBottom w:val="0"/>
          <w:divBdr>
            <w:top w:val="none" w:sz="0" w:space="0" w:color="auto"/>
            <w:left w:val="none" w:sz="0" w:space="0" w:color="auto"/>
            <w:bottom w:val="none" w:sz="0" w:space="0" w:color="auto"/>
            <w:right w:val="none" w:sz="0" w:space="0" w:color="auto"/>
          </w:divBdr>
        </w:div>
        <w:div w:id="684288367">
          <w:marLeft w:val="640"/>
          <w:marRight w:val="0"/>
          <w:marTop w:val="0"/>
          <w:marBottom w:val="0"/>
          <w:divBdr>
            <w:top w:val="none" w:sz="0" w:space="0" w:color="auto"/>
            <w:left w:val="none" w:sz="0" w:space="0" w:color="auto"/>
            <w:bottom w:val="none" w:sz="0" w:space="0" w:color="auto"/>
            <w:right w:val="none" w:sz="0" w:space="0" w:color="auto"/>
          </w:divBdr>
        </w:div>
        <w:div w:id="1640574244">
          <w:marLeft w:val="640"/>
          <w:marRight w:val="0"/>
          <w:marTop w:val="0"/>
          <w:marBottom w:val="0"/>
          <w:divBdr>
            <w:top w:val="none" w:sz="0" w:space="0" w:color="auto"/>
            <w:left w:val="none" w:sz="0" w:space="0" w:color="auto"/>
            <w:bottom w:val="none" w:sz="0" w:space="0" w:color="auto"/>
            <w:right w:val="none" w:sz="0" w:space="0" w:color="auto"/>
          </w:divBdr>
        </w:div>
        <w:div w:id="1209226896">
          <w:marLeft w:val="640"/>
          <w:marRight w:val="0"/>
          <w:marTop w:val="0"/>
          <w:marBottom w:val="0"/>
          <w:divBdr>
            <w:top w:val="none" w:sz="0" w:space="0" w:color="auto"/>
            <w:left w:val="none" w:sz="0" w:space="0" w:color="auto"/>
            <w:bottom w:val="none" w:sz="0" w:space="0" w:color="auto"/>
            <w:right w:val="none" w:sz="0" w:space="0" w:color="auto"/>
          </w:divBdr>
        </w:div>
        <w:div w:id="1945114351">
          <w:marLeft w:val="640"/>
          <w:marRight w:val="0"/>
          <w:marTop w:val="0"/>
          <w:marBottom w:val="0"/>
          <w:divBdr>
            <w:top w:val="none" w:sz="0" w:space="0" w:color="auto"/>
            <w:left w:val="none" w:sz="0" w:space="0" w:color="auto"/>
            <w:bottom w:val="none" w:sz="0" w:space="0" w:color="auto"/>
            <w:right w:val="none" w:sz="0" w:space="0" w:color="auto"/>
          </w:divBdr>
        </w:div>
        <w:div w:id="1285236836">
          <w:marLeft w:val="640"/>
          <w:marRight w:val="0"/>
          <w:marTop w:val="0"/>
          <w:marBottom w:val="0"/>
          <w:divBdr>
            <w:top w:val="none" w:sz="0" w:space="0" w:color="auto"/>
            <w:left w:val="none" w:sz="0" w:space="0" w:color="auto"/>
            <w:bottom w:val="none" w:sz="0" w:space="0" w:color="auto"/>
            <w:right w:val="none" w:sz="0" w:space="0" w:color="auto"/>
          </w:divBdr>
        </w:div>
        <w:div w:id="539242180">
          <w:marLeft w:val="640"/>
          <w:marRight w:val="0"/>
          <w:marTop w:val="0"/>
          <w:marBottom w:val="0"/>
          <w:divBdr>
            <w:top w:val="none" w:sz="0" w:space="0" w:color="auto"/>
            <w:left w:val="none" w:sz="0" w:space="0" w:color="auto"/>
            <w:bottom w:val="none" w:sz="0" w:space="0" w:color="auto"/>
            <w:right w:val="none" w:sz="0" w:space="0" w:color="auto"/>
          </w:divBdr>
        </w:div>
        <w:div w:id="896621661">
          <w:marLeft w:val="640"/>
          <w:marRight w:val="0"/>
          <w:marTop w:val="0"/>
          <w:marBottom w:val="0"/>
          <w:divBdr>
            <w:top w:val="none" w:sz="0" w:space="0" w:color="auto"/>
            <w:left w:val="none" w:sz="0" w:space="0" w:color="auto"/>
            <w:bottom w:val="none" w:sz="0" w:space="0" w:color="auto"/>
            <w:right w:val="none" w:sz="0" w:space="0" w:color="auto"/>
          </w:divBdr>
        </w:div>
        <w:div w:id="2131700563">
          <w:marLeft w:val="640"/>
          <w:marRight w:val="0"/>
          <w:marTop w:val="0"/>
          <w:marBottom w:val="0"/>
          <w:divBdr>
            <w:top w:val="none" w:sz="0" w:space="0" w:color="auto"/>
            <w:left w:val="none" w:sz="0" w:space="0" w:color="auto"/>
            <w:bottom w:val="none" w:sz="0" w:space="0" w:color="auto"/>
            <w:right w:val="none" w:sz="0" w:space="0" w:color="auto"/>
          </w:divBdr>
        </w:div>
        <w:div w:id="438450912">
          <w:marLeft w:val="640"/>
          <w:marRight w:val="0"/>
          <w:marTop w:val="0"/>
          <w:marBottom w:val="0"/>
          <w:divBdr>
            <w:top w:val="none" w:sz="0" w:space="0" w:color="auto"/>
            <w:left w:val="none" w:sz="0" w:space="0" w:color="auto"/>
            <w:bottom w:val="none" w:sz="0" w:space="0" w:color="auto"/>
            <w:right w:val="none" w:sz="0" w:space="0" w:color="auto"/>
          </w:divBdr>
        </w:div>
        <w:div w:id="1299259517">
          <w:marLeft w:val="640"/>
          <w:marRight w:val="0"/>
          <w:marTop w:val="0"/>
          <w:marBottom w:val="0"/>
          <w:divBdr>
            <w:top w:val="none" w:sz="0" w:space="0" w:color="auto"/>
            <w:left w:val="none" w:sz="0" w:space="0" w:color="auto"/>
            <w:bottom w:val="none" w:sz="0" w:space="0" w:color="auto"/>
            <w:right w:val="none" w:sz="0" w:space="0" w:color="auto"/>
          </w:divBdr>
        </w:div>
        <w:div w:id="1546410207">
          <w:marLeft w:val="640"/>
          <w:marRight w:val="0"/>
          <w:marTop w:val="0"/>
          <w:marBottom w:val="0"/>
          <w:divBdr>
            <w:top w:val="none" w:sz="0" w:space="0" w:color="auto"/>
            <w:left w:val="none" w:sz="0" w:space="0" w:color="auto"/>
            <w:bottom w:val="none" w:sz="0" w:space="0" w:color="auto"/>
            <w:right w:val="none" w:sz="0" w:space="0" w:color="auto"/>
          </w:divBdr>
        </w:div>
        <w:div w:id="263003095">
          <w:marLeft w:val="640"/>
          <w:marRight w:val="0"/>
          <w:marTop w:val="0"/>
          <w:marBottom w:val="0"/>
          <w:divBdr>
            <w:top w:val="none" w:sz="0" w:space="0" w:color="auto"/>
            <w:left w:val="none" w:sz="0" w:space="0" w:color="auto"/>
            <w:bottom w:val="none" w:sz="0" w:space="0" w:color="auto"/>
            <w:right w:val="none" w:sz="0" w:space="0" w:color="auto"/>
          </w:divBdr>
        </w:div>
        <w:div w:id="488056230">
          <w:marLeft w:val="640"/>
          <w:marRight w:val="0"/>
          <w:marTop w:val="0"/>
          <w:marBottom w:val="0"/>
          <w:divBdr>
            <w:top w:val="none" w:sz="0" w:space="0" w:color="auto"/>
            <w:left w:val="none" w:sz="0" w:space="0" w:color="auto"/>
            <w:bottom w:val="none" w:sz="0" w:space="0" w:color="auto"/>
            <w:right w:val="none" w:sz="0" w:space="0" w:color="auto"/>
          </w:divBdr>
        </w:div>
        <w:div w:id="1523784054">
          <w:marLeft w:val="640"/>
          <w:marRight w:val="0"/>
          <w:marTop w:val="0"/>
          <w:marBottom w:val="0"/>
          <w:divBdr>
            <w:top w:val="none" w:sz="0" w:space="0" w:color="auto"/>
            <w:left w:val="none" w:sz="0" w:space="0" w:color="auto"/>
            <w:bottom w:val="none" w:sz="0" w:space="0" w:color="auto"/>
            <w:right w:val="none" w:sz="0" w:space="0" w:color="auto"/>
          </w:divBdr>
        </w:div>
        <w:div w:id="1316453557">
          <w:marLeft w:val="640"/>
          <w:marRight w:val="0"/>
          <w:marTop w:val="0"/>
          <w:marBottom w:val="0"/>
          <w:divBdr>
            <w:top w:val="none" w:sz="0" w:space="0" w:color="auto"/>
            <w:left w:val="none" w:sz="0" w:space="0" w:color="auto"/>
            <w:bottom w:val="none" w:sz="0" w:space="0" w:color="auto"/>
            <w:right w:val="none" w:sz="0" w:space="0" w:color="auto"/>
          </w:divBdr>
        </w:div>
        <w:div w:id="1545948020">
          <w:marLeft w:val="640"/>
          <w:marRight w:val="0"/>
          <w:marTop w:val="0"/>
          <w:marBottom w:val="0"/>
          <w:divBdr>
            <w:top w:val="none" w:sz="0" w:space="0" w:color="auto"/>
            <w:left w:val="none" w:sz="0" w:space="0" w:color="auto"/>
            <w:bottom w:val="none" w:sz="0" w:space="0" w:color="auto"/>
            <w:right w:val="none" w:sz="0" w:space="0" w:color="auto"/>
          </w:divBdr>
        </w:div>
        <w:div w:id="1130854275">
          <w:marLeft w:val="640"/>
          <w:marRight w:val="0"/>
          <w:marTop w:val="0"/>
          <w:marBottom w:val="0"/>
          <w:divBdr>
            <w:top w:val="none" w:sz="0" w:space="0" w:color="auto"/>
            <w:left w:val="none" w:sz="0" w:space="0" w:color="auto"/>
            <w:bottom w:val="none" w:sz="0" w:space="0" w:color="auto"/>
            <w:right w:val="none" w:sz="0" w:space="0" w:color="auto"/>
          </w:divBdr>
        </w:div>
        <w:div w:id="380178420">
          <w:marLeft w:val="640"/>
          <w:marRight w:val="0"/>
          <w:marTop w:val="0"/>
          <w:marBottom w:val="0"/>
          <w:divBdr>
            <w:top w:val="none" w:sz="0" w:space="0" w:color="auto"/>
            <w:left w:val="none" w:sz="0" w:space="0" w:color="auto"/>
            <w:bottom w:val="none" w:sz="0" w:space="0" w:color="auto"/>
            <w:right w:val="none" w:sz="0" w:space="0" w:color="auto"/>
          </w:divBdr>
        </w:div>
        <w:div w:id="522741729">
          <w:marLeft w:val="640"/>
          <w:marRight w:val="0"/>
          <w:marTop w:val="0"/>
          <w:marBottom w:val="0"/>
          <w:divBdr>
            <w:top w:val="none" w:sz="0" w:space="0" w:color="auto"/>
            <w:left w:val="none" w:sz="0" w:space="0" w:color="auto"/>
            <w:bottom w:val="none" w:sz="0" w:space="0" w:color="auto"/>
            <w:right w:val="none" w:sz="0" w:space="0" w:color="auto"/>
          </w:divBdr>
        </w:div>
        <w:div w:id="1252933238">
          <w:marLeft w:val="640"/>
          <w:marRight w:val="0"/>
          <w:marTop w:val="0"/>
          <w:marBottom w:val="0"/>
          <w:divBdr>
            <w:top w:val="none" w:sz="0" w:space="0" w:color="auto"/>
            <w:left w:val="none" w:sz="0" w:space="0" w:color="auto"/>
            <w:bottom w:val="none" w:sz="0" w:space="0" w:color="auto"/>
            <w:right w:val="none" w:sz="0" w:space="0" w:color="auto"/>
          </w:divBdr>
        </w:div>
        <w:div w:id="1421028756">
          <w:marLeft w:val="640"/>
          <w:marRight w:val="0"/>
          <w:marTop w:val="0"/>
          <w:marBottom w:val="0"/>
          <w:divBdr>
            <w:top w:val="none" w:sz="0" w:space="0" w:color="auto"/>
            <w:left w:val="none" w:sz="0" w:space="0" w:color="auto"/>
            <w:bottom w:val="none" w:sz="0" w:space="0" w:color="auto"/>
            <w:right w:val="none" w:sz="0" w:space="0" w:color="auto"/>
          </w:divBdr>
        </w:div>
        <w:div w:id="208687498">
          <w:marLeft w:val="640"/>
          <w:marRight w:val="0"/>
          <w:marTop w:val="0"/>
          <w:marBottom w:val="0"/>
          <w:divBdr>
            <w:top w:val="none" w:sz="0" w:space="0" w:color="auto"/>
            <w:left w:val="none" w:sz="0" w:space="0" w:color="auto"/>
            <w:bottom w:val="none" w:sz="0" w:space="0" w:color="auto"/>
            <w:right w:val="none" w:sz="0" w:space="0" w:color="auto"/>
          </w:divBdr>
        </w:div>
        <w:div w:id="947201962">
          <w:marLeft w:val="640"/>
          <w:marRight w:val="0"/>
          <w:marTop w:val="0"/>
          <w:marBottom w:val="0"/>
          <w:divBdr>
            <w:top w:val="none" w:sz="0" w:space="0" w:color="auto"/>
            <w:left w:val="none" w:sz="0" w:space="0" w:color="auto"/>
            <w:bottom w:val="none" w:sz="0" w:space="0" w:color="auto"/>
            <w:right w:val="none" w:sz="0" w:space="0" w:color="auto"/>
          </w:divBdr>
        </w:div>
        <w:div w:id="892930376">
          <w:marLeft w:val="640"/>
          <w:marRight w:val="0"/>
          <w:marTop w:val="0"/>
          <w:marBottom w:val="0"/>
          <w:divBdr>
            <w:top w:val="none" w:sz="0" w:space="0" w:color="auto"/>
            <w:left w:val="none" w:sz="0" w:space="0" w:color="auto"/>
            <w:bottom w:val="none" w:sz="0" w:space="0" w:color="auto"/>
            <w:right w:val="none" w:sz="0" w:space="0" w:color="auto"/>
          </w:divBdr>
        </w:div>
      </w:divsChild>
    </w:div>
    <w:div w:id="635109546">
      <w:bodyDiv w:val="1"/>
      <w:marLeft w:val="0"/>
      <w:marRight w:val="0"/>
      <w:marTop w:val="0"/>
      <w:marBottom w:val="0"/>
      <w:divBdr>
        <w:top w:val="none" w:sz="0" w:space="0" w:color="auto"/>
        <w:left w:val="none" w:sz="0" w:space="0" w:color="auto"/>
        <w:bottom w:val="none" w:sz="0" w:space="0" w:color="auto"/>
        <w:right w:val="none" w:sz="0" w:space="0" w:color="auto"/>
      </w:divBdr>
    </w:div>
    <w:div w:id="656112385">
      <w:bodyDiv w:val="1"/>
      <w:marLeft w:val="0"/>
      <w:marRight w:val="0"/>
      <w:marTop w:val="0"/>
      <w:marBottom w:val="0"/>
      <w:divBdr>
        <w:top w:val="none" w:sz="0" w:space="0" w:color="auto"/>
        <w:left w:val="none" w:sz="0" w:space="0" w:color="auto"/>
        <w:bottom w:val="none" w:sz="0" w:space="0" w:color="auto"/>
        <w:right w:val="none" w:sz="0" w:space="0" w:color="auto"/>
      </w:divBdr>
    </w:div>
    <w:div w:id="718551688">
      <w:bodyDiv w:val="1"/>
      <w:marLeft w:val="0"/>
      <w:marRight w:val="0"/>
      <w:marTop w:val="0"/>
      <w:marBottom w:val="0"/>
      <w:divBdr>
        <w:top w:val="none" w:sz="0" w:space="0" w:color="auto"/>
        <w:left w:val="none" w:sz="0" w:space="0" w:color="auto"/>
        <w:bottom w:val="none" w:sz="0" w:space="0" w:color="auto"/>
        <w:right w:val="none" w:sz="0" w:space="0" w:color="auto"/>
      </w:divBdr>
      <w:divsChild>
        <w:div w:id="1069770480">
          <w:marLeft w:val="446"/>
          <w:marRight w:val="0"/>
          <w:marTop w:val="0"/>
          <w:marBottom w:val="0"/>
          <w:divBdr>
            <w:top w:val="none" w:sz="0" w:space="0" w:color="auto"/>
            <w:left w:val="none" w:sz="0" w:space="0" w:color="auto"/>
            <w:bottom w:val="none" w:sz="0" w:space="0" w:color="auto"/>
            <w:right w:val="none" w:sz="0" w:space="0" w:color="auto"/>
          </w:divBdr>
        </w:div>
        <w:div w:id="1820418533">
          <w:marLeft w:val="446"/>
          <w:marRight w:val="0"/>
          <w:marTop w:val="0"/>
          <w:marBottom w:val="0"/>
          <w:divBdr>
            <w:top w:val="none" w:sz="0" w:space="0" w:color="auto"/>
            <w:left w:val="none" w:sz="0" w:space="0" w:color="auto"/>
            <w:bottom w:val="none" w:sz="0" w:space="0" w:color="auto"/>
            <w:right w:val="none" w:sz="0" w:space="0" w:color="auto"/>
          </w:divBdr>
        </w:div>
      </w:divsChild>
    </w:div>
    <w:div w:id="724792092">
      <w:bodyDiv w:val="1"/>
      <w:marLeft w:val="0"/>
      <w:marRight w:val="0"/>
      <w:marTop w:val="0"/>
      <w:marBottom w:val="0"/>
      <w:divBdr>
        <w:top w:val="none" w:sz="0" w:space="0" w:color="auto"/>
        <w:left w:val="none" w:sz="0" w:space="0" w:color="auto"/>
        <w:bottom w:val="none" w:sz="0" w:space="0" w:color="auto"/>
        <w:right w:val="none" w:sz="0" w:space="0" w:color="auto"/>
      </w:divBdr>
      <w:divsChild>
        <w:div w:id="382221597">
          <w:marLeft w:val="0"/>
          <w:marRight w:val="0"/>
          <w:marTop w:val="0"/>
          <w:marBottom w:val="0"/>
          <w:divBdr>
            <w:top w:val="none" w:sz="0" w:space="0" w:color="auto"/>
            <w:left w:val="none" w:sz="0" w:space="0" w:color="auto"/>
            <w:bottom w:val="none" w:sz="0" w:space="0" w:color="auto"/>
            <w:right w:val="none" w:sz="0" w:space="0" w:color="auto"/>
          </w:divBdr>
          <w:divsChild>
            <w:div w:id="460391048">
              <w:marLeft w:val="0"/>
              <w:marRight w:val="0"/>
              <w:marTop w:val="0"/>
              <w:marBottom w:val="0"/>
              <w:divBdr>
                <w:top w:val="none" w:sz="0" w:space="0" w:color="auto"/>
                <w:left w:val="none" w:sz="0" w:space="0" w:color="auto"/>
                <w:bottom w:val="none" w:sz="0" w:space="0" w:color="auto"/>
                <w:right w:val="none" w:sz="0" w:space="0" w:color="auto"/>
              </w:divBdr>
              <w:divsChild>
                <w:div w:id="1162963492">
                  <w:marLeft w:val="0"/>
                  <w:marRight w:val="0"/>
                  <w:marTop w:val="0"/>
                  <w:marBottom w:val="0"/>
                  <w:divBdr>
                    <w:top w:val="none" w:sz="0" w:space="0" w:color="auto"/>
                    <w:left w:val="none" w:sz="0" w:space="0" w:color="auto"/>
                    <w:bottom w:val="none" w:sz="0" w:space="0" w:color="auto"/>
                    <w:right w:val="none" w:sz="0" w:space="0" w:color="auto"/>
                  </w:divBdr>
                  <w:divsChild>
                    <w:div w:id="69114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264413">
      <w:bodyDiv w:val="1"/>
      <w:marLeft w:val="0"/>
      <w:marRight w:val="0"/>
      <w:marTop w:val="0"/>
      <w:marBottom w:val="0"/>
      <w:divBdr>
        <w:top w:val="none" w:sz="0" w:space="0" w:color="auto"/>
        <w:left w:val="none" w:sz="0" w:space="0" w:color="auto"/>
        <w:bottom w:val="none" w:sz="0" w:space="0" w:color="auto"/>
        <w:right w:val="none" w:sz="0" w:space="0" w:color="auto"/>
      </w:divBdr>
    </w:div>
    <w:div w:id="739133010">
      <w:bodyDiv w:val="1"/>
      <w:marLeft w:val="0"/>
      <w:marRight w:val="0"/>
      <w:marTop w:val="0"/>
      <w:marBottom w:val="0"/>
      <w:divBdr>
        <w:top w:val="none" w:sz="0" w:space="0" w:color="auto"/>
        <w:left w:val="none" w:sz="0" w:space="0" w:color="auto"/>
        <w:bottom w:val="none" w:sz="0" w:space="0" w:color="auto"/>
        <w:right w:val="none" w:sz="0" w:space="0" w:color="auto"/>
      </w:divBdr>
    </w:div>
    <w:div w:id="743574388">
      <w:bodyDiv w:val="1"/>
      <w:marLeft w:val="0"/>
      <w:marRight w:val="0"/>
      <w:marTop w:val="0"/>
      <w:marBottom w:val="0"/>
      <w:divBdr>
        <w:top w:val="none" w:sz="0" w:space="0" w:color="auto"/>
        <w:left w:val="none" w:sz="0" w:space="0" w:color="auto"/>
        <w:bottom w:val="none" w:sz="0" w:space="0" w:color="auto"/>
        <w:right w:val="none" w:sz="0" w:space="0" w:color="auto"/>
      </w:divBdr>
    </w:div>
    <w:div w:id="748308905">
      <w:bodyDiv w:val="1"/>
      <w:marLeft w:val="0"/>
      <w:marRight w:val="0"/>
      <w:marTop w:val="0"/>
      <w:marBottom w:val="0"/>
      <w:divBdr>
        <w:top w:val="none" w:sz="0" w:space="0" w:color="auto"/>
        <w:left w:val="none" w:sz="0" w:space="0" w:color="auto"/>
        <w:bottom w:val="none" w:sz="0" w:space="0" w:color="auto"/>
        <w:right w:val="none" w:sz="0" w:space="0" w:color="auto"/>
      </w:divBdr>
      <w:divsChild>
        <w:div w:id="1653563560">
          <w:marLeft w:val="0"/>
          <w:marRight w:val="0"/>
          <w:marTop w:val="0"/>
          <w:marBottom w:val="0"/>
          <w:divBdr>
            <w:top w:val="none" w:sz="0" w:space="0" w:color="auto"/>
            <w:left w:val="none" w:sz="0" w:space="0" w:color="auto"/>
            <w:bottom w:val="none" w:sz="0" w:space="0" w:color="auto"/>
            <w:right w:val="none" w:sz="0" w:space="0" w:color="auto"/>
          </w:divBdr>
          <w:divsChild>
            <w:div w:id="1492797491">
              <w:marLeft w:val="0"/>
              <w:marRight w:val="0"/>
              <w:marTop w:val="0"/>
              <w:marBottom w:val="0"/>
              <w:divBdr>
                <w:top w:val="none" w:sz="0" w:space="0" w:color="auto"/>
                <w:left w:val="none" w:sz="0" w:space="0" w:color="auto"/>
                <w:bottom w:val="none" w:sz="0" w:space="0" w:color="auto"/>
                <w:right w:val="none" w:sz="0" w:space="0" w:color="auto"/>
              </w:divBdr>
              <w:divsChild>
                <w:div w:id="176294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394539">
      <w:bodyDiv w:val="1"/>
      <w:marLeft w:val="0"/>
      <w:marRight w:val="0"/>
      <w:marTop w:val="0"/>
      <w:marBottom w:val="0"/>
      <w:divBdr>
        <w:top w:val="none" w:sz="0" w:space="0" w:color="auto"/>
        <w:left w:val="none" w:sz="0" w:space="0" w:color="auto"/>
        <w:bottom w:val="none" w:sz="0" w:space="0" w:color="auto"/>
        <w:right w:val="none" w:sz="0" w:space="0" w:color="auto"/>
      </w:divBdr>
      <w:divsChild>
        <w:div w:id="1255557373">
          <w:marLeft w:val="0"/>
          <w:marRight w:val="0"/>
          <w:marTop w:val="0"/>
          <w:marBottom w:val="0"/>
          <w:divBdr>
            <w:top w:val="none" w:sz="0" w:space="0" w:color="auto"/>
            <w:left w:val="none" w:sz="0" w:space="0" w:color="auto"/>
            <w:bottom w:val="none" w:sz="0" w:space="0" w:color="auto"/>
            <w:right w:val="none" w:sz="0" w:space="0" w:color="auto"/>
          </w:divBdr>
          <w:divsChild>
            <w:div w:id="1802577951">
              <w:marLeft w:val="0"/>
              <w:marRight w:val="0"/>
              <w:marTop w:val="0"/>
              <w:marBottom w:val="0"/>
              <w:divBdr>
                <w:top w:val="none" w:sz="0" w:space="0" w:color="auto"/>
                <w:left w:val="none" w:sz="0" w:space="0" w:color="auto"/>
                <w:bottom w:val="none" w:sz="0" w:space="0" w:color="auto"/>
                <w:right w:val="none" w:sz="0" w:space="0" w:color="auto"/>
              </w:divBdr>
              <w:divsChild>
                <w:div w:id="2749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765620">
      <w:bodyDiv w:val="1"/>
      <w:marLeft w:val="0"/>
      <w:marRight w:val="0"/>
      <w:marTop w:val="0"/>
      <w:marBottom w:val="0"/>
      <w:divBdr>
        <w:top w:val="none" w:sz="0" w:space="0" w:color="auto"/>
        <w:left w:val="none" w:sz="0" w:space="0" w:color="auto"/>
        <w:bottom w:val="none" w:sz="0" w:space="0" w:color="auto"/>
        <w:right w:val="none" w:sz="0" w:space="0" w:color="auto"/>
      </w:divBdr>
    </w:div>
    <w:div w:id="764114633">
      <w:bodyDiv w:val="1"/>
      <w:marLeft w:val="0"/>
      <w:marRight w:val="0"/>
      <w:marTop w:val="0"/>
      <w:marBottom w:val="0"/>
      <w:divBdr>
        <w:top w:val="none" w:sz="0" w:space="0" w:color="auto"/>
        <w:left w:val="none" w:sz="0" w:space="0" w:color="auto"/>
        <w:bottom w:val="none" w:sz="0" w:space="0" w:color="auto"/>
        <w:right w:val="none" w:sz="0" w:space="0" w:color="auto"/>
      </w:divBdr>
      <w:divsChild>
        <w:div w:id="1764452221">
          <w:marLeft w:val="446"/>
          <w:marRight w:val="0"/>
          <w:marTop w:val="0"/>
          <w:marBottom w:val="0"/>
          <w:divBdr>
            <w:top w:val="none" w:sz="0" w:space="0" w:color="auto"/>
            <w:left w:val="none" w:sz="0" w:space="0" w:color="auto"/>
            <w:bottom w:val="none" w:sz="0" w:space="0" w:color="auto"/>
            <w:right w:val="none" w:sz="0" w:space="0" w:color="auto"/>
          </w:divBdr>
        </w:div>
        <w:div w:id="1297643743">
          <w:marLeft w:val="446"/>
          <w:marRight w:val="0"/>
          <w:marTop w:val="0"/>
          <w:marBottom w:val="0"/>
          <w:divBdr>
            <w:top w:val="none" w:sz="0" w:space="0" w:color="auto"/>
            <w:left w:val="none" w:sz="0" w:space="0" w:color="auto"/>
            <w:bottom w:val="none" w:sz="0" w:space="0" w:color="auto"/>
            <w:right w:val="none" w:sz="0" w:space="0" w:color="auto"/>
          </w:divBdr>
        </w:div>
        <w:div w:id="2093501067">
          <w:marLeft w:val="446"/>
          <w:marRight w:val="0"/>
          <w:marTop w:val="0"/>
          <w:marBottom w:val="0"/>
          <w:divBdr>
            <w:top w:val="none" w:sz="0" w:space="0" w:color="auto"/>
            <w:left w:val="none" w:sz="0" w:space="0" w:color="auto"/>
            <w:bottom w:val="none" w:sz="0" w:space="0" w:color="auto"/>
            <w:right w:val="none" w:sz="0" w:space="0" w:color="auto"/>
          </w:divBdr>
        </w:div>
        <w:div w:id="1666542938">
          <w:marLeft w:val="446"/>
          <w:marRight w:val="0"/>
          <w:marTop w:val="0"/>
          <w:marBottom w:val="0"/>
          <w:divBdr>
            <w:top w:val="none" w:sz="0" w:space="0" w:color="auto"/>
            <w:left w:val="none" w:sz="0" w:space="0" w:color="auto"/>
            <w:bottom w:val="none" w:sz="0" w:space="0" w:color="auto"/>
            <w:right w:val="none" w:sz="0" w:space="0" w:color="auto"/>
          </w:divBdr>
        </w:div>
      </w:divsChild>
    </w:div>
    <w:div w:id="773676453">
      <w:bodyDiv w:val="1"/>
      <w:marLeft w:val="0"/>
      <w:marRight w:val="0"/>
      <w:marTop w:val="0"/>
      <w:marBottom w:val="0"/>
      <w:divBdr>
        <w:top w:val="none" w:sz="0" w:space="0" w:color="auto"/>
        <w:left w:val="none" w:sz="0" w:space="0" w:color="auto"/>
        <w:bottom w:val="none" w:sz="0" w:space="0" w:color="auto"/>
        <w:right w:val="none" w:sz="0" w:space="0" w:color="auto"/>
      </w:divBdr>
    </w:div>
    <w:div w:id="782261835">
      <w:bodyDiv w:val="1"/>
      <w:marLeft w:val="0"/>
      <w:marRight w:val="0"/>
      <w:marTop w:val="0"/>
      <w:marBottom w:val="0"/>
      <w:divBdr>
        <w:top w:val="none" w:sz="0" w:space="0" w:color="auto"/>
        <w:left w:val="none" w:sz="0" w:space="0" w:color="auto"/>
        <w:bottom w:val="none" w:sz="0" w:space="0" w:color="auto"/>
        <w:right w:val="none" w:sz="0" w:space="0" w:color="auto"/>
      </w:divBdr>
    </w:div>
    <w:div w:id="784497859">
      <w:bodyDiv w:val="1"/>
      <w:marLeft w:val="0"/>
      <w:marRight w:val="0"/>
      <w:marTop w:val="0"/>
      <w:marBottom w:val="0"/>
      <w:divBdr>
        <w:top w:val="none" w:sz="0" w:space="0" w:color="auto"/>
        <w:left w:val="none" w:sz="0" w:space="0" w:color="auto"/>
        <w:bottom w:val="none" w:sz="0" w:space="0" w:color="auto"/>
        <w:right w:val="none" w:sz="0" w:space="0" w:color="auto"/>
      </w:divBdr>
    </w:div>
    <w:div w:id="799614408">
      <w:bodyDiv w:val="1"/>
      <w:marLeft w:val="0"/>
      <w:marRight w:val="0"/>
      <w:marTop w:val="0"/>
      <w:marBottom w:val="0"/>
      <w:divBdr>
        <w:top w:val="none" w:sz="0" w:space="0" w:color="auto"/>
        <w:left w:val="none" w:sz="0" w:space="0" w:color="auto"/>
        <w:bottom w:val="none" w:sz="0" w:space="0" w:color="auto"/>
        <w:right w:val="none" w:sz="0" w:space="0" w:color="auto"/>
      </w:divBdr>
    </w:div>
    <w:div w:id="802886666">
      <w:bodyDiv w:val="1"/>
      <w:marLeft w:val="0"/>
      <w:marRight w:val="0"/>
      <w:marTop w:val="0"/>
      <w:marBottom w:val="0"/>
      <w:divBdr>
        <w:top w:val="none" w:sz="0" w:space="0" w:color="auto"/>
        <w:left w:val="none" w:sz="0" w:space="0" w:color="auto"/>
        <w:bottom w:val="none" w:sz="0" w:space="0" w:color="auto"/>
        <w:right w:val="none" w:sz="0" w:space="0" w:color="auto"/>
      </w:divBdr>
      <w:divsChild>
        <w:div w:id="2014183731">
          <w:marLeft w:val="446"/>
          <w:marRight w:val="0"/>
          <w:marTop w:val="0"/>
          <w:marBottom w:val="0"/>
          <w:divBdr>
            <w:top w:val="none" w:sz="0" w:space="0" w:color="auto"/>
            <w:left w:val="none" w:sz="0" w:space="0" w:color="auto"/>
            <w:bottom w:val="none" w:sz="0" w:space="0" w:color="auto"/>
            <w:right w:val="none" w:sz="0" w:space="0" w:color="auto"/>
          </w:divBdr>
        </w:div>
        <w:div w:id="820930001">
          <w:marLeft w:val="446"/>
          <w:marRight w:val="0"/>
          <w:marTop w:val="0"/>
          <w:marBottom w:val="0"/>
          <w:divBdr>
            <w:top w:val="none" w:sz="0" w:space="0" w:color="auto"/>
            <w:left w:val="none" w:sz="0" w:space="0" w:color="auto"/>
            <w:bottom w:val="none" w:sz="0" w:space="0" w:color="auto"/>
            <w:right w:val="none" w:sz="0" w:space="0" w:color="auto"/>
          </w:divBdr>
        </w:div>
        <w:div w:id="105740094">
          <w:marLeft w:val="446"/>
          <w:marRight w:val="0"/>
          <w:marTop w:val="0"/>
          <w:marBottom w:val="0"/>
          <w:divBdr>
            <w:top w:val="none" w:sz="0" w:space="0" w:color="auto"/>
            <w:left w:val="none" w:sz="0" w:space="0" w:color="auto"/>
            <w:bottom w:val="none" w:sz="0" w:space="0" w:color="auto"/>
            <w:right w:val="none" w:sz="0" w:space="0" w:color="auto"/>
          </w:divBdr>
        </w:div>
        <w:div w:id="1392851466">
          <w:marLeft w:val="446"/>
          <w:marRight w:val="0"/>
          <w:marTop w:val="0"/>
          <w:marBottom w:val="0"/>
          <w:divBdr>
            <w:top w:val="none" w:sz="0" w:space="0" w:color="auto"/>
            <w:left w:val="none" w:sz="0" w:space="0" w:color="auto"/>
            <w:bottom w:val="none" w:sz="0" w:space="0" w:color="auto"/>
            <w:right w:val="none" w:sz="0" w:space="0" w:color="auto"/>
          </w:divBdr>
        </w:div>
      </w:divsChild>
    </w:div>
    <w:div w:id="809706773">
      <w:bodyDiv w:val="1"/>
      <w:marLeft w:val="0"/>
      <w:marRight w:val="0"/>
      <w:marTop w:val="0"/>
      <w:marBottom w:val="0"/>
      <w:divBdr>
        <w:top w:val="none" w:sz="0" w:space="0" w:color="auto"/>
        <w:left w:val="none" w:sz="0" w:space="0" w:color="auto"/>
        <w:bottom w:val="none" w:sz="0" w:space="0" w:color="auto"/>
        <w:right w:val="none" w:sz="0" w:space="0" w:color="auto"/>
      </w:divBdr>
      <w:divsChild>
        <w:div w:id="1106584580">
          <w:marLeft w:val="0"/>
          <w:marRight w:val="0"/>
          <w:marTop w:val="0"/>
          <w:marBottom w:val="0"/>
          <w:divBdr>
            <w:top w:val="none" w:sz="0" w:space="0" w:color="auto"/>
            <w:left w:val="none" w:sz="0" w:space="0" w:color="auto"/>
            <w:bottom w:val="none" w:sz="0" w:space="0" w:color="auto"/>
            <w:right w:val="none" w:sz="0" w:space="0" w:color="auto"/>
          </w:divBdr>
          <w:divsChild>
            <w:div w:id="926764149">
              <w:marLeft w:val="0"/>
              <w:marRight w:val="0"/>
              <w:marTop w:val="0"/>
              <w:marBottom w:val="0"/>
              <w:divBdr>
                <w:top w:val="none" w:sz="0" w:space="0" w:color="auto"/>
                <w:left w:val="none" w:sz="0" w:space="0" w:color="auto"/>
                <w:bottom w:val="none" w:sz="0" w:space="0" w:color="auto"/>
                <w:right w:val="none" w:sz="0" w:space="0" w:color="auto"/>
              </w:divBdr>
              <w:divsChild>
                <w:div w:id="2275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213327">
      <w:bodyDiv w:val="1"/>
      <w:marLeft w:val="0"/>
      <w:marRight w:val="0"/>
      <w:marTop w:val="0"/>
      <w:marBottom w:val="0"/>
      <w:divBdr>
        <w:top w:val="none" w:sz="0" w:space="0" w:color="auto"/>
        <w:left w:val="none" w:sz="0" w:space="0" w:color="auto"/>
        <w:bottom w:val="none" w:sz="0" w:space="0" w:color="auto"/>
        <w:right w:val="none" w:sz="0" w:space="0" w:color="auto"/>
      </w:divBdr>
    </w:div>
    <w:div w:id="830372990">
      <w:bodyDiv w:val="1"/>
      <w:marLeft w:val="0"/>
      <w:marRight w:val="0"/>
      <w:marTop w:val="0"/>
      <w:marBottom w:val="0"/>
      <w:divBdr>
        <w:top w:val="none" w:sz="0" w:space="0" w:color="auto"/>
        <w:left w:val="none" w:sz="0" w:space="0" w:color="auto"/>
        <w:bottom w:val="none" w:sz="0" w:space="0" w:color="auto"/>
        <w:right w:val="none" w:sz="0" w:space="0" w:color="auto"/>
      </w:divBdr>
    </w:div>
    <w:div w:id="842206314">
      <w:bodyDiv w:val="1"/>
      <w:marLeft w:val="0"/>
      <w:marRight w:val="0"/>
      <w:marTop w:val="0"/>
      <w:marBottom w:val="0"/>
      <w:divBdr>
        <w:top w:val="none" w:sz="0" w:space="0" w:color="auto"/>
        <w:left w:val="none" w:sz="0" w:space="0" w:color="auto"/>
        <w:bottom w:val="none" w:sz="0" w:space="0" w:color="auto"/>
        <w:right w:val="none" w:sz="0" w:space="0" w:color="auto"/>
      </w:divBdr>
    </w:div>
    <w:div w:id="843936194">
      <w:bodyDiv w:val="1"/>
      <w:marLeft w:val="0"/>
      <w:marRight w:val="0"/>
      <w:marTop w:val="0"/>
      <w:marBottom w:val="0"/>
      <w:divBdr>
        <w:top w:val="none" w:sz="0" w:space="0" w:color="auto"/>
        <w:left w:val="none" w:sz="0" w:space="0" w:color="auto"/>
        <w:bottom w:val="none" w:sz="0" w:space="0" w:color="auto"/>
        <w:right w:val="none" w:sz="0" w:space="0" w:color="auto"/>
      </w:divBdr>
    </w:div>
    <w:div w:id="865875746">
      <w:bodyDiv w:val="1"/>
      <w:marLeft w:val="0"/>
      <w:marRight w:val="0"/>
      <w:marTop w:val="0"/>
      <w:marBottom w:val="0"/>
      <w:divBdr>
        <w:top w:val="none" w:sz="0" w:space="0" w:color="auto"/>
        <w:left w:val="none" w:sz="0" w:space="0" w:color="auto"/>
        <w:bottom w:val="none" w:sz="0" w:space="0" w:color="auto"/>
        <w:right w:val="none" w:sz="0" w:space="0" w:color="auto"/>
      </w:divBdr>
    </w:div>
    <w:div w:id="866214591">
      <w:bodyDiv w:val="1"/>
      <w:marLeft w:val="0"/>
      <w:marRight w:val="0"/>
      <w:marTop w:val="0"/>
      <w:marBottom w:val="0"/>
      <w:divBdr>
        <w:top w:val="none" w:sz="0" w:space="0" w:color="auto"/>
        <w:left w:val="none" w:sz="0" w:space="0" w:color="auto"/>
        <w:bottom w:val="none" w:sz="0" w:space="0" w:color="auto"/>
        <w:right w:val="none" w:sz="0" w:space="0" w:color="auto"/>
      </w:divBdr>
      <w:divsChild>
        <w:div w:id="269975175">
          <w:marLeft w:val="0"/>
          <w:marRight w:val="0"/>
          <w:marTop w:val="0"/>
          <w:marBottom w:val="0"/>
          <w:divBdr>
            <w:top w:val="none" w:sz="0" w:space="0" w:color="auto"/>
            <w:left w:val="none" w:sz="0" w:space="0" w:color="auto"/>
            <w:bottom w:val="none" w:sz="0" w:space="0" w:color="auto"/>
            <w:right w:val="none" w:sz="0" w:space="0" w:color="auto"/>
          </w:divBdr>
          <w:divsChild>
            <w:div w:id="1245803312">
              <w:marLeft w:val="0"/>
              <w:marRight w:val="0"/>
              <w:marTop w:val="0"/>
              <w:marBottom w:val="0"/>
              <w:divBdr>
                <w:top w:val="none" w:sz="0" w:space="0" w:color="auto"/>
                <w:left w:val="none" w:sz="0" w:space="0" w:color="auto"/>
                <w:bottom w:val="none" w:sz="0" w:space="0" w:color="auto"/>
                <w:right w:val="none" w:sz="0" w:space="0" w:color="auto"/>
              </w:divBdr>
              <w:divsChild>
                <w:div w:id="7249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868418">
      <w:bodyDiv w:val="1"/>
      <w:marLeft w:val="0"/>
      <w:marRight w:val="0"/>
      <w:marTop w:val="0"/>
      <w:marBottom w:val="0"/>
      <w:divBdr>
        <w:top w:val="none" w:sz="0" w:space="0" w:color="auto"/>
        <w:left w:val="none" w:sz="0" w:space="0" w:color="auto"/>
        <w:bottom w:val="none" w:sz="0" w:space="0" w:color="auto"/>
        <w:right w:val="none" w:sz="0" w:space="0" w:color="auto"/>
      </w:divBdr>
    </w:div>
    <w:div w:id="925647898">
      <w:bodyDiv w:val="1"/>
      <w:marLeft w:val="0"/>
      <w:marRight w:val="0"/>
      <w:marTop w:val="0"/>
      <w:marBottom w:val="0"/>
      <w:divBdr>
        <w:top w:val="none" w:sz="0" w:space="0" w:color="auto"/>
        <w:left w:val="none" w:sz="0" w:space="0" w:color="auto"/>
        <w:bottom w:val="none" w:sz="0" w:space="0" w:color="auto"/>
        <w:right w:val="none" w:sz="0" w:space="0" w:color="auto"/>
      </w:divBdr>
    </w:div>
    <w:div w:id="937836425">
      <w:bodyDiv w:val="1"/>
      <w:marLeft w:val="0"/>
      <w:marRight w:val="0"/>
      <w:marTop w:val="0"/>
      <w:marBottom w:val="0"/>
      <w:divBdr>
        <w:top w:val="none" w:sz="0" w:space="0" w:color="auto"/>
        <w:left w:val="none" w:sz="0" w:space="0" w:color="auto"/>
        <w:bottom w:val="none" w:sz="0" w:space="0" w:color="auto"/>
        <w:right w:val="none" w:sz="0" w:space="0" w:color="auto"/>
      </w:divBdr>
    </w:div>
    <w:div w:id="956524258">
      <w:bodyDiv w:val="1"/>
      <w:marLeft w:val="0"/>
      <w:marRight w:val="0"/>
      <w:marTop w:val="0"/>
      <w:marBottom w:val="0"/>
      <w:divBdr>
        <w:top w:val="none" w:sz="0" w:space="0" w:color="auto"/>
        <w:left w:val="none" w:sz="0" w:space="0" w:color="auto"/>
        <w:bottom w:val="none" w:sz="0" w:space="0" w:color="auto"/>
        <w:right w:val="none" w:sz="0" w:space="0" w:color="auto"/>
      </w:divBdr>
    </w:div>
    <w:div w:id="961888665">
      <w:bodyDiv w:val="1"/>
      <w:marLeft w:val="0"/>
      <w:marRight w:val="0"/>
      <w:marTop w:val="0"/>
      <w:marBottom w:val="0"/>
      <w:divBdr>
        <w:top w:val="none" w:sz="0" w:space="0" w:color="auto"/>
        <w:left w:val="none" w:sz="0" w:space="0" w:color="auto"/>
        <w:bottom w:val="none" w:sz="0" w:space="0" w:color="auto"/>
        <w:right w:val="none" w:sz="0" w:space="0" w:color="auto"/>
      </w:divBdr>
      <w:divsChild>
        <w:div w:id="214781051">
          <w:marLeft w:val="0"/>
          <w:marRight w:val="0"/>
          <w:marTop w:val="0"/>
          <w:marBottom w:val="0"/>
          <w:divBdr>
            <w:top w:val="none" w:sz="0" w:space="0" w:color="auto"/>
            <w:left w:val="none" w:sz="0" w:space="0" w:color="auto"/>
            <w:bottom w:val="none" w:sz="0" w:space="0" w:color="auto"/>
            <w:right w:val="none" w:sz="0" w:space="0" w:color="auto"/>
          </w:divBdr>
        </w:div>
        <w:div w:id="434205938">
          <w:marLeft w:val="0"/>
          <w:marRight w:val="0"/>
          <w:marTop w:val="0"/>
          <w:marBottom w:val="0"/>
          <w:divBdr>
            <w:top w:val="none" w:sz="0" w:space="0" w:color="auto"/>
            <w:left w:val="none" w:sz="0" w:space="0" w:color="auto"/>
            <w:bottom w:val="none" w:sz="0" w:space="0" w:color="auto"/>
            <w:right w:val="none" w:sz="0" w:space="0" w:color="auto"/>
          </w:divBdr>
        </w:div>
        <w:div w:id="76631819">
          <w:marLeft w:val="0"/>
          <w:marRight w:val="0"/>
          <w:marTop w:val="0"/>
          <w:marBottom w:val="0"/>
          <w:divBdr>
            <w:top w:val="none" w:sz="0" w:space="0" w:color="auto"/>
            <w:left w:val="none" w:sz="0" w:space="0" w:color="auto"/>
            <w:bottom w:val="none" w:sz="0" w:space="0" w:color="auto"/>
            <w:right w:val="none" w:sz="0" w:space="0" w:color="auto"/>
          </w:divBdr>
        </w:div>
        <w:div w:id="2005165570">
          <w:marLeft w:val="0"/>
          <w:marRight w:val="0"/>
          <w:marTop w:val="0"/>
          <w:marBottom w:val="0"/>
          <w:divBdr>
            <w:top w:val="none" w:sz="0" w:space="0" w:color="auto"/>
            <w:left w:val="none" w:sz="0" w:space="0" w:color="auto"/>
            <w:bottom w:val="none" w:sz="0" w:space="0" w:color="auto"/>
            <w:right w:val="none" w:sz="0" w:space="0" w:color="auto"/>
          </w:divBdr>
        </w:div>
        <w:div w:id="1856571243">
          <w:marLeft w:val="0"/>
          <w:marRight w:val="0"/>
          <w:marTop w:val="0"/>
          <w:marBottom w:val="0"/>
          <w:divBdr>
            <w:top w:val="none" w:sz="0" w:space="0" w:color="auto"/>
            <w:left w:val="none" w:sz="0" w:space="0" w:color="auto"/>
            <w:bottom w:val="none" w:sz="0" w:space="0" w:color="auto"/>
            <w:right w:val="none" w:sz="0" w:space="0" w:color="auto"/>
          </w:divBdr>
        </w:div>
        <w:div w:id="499469578">
          <w:marLeft w:val="0"/>
          <w:marRight w:val="0"/>
          <w:marTop w:val="0"/>
          <w:marBottom w:val="0"/>
          <w:divBdr>
            <w:top w:val="none" w:sz="0" w:space="0" w:color="auto"/>
            <w:left w:val="none" w:sz="0" w:space="0" w:color="auto"/>
            <w:bottom w:val="none" w:sz="0" w:space="0" w:color="auto"/>
            <w:right w:val="none" w:sz="0" w:space="0" w:color="auto"/>
          </w:divBdr>
        </w:div>
        <w:div w:id="564876854">
          <w:marLeft w:val="0"/>
          <w:marRight w:val="0"/>
          <w:marTop w:val="0"/>
          <w:marBottom w:val="0"/>
          <w:divBdr>
            <w:top w:val="none" w:sz="0" w:space="0" w:color="auto"/>
            <w:left w:val="none" w:sz="0" w:space="0" w:color="auto"/>
            <w:bottom w:val="none" w:sz="0" w:space="0" w:color="auto"/>
            <w:right w:val="none" w:sz="0" w:space="0" w:color="auto"/>
          </w:divBdr>
        </w:div>
        <w:div w:id="31156404">
          <w:marLeft w:val="0"/>
          <w:marRight w:val="0"/>
          <w:marTop w:val="0"/>
          <w:marBottom w:val="0"/>
          <w:divBdr>
            <w:top w:val="none" w:sz="0" w:space="0" w:color="auto"/>
            <w:left w:val="none" w:sz="0" w:space="0" w:color="auto"/>
            <w:bottom w:val="none" w:sz="0" w:space="0" w:color="auto"/>
            <w:right w:val="none" w:sz="0" w:space="0" w:color="auto"/>
          </w:divBdr>
        </w:div>
        <w:div w:id="1444350161">
          <w:marLeft w:val="0"/>
          <w:marRight w:val="0"/>
          <w:marTop w:val="0"/>
          <w:marBottom w:val="0"/>
          <w:divBdr>
            <w:top w:val="none" w:sz="0" w:space="0" w:color="auto"/>
            <w:left w:val="none" w:sz="0" w:space="0" w:color="auto"/>
            <w:bottom w:val="none" w:sz="0" w:space="0" w:color="auto"/>
            <w:right w:val="none" w:sz="0" w:space="0" w:color="auto"/>
          </w:divBdr>
        </w:div>
        <w:div w:id="883980692">
          <w:marLeft w:val="0"/>
          <w:marRight w:val="0"/>
          <w:marTop w:val="0"/>
          <w:marBottom w:val="0"/>
          <w:divBdr>
            <w:top w:val="none" w:sz="0" w:space="0" w:color="auto"/>
            <w:left w:val="none" w:sz="0" w:space="0" w:color="auto"/>
            <w:bottom w:val="none" w:sz="0" w:space="0" w:color="auto"/>
            <w:right w:val="none" w:sz="0" w:space="0" w:color="auto"/>
          </w:divBdr>
        </w:div>
        <w:div w:id="1113523131">
          <w:marLeft w:val="0"/>
          <w:marRight w:val="0"/>
          <w:marTop w:val="0"/>
          <w:marBottom w:val="0"/>
          <w:divBdr>
            <w:top w:val="none" w:sz="0" w:space="0" w:color="auto"/>
            <w:left w:val="none" w:sz="0" w:space="0" w:color="auto"/>
            <w:bottom w:val="none" w:sz="0" w:space="0" w:color="auto"/>
            <w:right w:val="none" w:sz="0" w:space="0" w:color="auto"/>
          </w:divBdr>
        </w:div>
        <w:div w:id="437483816">
          <w:marLeft w:val="0"/>
          <w:marRight w:val="0"/>
          <w:marTop w:val="0"/>
          <w:marBottom w:val="0"/>
          <w:divBdr>
            <w:top w:val="none" w:sz="0" w:space="0" w:color="auto"/>
            <w:left w:val="none" w:sz="0" w:space="0" w:color="auto"/>
            <w:bottom w:val="none" w:sz="0" w:space="0" w:color="auto"/>
            <w:right w:val="none" w:sz="0" w:space="0" w:color="auto"/>
          </w:divBdr>
        </w:div>
        <w:div w:id="772357060">
          <w:marLeft w:val="0"/>
          <w:marRight w:val="0"/>
          <w:marTop w:val="0"/>
          <w:marBottom w:val="0"/>
          <w:divBdr>
            <w:top w:val="none" w:sz="0" w:space="0" w:color="auto"/>
            <w:left w:val="none" w:sz="0" w:space="0" w:color="auto"/>
            <w:bottom w:val="none" w:sz="0" w:space="0" w:color="auto"/>
            <w:right w:val="none" w:sz="0" w:space="0" w:color="auto"/>
          </w:divBdr>
        </w:div>
        <w:div w:id="1758554183">
          <w:marLeft w:val="0"/>
          <w:marRight w:val="0"/>
          <w:marTop w:val="0"/>
          <w:marBottom w:val="0"/>
          <w:divBdr>
            <w:top w:val="none" w:sz="0" w:space="0" w:color="auto"/>
            <w:left w:val="none" w:sz="0" w:space="0" w:color="auto"/>
            <w:bottom w:val="none" w:sz="0" w:space="0" w:color="auto"/>
            <w:right w:val="none" w:sz="0" w:space="0" w:color="auto"/>
          </w:divBdr>
        </w:div>
        <w:div w:id="270089061">
          <w:marLeft w:val="0"/>
          <w:marRight w:val="0"/>
          <w:marTop w:val="0"/>
          <w:marBottom w:val="0"/>
          <w:divBdr>
            <w:top w:val="none" w:sz="0" w:space="0" w:color="auto"/>
            <w:left w:val="none" w:sz="0" w:space="0" w:color="auto"/>
            <w:bottom w:val="none" w:sz="0" w:space="0" w:color="auto"/>
            <w:right w:val="none" w:sz="0" w:space="0" w:color="auto"/>
          </w:divBdr>
        </w:div>
      </w:divsChild>
    </w:div>
    <w:div w:id="977149850">
      <w:bodyDiv w:val="1"/>
      <w:marLeft w:val="0"/>
      <w:marRight w:val="0"/>
      <w:marTop w:val="0"/>
      <w:marBottom w:val="0"/>
      <w:divBdr>
        <w:top w:val="none" w:sz="0" w:space="0" w:color="auto"/>
        <w:left w:val="none" w:sz="0" w:space="0" w:color="auto"/>
        <w:bottom w:val="none" w:sz="0" w:space="0" w:color="auto"/>
        <w:right w:val="none" w:sz="0" w:space="0" w:color="auto"/>
      </w:divBdr>
      <w:divsChild>
        <w:div w:id="437726313">
          <w:marLeft w:val="0"/>
          <w:marRight w:val="0"/>
          <w:marTop w:val="0"/>
          <w:marBottom w:val="0"/>
          <w:divBdr>
            <w:top w:val="none" w:sz="0" w:space="0" w:color="auto"/>
            <w:left w:val="none" w:sz="0" w:space="0" w:color="auto"/>
            <w:bottom w:val="none" w:sz="0" w:space="0" w:color="auto"/>
            <w:right w:val="none" w:sz="0" w:space="0" w:color="auto"/>
          </w:divBdr>
          <w:divsChild>
            <w:div w:id="1251739349">
              <w:marLeft w:val="0"/>
              <w:marRight w:val="0"/>
              <w:marTop w:val="0"/>
              <w:marBottom w:val="0"/>
              <w:divBdr>
                <w:top w:val="none" w:sz="0" w:space="0" w:color="auto"/>
                <w:left w:val="none" w:sz="0" w:space="0" w:color="auto"/>
                <w:bottom w:val="none" w:sz="0" w:space="0" w:color="auto"/>
                <w:right w:val="none" w:sz="0" w:space="0" w:color="auto"/>
              </w:divBdr>
              <w:divsChild>
                <w:div w:id="12265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70651">
      <w:bodyDiv w:val="1"/>
      <w:marLeft w:val="0"/>
      <w:marRight w:val="0"/>
      <w:marTop w:val="0"/>
      <w:marBottom w:val="0"/>
      <w:divBdr>
        <w:top w:val="none" w:sz="0" w:space="0" w:color="auto"/>
        <w:left w:val="none" w:sz="0" w:space="0" w:color="auto"/>
        <w:bottom w:val="none" w:sz="0" w:space="0" w:color="auto"/>
        <w:right w:val="none" w:sz="0" w:space="0" w:color="auto"/>
      </w:divBdr>
    </w:div>
    <w:div w:id="990912397">
      <w:bodyDiv w:val="1"/>
      <w:marLeft w:val="0"/>
      <w:marRight w:val="0"/>
      <w:marTop w:val="0"/>
      <w:marBottom w:val="0"/>
      <w:divBdr>
        <w:top w:val="none" w:sz="0" w:space="0" w:color="auto"/>
        <w:left w:val="none" w:sz="0" w:space="0" w:color="auto"/>
        <w:bottom w:val="none" w:sz="0" w:space="0" w:color="auto"/>
        <w:right w:val="none" w:sz="0" w:space="0" w:color="auto"/>
      </w:divBdr>
    </w:div>
    <w:div w:id="994531947">
      <w:bodyDiv w:val="1"/>
      <w:marLeft w:val="0"/>
      <w:marRight w:val="0"/>
      <w:marTop w:val="0"/>
      <w:marBottom w:val="0"/>
      <w:divBdr>
        <w:top w:val="none" w:sz="0" w:space="0" w:color="auto"/>
        <w:left w:val="none" w:sz="0" w:space="0" w:color="auto"/>
        <w:bottom w:val="none" w:sz="0" w:space="0" w:color="auto"/>
        <w:right w:val="none" w:sz="0" w:space="0" w:color="auto"/>
      </w:divBdr>
    </w:div>
    <w:div w:id="998578429">
      <w:bodyDiv w:val="1"/>
      <w:marLeft w:val="0"/>
      <w:marRight w:val="0"/>
      <w:marTop w:val="0"/>
      <w:marBottom w:val="0"/>
      <w:divBdr>
        <w:top w:val="none" w:sz="0" w:space="0" w:color="auto"/>
        <w:left w:val="none" w:sz="0" w:space="0" w:color="auto"/>
        <w:bottom w:val="none" w:sz="0" w:space="0" w:color="auto"/>
        <w:right w:val="none" w:sz="0" w:space="0" w:color="auto"/>
      </w:divBdr>
    </w:div>
    <w:div w:id="1010182367">
      <w:bodyDiv w:val="1"/>
      <w:marLeft w:val="0"/>
      <w:marRight w:val="0"/>
      <w:marTop w:val="0"/>
      <w:marBottom w:val="0"/>
      <w:divBdr>
        <w:top w:val="none" w:sz="0" w:space="0" w:color="auto"/>
        <w:left w:val="none" w:sz="0" w:space="0" w:color="auto"/>
        <w:bottom w:val="none" w:sz="0" w:space="0" w:color="auto"/>
        <w:right w:val="none" w:sz="0" w:space="0" w:color="auto"/>
      </w:divBdr>
    </w:div>
    <w:div w:id="1022825592">
      <w:bodyDiv w:val="1"/>
      <w:marLeft w:val="0"/>
      <w:marRight w:val="0"/>
      <w:marTop w:val="0"/>
      <w:marBottom w:val="0"/>
      <w:divBdr>
        <w:top w:val="none" w:sz="0" w:space="0" w:color="auto"/>
        <w:left w:val="none" w:sz="0" w:space="0" w:color="auto"/>
        <w:bottom w:val="none" w:sz="0" w:space="0" w:color="auto"/>
        <w:right w:val="none" w:sz="0" w:space="0" w:color="auto"/>
      </w:divBdr>
      <w:divsChild>
        <w:div w:id="1387800143">
          <w:marLeft w:val="446"/>
          <w:marRight w:val="0"/>
          <w:marTop w:val="0"/>
          <w:marBottom w:val="0"/>
          <w:divBdr>
            <w:top w:val="none" w:sz="0" w:space="0" w:color="auto"/>
            <w:left w:val="none" w:sz="0" w:space="0" w:color="auto"/>
            <w:bottom w:val="none" w:sz="0" w:space="0" w:color="auto"/>
            <w:right w:val="none" w:sz="0" w:space="0" w:color="auto"/>
          </w:divBdr>
        </w:div>
      </w:divsChild>
    </w:div>
    <w:div w:id="1030450029">
      <w:bodyDiv w:val="1"/>
      <w:marLeft w:val="0"/>
      <w:marRight w:val="0"/>
      <w:marTop w:val="0"/>
      <w:marBottom w:val="0"/>
      <w:divBdr>
        <w:top w:val="none" w:sz="0" w:space="0" w:color="auto"/>
        <w:left w:val="none" w:sz="0" w:space="0" w:color="auto"/>
        <w:bottom w:val="none" w:sz="0" w:space="0" w:color="auto"/>
        <w:right w:val="none" w:sz="0" w:space="0" w:color="auto"/>
      </w:divBdr>
    </w:div>
    <w:div w:id="1033504218">
      <w:bodyDiv w:val="1"/>
      <w:marLeft w:val="0"/>
      <w:marRight w:val="0"/>
      <w:marTop w:val="0"/>
      <w:marBottom w:val="0"/>
      <w:divBdr>
        <w:top w:val="none" w:sz="0" w:space="0" w:color="auto"/>
        <w:left w:val="none" w:sz="0" w:space="0" w:color="auto"/>
        <w:bottom w:val="none" w:sz="0" w:space="0" w:color="auto"/>
        <w:right w:val="none" w:sz="0" w:space="0" w:color="auto"/>
      </w:divBdr>
    </w:div>
    <w:div w:id="1040596470">
      <w:bodyDiv w:val="1"/>
      <w:marLeft w:val="0"/>
      <w:marRight w:val="0"/>
      <w:marTop w:val="0"/>
      <w:marBottom w:val="0"/>
      <w:divBdr>
        <w:top w:val="none" w:sz="0" w:space="0" w:color="auto"/>
        <w:left w:val="none" w:sz="0" w:space="0" w:color="auto"/>
        <w:bottom w:val="none" w:sz="0" w:space="0" w:color="auto"/>
        <w:right w:val="none" w:sz="0" w:space="0" w:color="auto"/>
      </w:divBdr>
      <w:divsChild>
        <w:div w:id="586578824">
          <w:marLeft w:val="0"/>
          <w:marRight w:val="0"/>
          <w:marTop w:val="0"/>
          <w:marBottom w:val="0"/>
          <w:divBdr>
            <w:top w:val="none" w:sz="0" w:space="0" w:color="auto"/>
            <w:left w:val="none" w:sz="0" w:space="0" w:color="auto"/>
            <w:bottom w:val="none" w:sz="0" w:space="0" w:color="auto"/>
            <w:right w:val="none" w:sz="0" w:space="0" w:color="auto"/>
          </w:divBdr>
          <w:divsChild>
            <w:div w:id="126895290">
              <w:marLeft w:val="0"/>
              <w:marRight w:val="0"/>
              <w:marTop w:val="0"/>
              <w:marBottom w:val="0"/>
              <w:divBdr>
                <w:top w:val="none" w:sz="0" w:space="0" w:color="auto"/>
                <w:left w:val="none" w:sz="0" w:space="0" w:color="auto"/>
                <w:bottom w:val="none" w:sz="0" w:space="0" w:color="auto"/>
                <w:right w:val="none" w:sz="0" w:space="0" w:color="auto"/>
              </w:divBdr>
              <w:divsChild>
                <w:div w:id="16941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910886">
      <w:bodyDiv w:val="1"/>
      <w:marLeft w:val="0"/>
      <w:marRight w:val="0"/>
      <w:marTop w:val="0"/>
      <w:marBottom w:val="0"/>
      <w:divBdr>
        <w:top w:val="none" w:sz="0" w:space="0" w:color="auto"/>
        <w:left w:val="none" w:sz="0" w:space="0" w:color="auto"/>
        <w:bottom w:val="none" w:sz="0" w:space="0" w:color="auto"/>
        <w:right w:val="none" w:sz="0" w:space="0" w:color="auto"/>
      </w:divBdr>
    </w:div>
    <w:div w:id="1081370069">
      <w:bodyDiv w:val="1"/>
      <w:marLeft w:val="0"/>
      <w:marRight w:val="0"/>
      <w:marTop w:val="0"/>
      <w:marBottom w:val="0"/>
      <w:divBdr>
        <w:top w:val="none" w:sz="0" w:space="0" w:color="auto"/>
        <w:left w:val="none" w:sz="0" w:space="0" w:color="auto"/>
        <w:bottom w:val="none" w:sz="0" w:space="0" w:color="auto"/>
        <w:right w:val="none" w:sz="0" w:space="0" w:color="auto"/>
      </w:divBdr>
    </w:div>
    <w:div w:id="1086464079">
      <w:bodyDiv w:val="1"/>
      <w:marLeft w:val="0"/>
      <w:marRight w:val="0"/>
      <w:marTop w:val="0"/>
      <w:marBottom w:val="0"/>
      <w:divBdr>
        <w:top w:val="none" w:sz="0" w:space="0" w:color="auto"/>
        <w:left w:val="none" w:sz="0" w:space="0" w:color="auto"/>
        <w:bottom w:val="none" w:sz="0" w:space="0" w:color="auto"/>
        <w:right w:val="none" w:sz="0" w:space="0" w:color="auto"/>
      </w:divBdr>
      <w:divsChild>
        <w:div w:id="1684210540">
          <w:marLeft w:val="640"/>
          <w:marRight w:val="0"/>
          <w:marTop w:val="0"/>
          <w:marBottom w:val="0"/>
          <w:divBdr>
            <w:top w:val="none" w:sz="0" w:space="0" w:color="auto"/>
            <w:left w:val="none" w:sz="0" w:space="0" w:color="auto"/>
            <w:bottom w:val="none" w:sz="0" w:space="0" w:color="auto"/>
            <w:right w:val="none" w:sz="0" w:space="0" w:color="auto"/>
          </w:divBdr>
        </w:div>
        <w:div w:id="1504858907">
          <w:marLeft w:val="640"/>
          <w:marRight w:val="0"/>
          <w:marTop w:val="0"/>
          <w:marBottom w:val="0"/>
          <w:divBdr>
            <w:top w:val="none" w:sz="0" w:space="0" w:color="auto"/>
            <w:left w:val="none" w:sz="0" w:space="0" w:color="auto"/>
            <w:bottom w:val="none" w:sz="0" w:space="0" w:color="auto"/>
            <w:right w:val="none" w:sz="0" w:space="0" w:color="auto"/>
          </w:divBdr>
        </w:div>
        <w:div w:id="1563441297">
          <w:marLeft w:val="640"/>
          <w:marRight w:val="0"/>
          <w:marTop w:val="0"/>
          <w:marBottom w:val="0"/>
          <w:divBdr>
            <w:top w:val="none" w:sz="0" w:space="0" w:color="auto"/>
            <w:left w:val="none" w:sz="0" w:space="0" w:color="auto"/>
            <w:bottom w:val="none" w:sz="0" w:space="0" w:color="auto"/>
            <w:right w:val="none" w:sz="0" w:space="0" w:color="auto"/>
          </w:divBdr>
        </w:div>
        <w:div w:id="512376045">
          <w:marLeft w:val="640"/>
          <w:marRight w:val="0"/>
          <w:marTop w:val="0"/>
          <w:marBottom w:val="0"/>
          <w:divBdr>
            <w:top w:val="none" w:sz="0" w:space="0" w:color="auto"/>
            <w:left w:val="none" w:sz="0" w:space="0" w:color="auto"/>
            <w:bottom w:val="none" w:sz="0" w:space="0" w:color="auto"/>
            <w:right w:val="none" w:sz="0" w:space="0" w:color="auto"/>
          </w:divBdr>
        </w:div>
        <w:div w:id="1662077771">
          <w:marLeft w:val="640"/>
          <w:marRight w:val="0"/>
          <w:marTop w:val="0"/>
          <w:marBottom w:val="0"/>
          <w:divBdr>
            <w:top w:val="none" w:sz="0" w:space="0" w:color="auto"/>
            <w:left w:val="none" w:sz="0" w:space="0" w:color="auto"/>
            <w:bottom w:val="none" w:sz="0" w:space="0" w:color="auto"/>
            <w:right w:val="none" w:sz="0" w:space="0" w:color="auto"/>
          </w:divBdr>
        </w:div>
        <w:div w:id="741294928">
          <w:marLeft w:val="640"/>
          <w:marRight w:val="0"/>
          <w:marTop w:val="0"/>
          <w:marBottom w:val="0"/>
          <w:divBdr>
            <w:top w:val="none" w:sz="0" w:space="0" w:color="auto"/>
            <w:left w:val="none" w:sz="0" w:space="0" w:color="auto"/>
            <w:bottom w:val="none" w:sz="0" w:space="0" w:color="auto"/>
            <w:right w:val="none" w:sz="0" w:space="0" w:color="auto"/>
          </w:divBdr>
        </w:div>
        <w:div w:id="1766150994">
          <w:marLeft w:val="640"/>
          <w:marRight w:val="0"/>
          <w:marTop w:val="0"/>
          <w:marBottom w:val="0"/>
          <w:divBdr>
            <w:top w:val="none" w:sz="0" w:space="0" w:color="auto"/>
            <w:left w:val="none" w:sz="0" w:space="0" w:color="auto"/>
            <w:bottom w:val="none" w:sz="0" w:space="0" w:color="auto"/>
            <w:right w:val="none" w:sz="0" w:space="0" w:color="auto"/>
          </w:divBdr>
        </w:div>
        <w:div w:id="435635345">
          <w:marLeft w:val="640"/>
          <w:marRight w:val="0"/>
          <w:marTop w:val="0"/>
          <w:marBottom w:val="0"/>
          <w:divBdr>
            <w:top w:val="none" w:sz="0" w:space="0" w:color="auto"/>
            <w:left w:val="none" w:sz="0" w:space="0" w:color="auto"/>
            <w:bottom w:val="none" w:sz="0" w:space="0" w:color="auto"/>
            <w:right w:val="none" w:sz="0" w:space="0" w:color="auto"/>
          </w:divBdr>
        </w:div>
        <w:div w:id="23946748">
          <w:marLeft w:val="640"/>
          <w:marRight w:val="0"/>
          <w:marTop w:val="0"/>
          <w:marBottom w:val="0"/>
          <w:divBdr>
            <w:top w:val="none" w:sz="0" w:space="0" w:color="auto"/>
            <w:left w:val="none" w:sz="0" w:space="0" w:color="auto"/>
            <w:bottom w:val="none" w:sz="0" w:space="0" w:color="auto"/>
            <w:right w:val="none" w:sz="0" w:space="0" w:color="auto"/>
          </w:divBdr>
        </w:div>
        <w:div w:id="347292331">
          <w:marLeft w:val="640"/>
          <w:marRight w:val="0"/>
          <w:marTop w:val="0"/>
          <w:marBottom w:val="0"/>
          <w:divBdr>
            <w:top w:val="none" w:sz="0" w:space="0" w:color="auto"/>
            <w:left w:val="none" w:sz="0" w:space="0" w:color="auto"/>
            <w:bottom w:val="none" w:sz="0" w:space="0" w:color="auto"/>
            <w:right w:val="none" w:sz="0" w:space="0" w:color="auto"/>
          </w:divBdr>
        </w:div>
        <w:div w:id="1140657317">
          <w:marLeft w:val="640"/>
          <w:marRight w:val="0"/>
          <w:marTop w:val="0"/>
          <w:marBottom w:val="0"/>
          <w:divBdr>
            <w:top w:val="none" w:sz="0" w:space="0" w:color="auto"/>
            <w:left w:val="none" w:sz="0" w:space="0" w:color="auto"/>
            <w:bottom w:val="none" w:sz="0" w:space="0" w:color="auto"/>
            <w:right w:val="none" w:sz="0" w:space="0" w:color="auto"/>
          </w:divBdr>
        </w:div>
        <w:div w:id="482356279">
          <w:marLeft w:val="640"/>
          <w:marRight w:val="0"/>
          <w:marTop w:val="0"/>
          <w:marBottom w:val="0"/>
          <w:divBdr>
            <w:top w:val="none" w:sz="0" w:space="0" w:color="auto"/>
            <w:left w:val="none" w:sz="0" w:space="0" w:color="auto"/>
            <w:bottom w:val="none" w:sz="0" w:space="0" w:color="auto"/>
            <w:right w:val="none" w:sz="0" w:space="0" w:color="auto"/>
          </w:divBdr>
        </w:div>
        <w:div w:id="1302534375">
          <w:marLeft w:val="640"/>
          <w:marRight w:val="0"/>
          <w:marTop w:val="0"/>
          <w:marBottom w:val="0"/>
          <w:divBdr>
            <w:top w:val="none" w:sz="0" w:space="0" w:color="auto"/>
            <w:left w:val="none" w:sz="0" w:space="0" w:color="auto"/>
            <w:bottom w:val="none" w:sz="0" w:space="0" w:color="auto"/>
            <w:right w:val="none" w:sz="0" w:space="0" w:color="auto"/>
          </w:divBdr>
        </w:div>
        <w:div w:id="1965113349">
          <w:marLeft w:val="640"/>
          <w:marRight w:val="0"/>
          <w:marTop w:val="0"/>
          <w:marBottom w:val="0"/>
          <w:divBdr>
            <w:top w:val="none" w:sz="0" w:space="0" w:color="auto"/>
            <w:left w:val="none" w:sz="0" w:space="0" w:color="auto"/>
            <w:bottom w:val="none" w:sz="0" w:space="0" w:color="auto"/>
            <w:right w:val="none" w:sz="0" w:space="0" w:color="auto"/>
          </w:divBdr>
        </w:div>
        <w:div w:id="566037027">
          <w:marLeft w:val="640"/>
          <w:marRight w:val="0"/>
          <w:marTop w:val="0"/>
          <w:marBottom w:val="0"/>
          <w:divBdr>
            <w:top w:val="none" w:sz="0" w:space="0" w:color="auto"/>
            <w:left w:val="none" w:sz="0" w:space="0" w:color="auto"/>
            <w:bottom w:val="none" w:sz="0" w:space="0" w:color="auto"/>
            <w:right w:val="none" w:sz="0" w:space="0" w:color="auto"/>
          </w:divBdr>
        </w:div>
        <w:div w:id="1866096426">
          <w:marLeft w:val="640"/>
          <w:marRight w:val="0"/>
          <w:marTop w:val="0"/>
          <w:marBottom w:val="0"/>
          <w:divBdr>
            <w:top w:val="none" w:sz="0" w:space="0" w:color="auto"/>
            <w:left w:val="none" w:sz="0" w:space="0" w:color="auto"/>
            <w:bottom w:val="none" w:sz="0" w:space="0" w:color="auto"/>
            <w:right w:val="none" w:sz="0" w:space="0" w:color="auto"/>
          </w:divBdr>
        </w:div>
        <w:div w:id="2041197164">
          <w:marLeft w:val="640"/>
          <w:marRight w:val="0"/>
          <w:marTop w:val="0"/>
          <w:marBottom w:val="0"/>
          <w:divBdr>
            <w:top w:val="none" w:sz="0" w:space="0" w:color="auto"/>
            <w:left w:val="none" w:sz="0" w:space="0" w:color="auto"/>
            <w:bottom w:val="none" w:sz="0" w:space="0" w:color="auto"/>
            <w:right w:val="none" w:sz="0" w:space="0" w:color="auto"/>
          </w:divBdr>
        </w:div>
        <w:div w:id="1978752921">
          <w:marLeft w:val="640"/>
          <w:marRight w:val="0"/>
          <w:marTop w:val="0"/>
          <w:marBottom w:val="0"/>
          <w:divBdr>
            <w:top w:val="none" w:sz="0" w:space="0" w:color="auto"/>
            <w:left w:val="none" w:sz="0" w:space="0" w:color="auto"/>
            <w:bottom w:val="none" w:sz="0" w:space="0" w:color="auto"/>
            <w:right w:val="none" w:sz="0" w:space="0" w:color="auto"/>
          </w:divBdr>
        </w:div>
        <w:div w:id="569272335">
          <w:marLeft w:val="640"/>
          <w:marRight w:val="0"/>
          <w:marTop w:val="0"/>
          <w:marBottom w:val="0"/>
          <w:divBdr>
            <w:top w:val="none" w:sz="0" w:space="0" w:color="auto"/>
            <w:left w:val="none" w:sz="0" w:space="0" w:color="auto"/>
            <w:bottom w:val="none" w:sz="0" w:space="0" w:color="auto"/>
            <w:right w:val="none" w:sz="0" w:space="0" w:color="auto"/>
          </w:divBdr>
        </w:div>
        <w:div w:id="541676706">
          <w:marLeft w:val="640"/>
          <w:marRight w:val="0"/>
          <w:marTop w:val="0"/>
          <w:marBottom w:val="0"/>
          <w:divBdr>
            <w:top w:val="none" w:sz="0" w:space="0" w:color="auto"/>
            <w:left w:val="none" w:sz="0" w:space="0" w:color="auto"/>
            <w:bottom w:val="none" w:sz="0" w:space="0" w:color="auto"/>
            <w:right w:val="none" w:sz="0" w:space="0" w:color="auto"/>
          </w:divBdr>
        </w:div>
        <w:div w:id="1809200226">
          <w:marLeft w:val="640"/>
          <w:marRight w:val="0"/>
          <w:marTop w:val="0"/>
          <w:marBottom w:val="0"/>
          <w:divBdr>
            <w:top w:val="none" w:sz="0" w:space="0" w:color="auto"/>
            <w:left w:val="none" w:sz="0" w:space="0" w:color="auto"/>
            <w:bottom w:val="none" w:sz="0" w:space="0" w:color="auto"/>
            <w:right w:val="none" w:sz="0" w:space="0" w:color="auto"/>
          </w:divBdr>
        </w:div>
        <w:div w:id="460807518">
          <w:marLeft w:val="640"/>
          <w:marRight w:val="0"/>
          <w:marTop w:val="0"/>
          <w:marBottom w:val="0"/>
          <w:divBdr>
            <w:top w:val="none" w:sz="0" w:space="0" w:color="auto"/>
            <w:left w:val="none" w:sz="0" w:space="0" w:color="auto"/>
            <w:bottom w:val="none" w:sz="0" w:space="0" w:color="auto"/>
            <w:right w:val="none" w:sz="0" w:space="0" w:color="auto"/>
          </w:divBdr>
        </w:div>
        <w:div w:id="126751950">
          <w:marLeft w:val="640"/>
          <w:marRight w:val="0"/>
          <w:marTop w:val="0"/>
          <w:marBottom w:val="0"/>
          <w:divBdr>
            <w:top w:val="none" w:sz="0" w:space="0" w:color="auto"/>
            <w:left w:val="none" w:sz="0" w:space="0" w:color="auto"/>
            <w:bottom w:val="none" w:sz="0" w:space="0" w:color="auto"/>
            <w:right w:val="none" w:sz="0" w:space="0" w:color="auto"/>
          </w:divBdr>
        </w:div>
        <w:div w:id="666783625">
          <w:marLeft w:val="640"/>
          <w:marRight w:val="0"/>
          <w:marTop w:val="0"/>
          <w:marBottom w:val="0"/>
          <w:divBdr>
            <w:top w:val="none" w:sz="0" w:space="0" w:color="auto"/>
            <w:left w:val="none" w:sz="0" w:space="0" w:color="auto"/>
            <w:bottom w:val="none" w:sz="0" w:space="0" w:color="auto"/>
            <w:right w:val="none" w:sz="0" w:space="0" w:color="auto"/>
          </w:divBdr>
        </w:div>
        <w:div w:id="1465348733">
          <w:marLeft w:val="640"/>
          <w:marRight w:val="0"/>
          <w:marTop w:val="0"/>
          <w:marBottom w:val="0"/>
          <w:divBdr>
            <w:top w:val="none" w:sz="0" w:space="0" w:color="auto"/>
            <w:left w:val="none" w:sz="0" w:space="0" w:color="auto"/>
            <w:bottom w:val="none" w:sz="0" w:space="0" w:color="auto"/>
            <w:right w:val="none" w:sz="0" w:space="0" w:color="auto"/>
          </w:divBdr>
        </w:div>
        <w:div w:id="1186823036">
          <w:marLeft w:val="640"/>
          <w:marRight w:val="0"/>
          <w:marTop w:val="0"/>
          <w:marBottom w:val="0"/>
          <w:divBdr>
            <w:top w:val="none" w:sz="0" w:space="0" w:color="auto"/>
            <w:left w:val="none" w:sz="0" w:space="0" w:color="auto"/>
            <w:bottom w:val="none" w:sz="0" w:space="0" w:color="auto"/>
            <w:right w:val="none" w:sz="0" w:space="0" w:color="auto"/>
          </w:divBdr>
        </w:div>
        <w:div w:id="1923097879">
          <w:marLeft w:val="640"/>
          <w:marRight w:val="0"/>
          <w:marTop w:val="0"/>
          <w:marBottom w:val="0"/>
          <w:divBdr>
            <w:top w:val="none" w:sz="0" w:space="0" w:color="auto"/>
            <w:left w:val="none" w:sz="0" w:space="0" w:color="auto"/>
            <w:bottom w:val="none" w:sz="0" w:space="0" w:color="auto"/>
            <w:right w:val="none" w:sz="0" w:space="0" w:color="auto"/>
          </w:divBdr>
        </w:div>
        <w:div w:id="1980454854">
          <w:marLeft w:val="640"/>
          <w:marRight w:val="0"/>
          <w:marTop w:val="0"/>
          <w:marBottom w:val="0"/>
          <w:divBdr>
            <w:top w:val="none" w:sz="0" w:space="0" w:color="auto"/>
            <w:left w:val="none" w:sz="0" w:space="0" w:color="auto"/>
            <w:bottom w:val="none" w:sz="0" w:space="0" w:color="auto"/>
            <w:right w:val="none" w:sz="0" w:space="0" w:color="auto"/>
          </w:divBdr>
        </w:div>
        <w:div w:id="1590189884">
          <w:marLeft w:val="640"/>
          <w:marRight w:val="0"/>
          <w:marTop w:val="0"/>
          <w:marBottom w:val="0"/>
          <w:divBdr>
            <w:top w:val="none" w:sz="0" w:space="0" w:color="auto"/>
            <w:left w:val="none" w:sz="0" w:space="0" w:color="auto"/>
            <w:bottom w:val="none" w:sz="0" w:space="0" w:color="auto"/>
            <w:right w:val="none" w:sz="0" w:space="0" w:color="auto"/>
          </w:divBdr>
        </w:div>
        <w:div w:id="798376931">
          <w:marLeft w:val="640"/>
          <w:marRight w:val="0"/>
          <w:marTop w:val="0"/>
          <w:marBottom w:val="0"/>
          <w:divBdr>
            <w:top w:val="none" w:sz="0" w:space="0" w:color="auto"/>
            <w:left w:val="none" w:sz="0" w:space="0" w:color="auto"/>
            <w:bottom w:val="none" w:sz="0" w:space="0" w:color="auto"/>
            <w:right w:val="none" w:sz="0" w:space="0" w:color="auto"/>
          </w:divBdr>
        </w:div>
        <w:div w:id="1781297532">
          <w:marLeft w:val="640"/>
          <w:marRight w:val="0"/>
          <w:marTop w:val="0"/>
          <w:marBottom w:val="0"/>
          <w:divBdr>
            <w:top w:val="none" w:sz="0" w:space="0" w:color="auto"/>
            <w:left w:val="none" w:sz="0" w:space="0" w:color="auto"/>
            <w:bottom w:val="none" w:sz="0" w:space="0" w:color="auto"/>
            <w:right w:val="none" w:sz="0" w:space="0" w:color="auto"/>
          </w:divBdr>
        </w:div>
        <w:div w:id="1371492095">
          <w:marLeft w:val="640"/>
          <w:marRight w:val="0"/>
          <w:marTop w:val="0"/>
          <w:marBottom w:val="0"/>
          <w:divBdr>
            <w:top w:val="none" w:sz="0" w:space="0" w:color="auto"/>
            <w:left w:val="none" w:sz="0" w:space="0" w:color="auto"/>
            <w:bottom w:val="none" w:sz="0" w:space="0" w:color="auto"/>
            <w:right w:val="none" w:sz="0" w:space="0" w:color="auto"/>
          </w:divBdr>
        </w:div>
        <w:div w:id="969634113">
          <w:marLeft w:val="640"/>
          <w:marRight w:val="0"/>
          <w:marTop w:val="0"/>
          <w:marBottom w:val="0"/>
          <w:divBdr>
            <w:top w:val="none" w:sz="0" w:space="0" w:color="auto"/>
            <w:left w:val="none" w:sz="0" w:space="0" w:color="auto"/>
            <w:bottom w:val="none" w:sz="0" w:space="0" w:color="auto"/>
            <w:right w:val="none" w:sz="0" w:space="0" w:color="auto"/>
          </w:divBdr>
        </w:div>
        <w:div w:id="2088115340">
          <w:marLeft w:val="640"/>
          <w:marRight w:val="0"/>
          <w:marTop w:val="0"/>
          <w:marBottom w:val="0"/>
          <w:divBdr>
            <w:top w:val="none" w:sz="0" w:space="0" w:color="auto"/>
            <w:left w:val="none" w:sz="0" w:space="0" w:color="auto"/>
            <w:bottom w:val="none" w:sz="0" w:space="0" w:color="auto"/>
            <w:right w:val="none" w:sz="0" w:space="0" w:color="auto"/>
          </w:divBdr>
        </w:div>
        <w:div w:id="881937563">
          <w:marLeft w:val="640"/>
          <w:marRight w:val="0"/>
          <w:marTop w:val="0"/>
          <w:marBottom w:val="0"/>
          <w:divBdr>
            <w:top w:val="none" w:sz="0" w:space="0" w:color="auto"/>
            <w:left w:val="none" w:sz="0" w:space="0" w:color="auto"/>
            <w:bottom w:val="none" w:sz="0" w:space="0" w:color="auto"/>
            <w:right w:val="none" w:sz="0" w:space="0" w:color="auto"/>
          </w:divBdr>
        </w:div>
        <w:div w:id="2071344204">
          <w:marLeft w:val="640"/>
          <w:marRight w:val="0"/>
          <w:marTop w:val="0"/>
          <w:marBottom w:val="0"/>
          <w:divBdr>
            <w:top w:val="none" w:sz="0" w:space="0" w:color="auto"/>
            <w:left w:val="none" w:sz="0" w:space="0" w:color="auto"/>
            <w:bottom w:val="none" w:sz="0" w:space="0" w:color="auto"/>
            <w:right w:val="none" w:sz="0" w:space="0" w:color="auto"/>
          </w:divBdr>
        </w:div>
        <w:div w:id="1505585764">
          <w:marLeft w:val="640"/>
          <w:marRight w:val="0"/>
          <w:marTop w:val="0"/>
          <w:marBottom w:val="0"/>
          <w:divBdr>
            <w:top w:val="none" w:sz="0" w:space="0" w:color="auto"/>
            <w:left w:val="none" w:sz="0" w:space="0" w:color="auto"/>
            <w:bottom w:val="none" w:sz="0" w:space="0" w:color="auto"/>
            <w:right w:val="none" w:sz="0" w:space="0" w:color="auto"/>
          </w:divBdr>
        </w:div>
        <w:div w:id="426387622">
          <w:marLeft w:val="640"/>
          <w:marRight w:val="0"/>
          <w:marTop w:val="0"/>
          <w:marBottom w:val="0"/>
          <w:divBdr>
            <w:top w:val="none" w:sz="0" w:space="0" w:color="auto"/>
            <w:left w:val="none" w:sz="0" w:space="0" w:color="auto"/>
            <w:bottom w:val="none" w:sz="0" w:space="0" w:color="auto"/>
            <w:right w:val="none" w:sz="0" w:space="0" w:color="auto"/>
          </w:divBdr>
        </w:div>
        <w:div w:id="2097557016">
          <w:marLeft w:val="640"/>
          <w:marRight w:val="0"/>
          <w:marTop w:val="0"/>
          <w:marBottom w:val="0"/>
          <w:divBdr>
            <w:top w:val="none" w:sz="0" w:space="0" w:color="auto"/>
            <w:left w:val="none" w:sz="0" w:space="0" w:color="auto"/>
            <w:bottom w:val="none" w:sz="0" w:space="0" w:color="auto"/>
            <w:right w:val="none" w:sz="0" w:space="0" w:color="auto"/>
          </w:divBdr>
        </w:div>
        <w:div w:id="1708870543">
          <w:marLeft w:val="640"/>
          <w:marRight w:val="0"/>
          <w:marTop w:val="0"/>
          <w:marBottom w:val="0"/>
          <w:divBdr>
            <w:top w:val="none" w:sz="0" w:space="0" w:color="auto"/>
            <w:left w:val="none" w:sz="0" w:space="0" w:color="auto"/>
            <w:bottom w:val="none" w:sz="0" w:space="0" w:color="auto"/>
            <w:right w:val="none" w:sz="0" w:space="0" w:color="auto"/>
          </w:divBdr>
        </w:div>
        <w:div w:id="1203327925">
          <w:marLeft w:val="640"/>
          <w:marRight w:val="0"/>
          <w:marTop w:val="0"/>
          <w:marBottom w:val="0"/>
          <w:divBdr>
            <w:top w:val="none" w:sz="0" w:space="0" w:color="auto"/>
            <w:left w:val="none" w:sz="0" w:space="0" w:color="auto"/>
            <w:bottom w:val="none" w:sz="0" w:space="0" w:color="auto"/>
            <w:right w:val="none" w:sz="0" w:space="0" w:color="auto"/>
          </w:divBdr>
        </w:div>
        <w:div w:id="1994018434">
          <w:marLeft w:val="640"/>
          <w:marRight w:val="0"/>
          <w:marTop w:val="0"/>
          <w:marBottom w:val="0"/>
          <w:divBdr>
            <w:top w:val="none" w:sz="0" w:space="0" w:color="auto"/>
            <w:left w:val="none" w:sz="0" w:space="0" w:color="auto"/>
            <w:bottom w:val="none" w:sz="0" w:space="0" w:color="auto"/>
            <w:right w:val="none" w:sz="0" w:space="0" w:color="auto"/>
          </w:divBdr>
        </w:div>
        <w:div w:id="22245817">
          <w:marLeft w:val="640"/>
          <w:marRight w:val="0"/>
          <w:marTop w:val="0"/>
          <w:marBottom w:val="0"/>
          <w:divBdr>
            <w:top w:val="none" w:sz="0" w:space="0" w:color="auto"/>
            <w:left w:val="none" w:sz="0" w:space="0" w:color="auto"/>
            <w:bottom w:val="none" w:sz="0" w:space="0" w:color="auto"/>
            <w:right w:val="none" w:sz="0" w:space="0" w:color="auto"/>
          </w:divBdr>
        </w:div>
        <w:div w:id="1967463632">
          <w:marLeft w:val="640"/>
          <w:marRight w:val="0"/>
          <w:marTop w:val="0"/>
          <w:marBottom w:val="0"/>
          <w:divBdr>
            <w:top w:val="none" w:sz="0" w:space="0" w:color="auto"/>
            <w:left w:val="none" w:sz="0" w:space="0" w:color="auto"/>
            <w:bottom w:val="none" w:sz="0" w:space="0" w:color="auto"/>
            <w:right w:val="none" w:sz="0" w:space="0" w:color="auto"/>
          </w:divBdr>
        </w:div>
        <w:div w:id="1445542926">
          <w:marLeft w:val="640"/>
          <w:marRight w:val="0"/>
          <w:marTop w:val="0"/>
          <w:marBottom w:val="0"/>
          <w:divBdr>
            <w:top w:val="none" w:sz="0" w:space="0" w:color="auto"/>
            <w:left w:val="none" w:sz="0" w:space="0" w:color="auto"/>
            <w:bottom w:val="none" w:sz="0" w:space="0" w:color="auto"/>
            <w:right w:val="none" w:sz="0" w:space="0" w:color="auto"/>
          </w:divBdr>
        </w:div>
        <w:div w:id="303702443">
          <w:marLeft w:val="640"/>
          <w:marRight w:val="0"/>
          <w:marTop w:val="0"/>
          <w:marBottom w:val="0"/>
          <w:divBdr>
            <w:top w:val="none" w:sz="0" w:space="0" w:color="auto"/>
            <w:left w:val="none" w:sz="0" w:space="0" w:color="auto"/>
            <w:bottom w:val="none" w:sz="0" w:space="0" w:color="auto"/>
            <w:right w:val="none" w:sz="0" w:space="0" w:color="auto"/>
          </w:divBdr>
        </w:div>
        <w:div w:id="921719875">
          <w:marLeft w:val="640"/>
          <w:marRight w:val="0"/>
          <w:marTop w:val="0"/>
          <w:marBottom w:val="0"/>
          <w:divBdr>
            <w:top w:val="none" w:sz="0" w:space="0" w:color="auto"/>
            <w:left w:val="none" w:sz="0" w:space="0" w:color="auto"/>
            <w:bottom w:val="none" w:sz="0" w:space="0" w:color="auto"/>
            <w:right w:val="none" w:sz="0" w:space="0" w:color="auto"/>
          </w:divBdr>
        </w:div>
        <w:div w:id="956066965">
          <w:marLeft w:val="640"/>
          <w:marRight w:val="0"/>
          <w:marTop w:val="0"/>
          <w:marBottom w:val="0"/>
          <w:divBdr>
            <w:top w:val="none" w:sz="0" w:space="0" w:color="auto"/>
            <w:left w:val="none" w:sz="0" w:space="0" w:color="auto"/>
            <w:bottom w:val="none" w:sz="0" w:space="0" w:color="auto"/>
            <w:right w:val="none" w:sz="0" w:space="0" w:color="auto"/>
          </w:divBdr>
        </w:div>
        <w:div w:id="1213930643">
          <w:marLeft w:val="640"/>
          <w:marRight w:val="0"/>
          <w:marTop w:val="0"/>
          <w:marBottom w:val="0"/>
          <w:divBdr>
            <w:top w:val="none" w:sz="0" w:space="0" w:color="auto"/>
            <w:left w:val="none" w:sz="0" w:space="0" w:color="auto"/>
            <w:bottom w:val="none" w:sz="0" w:space="0" w:color="auto"/>
            <w:right w:val="none" w:sz="0" w:space="0" w:color="auto"/>
          </w:divBdr>
        </w:div>
        <w:div w:id="1447306480">
          <w:marLeft w:val="640"/>
          <w:marRight w:val="0"/>
          <w:marTop w:val="0"/>
          <w:marBottom w:val="0"/>
          <w:divBdr>
            <w:top w:val="none" w:sz="0" w:space="0" w:color="auto"/>
            <w:left w:val="none" w:sz="0" w:space="0" w:color="auto"/>
            <w:bottom w:val="none" w:sz="0" w:space="0" w:color="auto"/>
            <w:right w:val="none" w:sz="0" w:space="0" w:color="auto"/>
          </w:divBdr>
        </w:div>
        <w:div w:id="657079363">
          <w:marLeft w:val="640"/>
          <w:marRight w:val="0"/>
          <w:marTop w:val="0"/>
          <w:marBottom w:val="0"/>
          <w:divBdr>
            <w:top w:val="none" w:sz="0" w:space="0" w:color="auto"/>
            <w:left w:val="none" w:sz="0" w:space="0" w:color="auto"/>
            <w:bottom w:val="none" w:sz="0" w:space="0" w:color="auto"/>
            <w:right w:val="none" w:sz="0" w:space="0" w:color="auto"/>
          </w:divBdr>
        </w:div>
        <w:div w:id="1898778560">
          <w:marLeft w:val="640"/>
          <w:marRight w:val="0"/>
          <w:marTop w:val="0"/>
          <w:marBottom w:val="0"/>
          <w:divBdr>
            <w:top w:val="none" w:sz="0" w:space="0" w:color="auto"/>
            <w:left w:val="none" w:sz="0" w:space="0" w:color="auto"/>
            <w:bottom w:val="none" w:sz="0" w:space="0" w:color="auto"/>
            <w:right w:val="none" w:sz="0" w:space="0" w:color="auto"/>
          </w:divBdr>
        </w:div>
        <w:div w:id="1281836422">
          <w:marLeft w:val="640"/>
          <w:marRight w:val="0"/>
          <w:marTop w:val="0"/>
          <w:marBottom w:val="0"/>
          <w:divBdr>
            <w:top w:val="none" w:sz="0" w:space="0" w:color="auto"/>
            <w:left w:val="none" w:sz="0" w:space="0" w:color="auto"/>
            <w:bottom w:val="none" w:sz="0" w:space="0" w:color="auto"/>
            <w:right w:val="none" w:sz="0" w:space="0" w:color="auto"/>
          </w:divBdr>
        </w:div>
      </w:divsChild>
    </w:div>
    <w:div w:id="1093428554">
      <w:bodyDiv w:val="1"/>
      <w:marLeft w:val="0"/>
      <w:marRight w:val="0"/>
      <w:marTop w:val="0"/>
      <w:marBottom w:val="0"/>
      <w:divBdr>
        <w:top w:val="none" w:sz="0" w:space="0" w:color="auto"/>
        <w:left w:val="none" w:sz="0" w:space="0" w:color="auto"/>
        <w:bottom w:val="none" w:sz="0" w:space="0" w:color="auto"/>
        <w:right w:val="none" w:sz="0" w:space="0" w:color="auto"/>
      </w:divBdr>
    </w:div>
    <w:div w:id="1093744910">
      <w:bodyDiv w:val="1"/>
      <w:marLeft w:val="0"/>
      <w:marRight w:val="0"/>
      <w:marTop w:val="0"/>
      <w:marBottom w:val="0"/>
      <w:divBdr>
        <w:top w:val="none" w:sz="0" w:space="0" w:color="auto"/>
        <w:left w:val="none" w:sz="0" w:space="0" w:color="auto"/>
        <w:bottom w:val="none" w:sz="0" w:space="0" w:color="auto"/>
        <w:right w:val="none" w:sz="0" w:space="0" w:color="auto"/>
      </w:divBdr>
    </w:div>
    <w:div w:id="1111900049">
      <w:bodyDiv w:val="1"/>
      <w:marLeft w:val="0"/>
      <w:marRight w:val="0"/>
      <w:marTop w:val="0"/>
      <w:marBottom w:val="0"/>
      <w:divBdr>
        <w:top w:val="none" w:sz="0" w:space="0" w:color="auto"/>
        <w:left w:val="none" w:sz="0" w:space="0" w:color="auto"/>
        <w:bottom w:val="none" w:sz="0" w:space="0" w:color="auto"/>
        <w:right w:val="none" w:sz="0" w:space="0" w:color="auto"/>
      </w:divBdr>
    </w:div>
    <w:div w:id="1122307181">
      <w:bodyDiv w:val="1"/>
      <w:marLeft w:val="0"/>
      <w:marRight w:val="0"/>
      <w:marTop w:val="0"/>
      <w:marBottom w:val="0"/>
      <w:divBdr>
        <w:top w:val="none" w:sz="0" w:space="0" w:color="auto"/>
        <w:left w:val="none" w:sz="0" w:space="0" w:color="auto"/>
        <w:bottom w:val="none" w:sz="0" w:space="0" w:color="auto"/>
        <w:right w:val="none" w:sz="0" w:space="0" w:color="auto"/>
      </w:divBdr>
    </w:div>
    <w:div w:id="1130824010">
      <w:bodyDiv w:val="1"/>
      <w:marLeft w:val="0"/>
      <w:marRight w:val="0"/>
      <w:marTop w:val="0"/>
      <w:marBottom w:val="0"/>
      <w:divBdr>
        <w:top w:val="none" w:sz="0" w:space="0" w:color="auto"/>
        <w:left w:val="none" w:sz="0" w:space="0" w:color="auto"/>
        <w:bottom w:val="none" w:sz="0" w:space="0" w:color="auto"/>
        <w:right w:val="none" w:sz="0" w:space="0" w:color="auto"/>
      </w:divBdr>
    </w:div>
    <w:div w:id="1139767427">
      <w:bodyDiv w:val="1"/>
      <w:marLeft w:val="0"/>
      <w:marRight w:val="0"/>
      <w:marTop w:val="0"/>
      <w:marBottom w:val="0"/>
      <w:divBdr>
        <w:top w:val="none" w:sz="0" w:space="0" w:color="auto"/>
        <w:left w:val="none" w:sz="0" w:space="0" w:color="auto"/>
        <w:bottom w:val="none" w:sz="0" w:space="0" w:color="auto"/>
        <w:right w:val="none" w:sz="0" w:space="0" w:color="auto"/>
      </w:divBdr>
      <w:divsChild>
        <w:div w:id="1089421945">
          <w:marLeft w:val="0"/>
          <w:marRight w:val="0"/>
          <w:marTop w:val="0"/>
          <w:marBottom w:val="0"/>
          <w:divBdr>
            <w:top w:val="none" w:sz="0" w:space="0" w:color="auto"/>
            <w:left w:val="none" w:sz="0" w:space="0" w:color="auto"/>
            <w:bottom w:val="none" w:sz="0" w:space="0" w:color="auto"/>
            <w:right w:val="none" w:sz="0" w:space="0" w:color="auto"/>
          </w:divBdr>
          <w:divsChild>
            <w:div w:id="159127862">
              <w:marLeft w:val="0"/>
              <w:marRight w:val="0"/>
              <w:marTop w:val="0"/>
              <w:marBottom w:val="0"/>
              <w:divBdr>
                <w:top w:val="none" w:sz="0" w:space="0" w:color="auto"/>
                <w:left w:val="none" w:sz="0" w:space="0" w:color="auto"/>
                <w:bottom w:val="none" w:sz="0" w:space="0" w:color="auto"/>
                <w:right w:val="none" w:sz="0" w:space="0" w:color="auto"/>
              </w:divBdr>
              <w:divsChild>
                <w:div w:id="172421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072635">
      <w:bodyDiv w:val="1"/>
      <w:marLeft w:val="0"/>
      <w:marRight w:val="0"/>
      <w:marTop w:val="0"/>
      <w:marBottom w:val="0"/>
      <w:divBdr>
        <w:top w:val="none" w:sz="0" w:space="0" w:color="auto"/>
        <w:left w:val="none" w:sz="0" w:space="0" w:color="auto"/>
        <w:bottom w:val="none" w:sz="0" w:space="0" w:color="auto"/>
        <w:right w:val="none" w:sz="0" w:space="0" w:color="auto"/>
      </w:divBdr>
    </w:div>
    <w:div w:id="1201043698">
      <w:bodyDiv w:val="1"/>
      <w:marLeft w:val="0"/>
      <w:marRight w:val="0"/>
      <w:marTop w:val="0"/>
      <w:marBottom w:val="0"/>
      <w:divBdr>
        <w:top w:val="none" w:sz="0" w:space="0" w:color="auto"/>
        <w:left w:val="none" w:sz="0" w:space="0" w:color="auto"/>
        <w:bottom w:val="none" w:sz="0" w:space="0" w:color="auto"/>
        <w:right w:val="none" w:sz="0" w:space="0" w:color="auto"/>
      </w:divBdr>
    </w:div>
    <w:div w:id="1217083245">
      <w:bodyDiv w:val="1"/>
      <w:marLeft w:val="0"/>
      <w:marRight w:val="0"/>
      <w:marTop w:val="0"/>
      <w:marBottom w:val="0"/>
      <w:divBdr>
        <w:top w:val="none" w:sz="0" w:space="0" w:color="auto"/>
        <w:left w:val="none" w:sz="0" w:space="0" w:color="auto"/>
        <w:bottom w:val="none" w:sz="0" w:space="0" w:color="auto"/>
        <w:right w:val="none" w:sz="0" w:space="0" w:color="auto"/>
      </w:divBdr>
    </w:div>
    <w:div w:id="1233393465">
      <w:bodyDiv w:val="1"/>
      <w:marLeft w:val="0"/>
      <w:marRight w:val="0"/>
      <w:marTop w:val="0"/>
      <w:marBottom w:val="0"/>
      <w:divBdr>
        <w:top w:val="none" w:sz="0" w:space="0" w:color="auto"/>
        <w:left w:val="none" w:sz="0" w:space="0" w:color="auto"/>
        <w:bottom w:val="none" w:sz="0" w:space="0" w:color="auto"/>
        <w:right w:val="none" w:sz="0" w:space="0" w:color="auto"/>
      </w:divBdr>
    </w:div>
    <w:div w:id="1254121702">
      <w:bodyDiv w:val="1"/>
      <w:marLeft w:val="0"/>
      <w:marRight w:val="0"/>
      <w:marTop w:val="0"/>
      <w:marBottom w:val="0"/>
      <w:divBdr>
        <w:top w:val="none" w:sz="0" w:space="0" w:color="auto"/>
        <w:left w:val="none" w:sz="0" w:space="0" w:color="auto"/>
        <w:bottom w:val="none" w:sz="0" w:space="0" w:color="auto"/>
        <w:right w:val="none" w:sz="0" w:space="0" w:color="auto"/>
      </w:divBdr>
      <w:divsChild>
        <w:div w:id="1055354983">
          <w:marLeft w:val="0"/>
          <w:marRight w:val="0"/>
          <w:marTop w:val="0"/>
          <w:marBottom w:val="0"/>
          <w:divBdr>
            <w:top w:val="none" w:sz="0" w:space="0" w:color="auto"/>
            <w:left w:val="none" w:sz="0" w:space="0" w:color="auto"/>
            <w:bottom w:val="none" w:sz="0" w:space="0" w:color="auto"/>
            <w:right w:val="none" w:sz="0" w:space="0" w:color="auto"/>
          </w:divBdr>
          <w:divsChild>
            <w:div w:id="281232287">
              <w:marLeft w:val="0"/>
              <w:marRight w:val="0"/>
              <w:marTop w:val="0"/>
              <w:marBottom w:val="0"/>
              <w:divBdr>
                <w:top w:val="none" w:sz="0" w:space="0" w:color="auto"/>
                <w:left w:val="none" w:sz="0" w:space="0" w:color="auto"/>
                <w:bottom w:val="none" w:sz="0" w:space="0" w:color="auto"/>
                <w:right w:val="none" w:sz="0" w:space="0" w:color="auto"/>
              </w:divBdr>
              <w:divsChild>
                <w:div w:id="1806002537">
                  <w:marLeft w:val="0"/>
                  <w:marRight w:val="0"/>
                  <w:marTop w:val="0"/>
                  <w:marBottom w:val="0"/>
                  <w:divBdr>
                    <w:top w:val="none" w:sz="0" w:space="0" w:color="auto"/>
                    <w:left w:val="none" w:sz="0" w:space="0" w:color="auto"/>
                    <w:bottom w:val="none" w:sz="0" w:space="0" w:color="auto"/>
                    <w:right w:val="none" w:sz="0" w:space="0" w:color="auto"/>
                  </w:divBdr>
                  <w:divsChild>
                    <w:div w:id="18457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231547">
      <w:bodyDiv w:val="1"/>
      <w:marLeft w:val="0"/>
      <w:marRight w:val="0"/>
      <w:marTop w:val="0"/>
      <w:marBottom w:val="0"/>
      <w:divBdr>
        <w:top w:val="none" w:sz="0" w:space="0" w:color="auto"/>
        <w:left w:val="none" w:sz="0" w:space="0" w:color="auto"/>
        <w:bottom w:val="none" w:sz="0" w:space="0" w:color="auto"/>
        <w:right w:val="none" w:sz="0" w:space="0" w:color="auto"/>
      </w:divBdr>
      <w:divsChild>
        <w:div w:id="990520758">
          <w:marLeft w:val="0"/>
          <w:marRight w:val="0"/>
          <w:marTop w:val="0"/>
          <w:marBottom w:val="0"/>
          <w:divBdr>
            <w:top w:val="none" w:sz="0" w:space="0" w:color="auto"/>
            <w:left w:val="none" w:sz="0" w:space="0" w:color="auto"/>
            <w:bottom w:val="none" w:sz="0" w:space="0" w:color="auto"/>
            <w:right w:val="none" w:sz="0" w:space="0" w:color="auto"/>
          </w:divBdr>
          <w:divsChild>
            <w:div w:id="1911691100">
              <w:marLeft w:val="0"/>
              <w:marRight w:val="0"/>
              <w:marTop w:val="0"/>
              <w:marBottom w:val="0"/>
              <w:divBdr>
                <w:top w:val="none" w:sz="0" w:space="0" w:color="auto"/>
                <w:left w:val="none" w:sz="0" w:space="0" w:color="auto"/>
                <w:bottom w:val="none" w:sz="0" w:space="0" w:color="auto"/>
                <w:right w:val="none" w:sz="0" w:space="0" w:color="auto"/>
              </w:divBdr>
              <w:divsChild>
                <w:div w:id="1422139540">
                  <w:marLeft w:val="0"/>
                  <w:marRight w:val="0"/>
                  <w:marTop w:val="0"/>
                  <w:marBottom w:val="0"/>
                  <w:divBdr>
                    <w:top w:val="none" w:sz="0" w:space="0" w:color="auto"/>
                    <w:left w:val="none" w:sz="0" w:space="0" w:color="auto"/>
                    <w:bottom w:val="none" w:sz="0" w:space="0" w:color="auto"/>
                    <w:right w:val="none" w:sz="0" w:space="0" w:color="auto"/>
                  </w:divBdr>
                  <w:divsChild>
                    <w:div w:id="15723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102845">
      <w:bodyDiv w:val="1"/>
      <w:marLeft w:val="0"/>
      <w:marRight w:val="0"/>
      <w:marTop w:val="0"/>
      <w:marBottom w:val="0"/>
      <w:divBdr>
        <w:top w:val="none" w:sz="0" w:space="0" w:color="auto"/>
        <w:left w:val="none" w:sz="0" w:space="0" w:color="auto"/>
        <w:bottom w:val="none" w:sz="0" w:space="0" w:color="auto"/>
        <w:right w:val="none" w:sz="0" w:space="0" w:color="auto"/>
      </w:divBdr>
    </w:div>
    <w:div w:id="1358894168">
      <w:bodyDiv w:val="1"/>
      <w:marLeft w:val="0"/>
      <w:marRight w:val="0"/>
      <w:marTop w:val="0"/>
      <w:marBottom w:val="0"/>
      <w:divBdr>
        <w:top w:val="none" w:sz="0" w:space="0" w:color="auto"/>
        <w:left w:val="none" w:sz="0" w:space="0" w:color="auto"/>
        <w:bottom w:val="none" w:sz="0" w:space="0" w:color="auto"/>
        <w:right w:val="none" w:sz="0" w:space="0" w:color="auto"/>
      </w:divBdr>
    </w:div>
    <w:div w:id="1363823135">
      <w:bodyDiv w:val="1"/>
      <w:marLeft w:val="0"/>
      <w:marRight w:val="0"/>
      <w:marTop w:val="0"/>
      <w:marBottom w:val="0"/>
      <w:divBdr>
        <w:top w:val="none" w:sz="0" w:space="0" w:color="auto"/>
        <w:left w:val="none" w:sz="0" w:space="0" w:color="auto"/>
        <w:bottom w:val="none" w:sz="0" w:space="0" w:color="auto"/>
        <w:right w:val="none" w:sz="0" w:space="0" w:color="auto"/>
      </w:divBdr>
    </w:div>
    <w:div w:id="1367367127">
      <w:bodyDiv w:val="1"/>
      <w:marLeft w:val="0"/>
      <w:marRight w:val="0"/>
      <w:marTop w:val="0"/>
      <w:marBottom w:val="0"/>
      <w:divBdr>
        <w:top w:val="none" w:sz="0" w:space="0" w:color="auto"/>
        <w:left w:val="none" w:sz="0" w:space="0" w:color="auto"/>
        <w:bottom w:val="none" w:sz="0" w:space="0" w:color="auto"/>
        <w:right w:val="none" w:sz="0" w:space="0" w:color="auto"/>
      </w:divBdr>
      <w:divsChild>
        <w:div w:id="357242156">
          <w:marLeft w:val="0"/>
          <w:marRight w:val="0"/>
          <w:marTop w:val="0"/>
          <w:marBottom w:val="0"/>
          <w:divBdr>
            <w:top w:val="none" w:sz="0" w:space="0" w:color="auto"/>
            <w:left w:val="none" w:sz="0" w:space="0" w:color="auto"/>
            <w:bottom w:val="none" w:sz="0" w:space="0" w:color="auto"/>
            <w:right w:val="none" w:sz="0" w:space="0" w:color="auto"/>
          </w:divBdr>
          <w:divsChild>
            <w:div w:id="1325166153">
              <w:marLeft w:val="0"/>
              <w:marRight w:val="0"/>
              <w:marTop w:val="0"/>
              <w:marBottom w:val="0"/>
              <w:divBdr>
                <w:top w:val="none" w:sz="0" w:space="0" w:color="auto"/>
                <w:left w:val="none" w:sz="0" w:space="0" w:color="auto"/>
                <w:bottom w:val="none" w:sz="0" w:space="0" w:color="auto"/>
                <w:right w:val="none" w:sz="0" w:space="0" w:color="auto"/>
              </w:divBdr>
              <w:divsChild>
                <w:div w:id="151895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349186">
      <w:bodyDiv w:val="1"/>
      <w:marLeft w:val="0"/>
      <w:marRight w:val="0"/>
      <w:marTop w:val="0"/>
      <w:marBottom w:val="0"/>
      <w:divBdr>
        <w:top w:val="none" w:sz="0" w:space="0" w:color="auto"/>
        <w:left w:val="none" w:sz="0" w:space="0" w:color="auto"/>
        <w:bottom w:val="none" w:sz="0" w:space="0" w:color="auto"/>
        <w:right w:val="none" w:sz="0" w:space="0" w:color="auto"/>
      </w:divBdr>
      <w:divsChild>
        <w:div w:id="1825856517">
          <w:marLeft w:val="0"/>
          <w:marRight w:val="0"/>
          <w:marTop w:val="0"/>
          <w:marBottom w:val="0"/>
          <w:divBdr>
            <w:top w:val="none" w:sz="0" w:space="0" w:color="auto"/>
            <w:left w:val="none" w:sz="0" w:space="0" w:color="auto"/>
            <w:bottom w:val="none" w:sz="0" w:space="0" w:color="auto"/>
            <w:right w:val="none" w:sz="0" w:space="0" w:color="auto"/>
          </w:divBdr>
          <w:divsChild>
            <w:div w:id="187375287">
              <w:marLeft w:val="0"/>
              <w:marRight w:val="0"/>
              <w:marTop w:val="0"/>
              <w:marBottom w:val="0"/>
              <w:divBdr>
                <w:top w:val="none" w:sz="0" w:space="0" w:color="auto"/>
                <w:left w:val="none" w:sz="0" w:space="0" w:color="auto"/>
                <w:bottom w:val="none" w:sz="0" w:space="0" w:color="auto"/>
                <w:right w:val="none" w:sz="0" w:space="0" w:color="auto"/>
              </w:divBdr>
              <w:divsChild>
                <w:div w:id="8563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998469">
      <w:bodyDiv w:val="1"/>
      <w:marLeft w:val="0"/>
      <w:marRight w:val="0"/>
      <w:marTop w:val="0"/>
      <w:marBottom w:val="0"/>
      <w:divBdr>
        <w:top w:val="none" w:sz="0" w:space="0" w:color="auto"/>
        <w:left w:val="none" w:sz="0" w:space="0" w:color="auto"/>
        <w:bottom w:val="none" w:sz="0" w:space="0" w:color="auto"/>
        <w:right w:val="none" w:sz="0" w:space="0" w:color="auto"/>
      </w:divBdr>
    </w:div>
    <w:div w:id="1416123238">
      <w:bodyDiv w:val="1"/>
      <w:marLeft w:val="0"/>
      <w:marRight w:val="0"/>
      <w:marTop w:val="0"/>
      <w:marBottom w:val="0"/>
      <w:divBdr>
        <w:top w:val="none" w:sz="0" w:space="0" w:color="auto"/>
        <w:left w:val="none" w:sz="0" w:space="0" w:color="auto"/>
        <w:bottom w:val="none" w:sz="0" w:space="0" w:color="auto"/>
        <w:right w:val="none" w:sz="0" w:space="0" w:color="auto"/>
      </w:divBdr>
      <w:divsChild>
        <w:div w:id="125658628">
          <w:marLeft w:val="0"/>
          <w:marRight w:val="0"/>
          <w:marTop w:val="0"/>
          <w:marBottom w:val="0"/>
          <w:divBdr>
            <w:top w:val="none" w:sz="0" w:space="0" w:color="auto"/>
            <w:left w:val="none" w:sz="0" w:space="0" w:color="auto"/>
            <w:bottom w:val="none" w:sz="0" w:space="0" w:color="auto"/>
            <w:right w:val="none" w:sz="0" w:space="0" w:color="auto"/>
          </w:divBdr>
          <w:divsChild>
            <w:div w:id="850528253">
              <w:marLeft w:val="0"/>
              <w:marRight w:val="0"/>
              <w:marTop w:val="0"/>
              <w:marBottom w:val="0"/>
              <w:divBdr>
                <w:top w:val="none" w:sz="0" w:space="0" w:color="auto"/>
                <w:left w:val="none" w:sz="0" w:space="0" w:color="auto"/>
                <w:bottom w:val="none" w:sz="0" w:space="0" w:color="auto"/>
                <w:right w:val="none" w:sz="0" w:space="0" w:color="auto"/>
              </w:divBdr>
              <w:divsChild>
                <w:div w:id="12148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30101">
      <w:bodyDiv w:val="1"/>
      <w:marLeft w:val="0"/>
      <w:marRight w:val="0"/>
      <w:marTop w:val="0"/>
      <w:marBottom w:val="0"/>
      <w:divBdr>
        <w:top w:val="none" w:sz="0" w:space="0" w:color="auto"/>
        <w:left w:val="none" w:sz="0" w:space="0" w:color="auto"/>
        <w:bottom w:val="none" w:sz="0" w:space="0" w:color="auto"/>
        <w:right w:val="none" w:sz="0" w:space="0" w:color="auto"/>
      </w:divBdr>
    </w:div>
    <w:div w:id="1459453441">
      <w:bodyDiv w:val="1"/>
      <w:marLeft w:val="0"/>
      <w:marRight w:val="0"/>
      <w:marTop w:val="0"/>
      <w:marBottom w:val="0"/>
      <w:divBdr>
        <w:top w:val="none" w:sz="0" w:space="0" w:color="auto"/>
        <w:left w:val="none" w:sz="0" w:space="0" w:color="auto"/>
        <w:bottom w:val="none" w:sz="0" w:space="0" w:color="auto"/>
        <w:right w:val="none" w:sz="0" w:space="0" w:color="auto"/>
      </w:divBdr>
      <w:divsChild>
        <w:div w:id="1609313099">
          <w:marLeft w:val="446"/>
          <w:marRight w:val="0"/>
          <w:marTop w:val="0"/>
          <w:marBottom w:val="0"/>
          <w:divBdr>
            <w:top w:val="none" w:sz="0" w:space="0" w:color="auto"/>
            <w:left w:val="none" w:sz="0" w:space="0" w:color="auto"/>
            <w:bottom w:val="none" w:sz="0" w:space="0" w:color="auto"/>
            <w:right w:val="none" w:sz="0" w:space="0" w:color="auto"/>
          </w:divBdr>
        </w:div>
        <w:div w:id="169948579">
          <w:marLeft w:val="446"/>
          <w:marRight w:val="0"/>
          <w:marTop w:val="0"/>
          <w:marBottom w:val="0"/>
          <w:divBdr>
            <w:top w:val="none" w:sz="0" w:space="0" w:color="auto"/>
            <w:left w:val="none" w:sz="0" w:space="0" w:color="auto"/>
            <w:bottom w:val="none" w:sz="0" w:space="0" w:color="auto"/>
            <w:right w:val="none" w:sz="0" w:space="0" w:color="auto"/>
          </w:divBdr>
        </w:div>
      </w:divsChild>
    </w:div>
    <w:div w:id="1471749353">
      <w:bodyDiv w:val="1"/>
      <w:marLeft w:val="0"/>
      <w:marRight w:val="0"/>
      <w:marTop w:val="0"/>
      <w:marBottom w:val="0"/>
      <w:divBdr>
        <w:top w:val="none" w:sz="0" w:space="0" w:color="auto"/>
        <w:left w:val="none" w:sz="0" w:space="0" w:color="auto"/>
        <w:bottom w:val="none" w:sz="0" w:space="0" w:color="auto"/>
        <w:right w:val="none" w:sz="0" w:space="0" w:color="auto"/>
      </w:divBdr>
    </w:div>
    <w:div w:id="1491167314">
      <w:bodyDiv w:val="1"/>
      <w:marLeft w:val="0"/>
      <w:marRight w:val="0"/>
      <w:marTop w:val="0"/>
      <w:marBottom w:val="0"/>
      <w:divBdr>
        <w:top w:val="none" w:sz="0" w:space="0" w:color="auto"/>
        <w:left w:val="none" w:sz="0" w:space="0" w:color="auto"/>
        <w:bottom w:val="none" w:sz="0" w:space="0" w:color="auto"/>
        <w:right w:val="none" w:sz="0" w:space="0" w:color="auto"/>
      </w:divBdr>
      <w:divsChild>
        <w:div w:id="2051880889">
          <w:marLeft w:val="0"/>
          <w:marRight w:val="0"/>
          <w:marTop w:val="0"/>
          <w:marBottom w:val="0"/>
          <w:divBdr>
            <w:top w:val="none" w:sz="0" w:space="0" w:color="auto"/>
            <w:left w:val="none" w:sz="0" w:space="0" w:color="auto"/>
            <w:bottom w:val="none" w:sz="0" w:space="0" w:color="auto"/>
            <w:right w:val="none" w:sz="0" w:space="0" w:color="auto"/>
          </w:divBdr>
          <w:divsChild>
            <w:div w:id="464323874">
              <w:marLeft w:val="0"/>
              <w:marRight w:val="0"/>
              <w:marTop w:val="0"/>
              <w:marBottom w:val="0"/>
              <w:divBdr>
                <w:top w:val="none" w:sz="0" w:space="0" w:color="auto"/>
                <w:left w:val="none" w:sz="0" w:space="0" w:color="auto"/>
                <w:bottom w:val="none" w:sz="0" w:space="0" w:color="auto"/>
                <w:right w:val="none" w:sz="0" w:space="0" w:color="auto"/>
              </w:divBdr>
              <w:divsChild>
                <w:div w:id="77189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86654">
      <w:bodyDiv w:val="1"/>
      <w:marLeft w:val="0"/>
      <w:marRight w:val="0"/>
      <w:marTop w:val="0"/>
      <w:marBottom w:val="0"/>
      <w:divBdr>
        <w:top w:val="none" w:sz="0" w:space="0" w:color="auto"/>
        <w:left w:val="none" w:sz="0" w:space="0" w:color="auto"/>
        <w:bottom w:val="none" w:sz="0" w:space="0" w:color="auto"/>
        <w:right w:val="none" w:sz="0" w:space="0" w:color="auto"/>
      </w:divBdr>
    </w:div>
    <w:div w:id="1504202319">
      <w:bodyDiv w:val="1"/>
      <w:marLeft w:val="0"/>
      <w:marRight w:val="0"/>
      <w:marTop w:val="0"/>
      <w:marBottom w:val="0"/>
      <w:divBdr>
        <w:top w:val="none" w:sz="0" w:space="0" w:color="auto"/>
        <w:left w:val="none" w:sz="0" w:space="0" w:color="auto"/>
        <w:bottom w:val="none" w:sz="0" w:space="0" w:color="auto"/>
        <w:right w:val="none" w:sz="0" w:space="0" w:color="auto"/>
      </w:divBdr>
      <w:divsChild>
        <w:div w:id="1044867939">
          <w:marLeft w:val="0"/>
          <w:marRight w:val="0"/>
          <w:marTop w:val="0"/>
          <w:marBottom w:val="0"/>
          <w:divBdr>
            <w:top w:val="none" w:sz="0" w:space="0" w:color="auto"/>
            <w:left w:val="none" w:sz="0" w:space="0" w:color="auto"/>
            <w:bottom w:val="none" w:sz="0" w:space="0" w:color="auto"/>
            <w:right w:val="none" w:sz="0" w:space="0" w:color="auto"/>
          </w:divBdr>
          <w:divsChild>
            <w:div w:id="1404524071">
              <w:marLeft w:val="0"/>
              <w:marRight w:val="0"/>
              <w:marTop w:val="0"/>
              <w:marBottom w:val="0"/>
              <w:divBdr>
                <w:top w:val="none" w:sz="0" w:space="0" w:color="auto"/>
                <w:left w:val="none" w:sz="0" w:space="0" w:color="auto"/>
                <w:bottom w:val="none" w:sz="0" w:space="0" w:color="auto"/>
                <w:right w:val="none" w:sz="0" w:space="0" w:color="auto"/>
              </w:divBdr>
              <w:divsChild>
                <w:div w:id="18891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258046">
      <w:bodyDiv w:val="1"/>
      <w:marLeft w:val="0"/>
      <w:marRight w:val="0"/>
      <w:marTop w:val="0"/>
      <w:marBottom w:val="0"/>
      <w:divBdr>
        <w:top w:val="none" w:sz="0" w:space="0" w:color="auto"/>
        <w:left w:val="none" w:sz="0" w:space="0" w:color="auto"/>
        <w:bottom w:val="none" w:sz="0" w:space="0" w:color="auto"/>
        <w:right w:val="none" w:sz="0" w:space="0" w:color="auto"/>
      </w:divBdr>
      <w:divsChild>
        <w:div w:id="1654412840">
          <w:marLeft w:val="0"/>
          <w:marRight w:val="0"/>
          <w:marTop w:val="0"/>
          <w:marBottom w:val="0"/>
          <w:divBdr>
            <w:top w:val="none" w:sz="0" w:space="0" w:color="auto"/>
            <w:left w:val="none" w:sz="0" w:space="0" w:color="auto"/>
            <w:bottom w:val="none" w:sz="0" w:space="0" w:color="auto"/>
            <w:right w:val="none" w:sz="0" w:space="0" w:color="auto"/>
          </w:divBdr>
          <w:divsChild>
            <w:div w:id="217136031">
              <w:marLeft w:val="0"/>
              <w:marRight w:val="0"/>
              <w:marTop w:val="0"/>
              <w:marBottom w:val="0"/>
              <w:divBdr>
                <w:top w:val="none" w:sz="0" w:space="0" w:color="auto"/>
                <w:left w:val="none" w:sz="0" w:space="0" w:color="auto"/>
                <w:bottom w:val="none" w:sz="0" w:space="0" w:color="auto"/>
                <w:right w:val="none" w:sz="0" w:space="0" w:color="auto"/>
              </w:divBdr>
              <w:divsChild>
                <w:div w:id="809253315">
                  <w:marLeft w:val="0"/>
                  <w:marRight w:val="0"/>
                  <w:marTop w:val="0"/>
                  <w:marBottom w:val="0"/>
                  <w:divBdr>
                    <w:top w:val="none" w:sz="0" w:space="0" w:color="auto"/>
                    <w:left w:val="none" w:sz="0" w:space="0" w:color="auto"/>
                    <w:bottom w:val="none" w:sz="0" w:space="0" w:color="auto"/>
                    <w:right w:val="none" w:sz="0" w:space="0" w:color="auto"/>
                  </w:divBdr>
                  <w:divsChild>
                    <w:div w:id="21130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673044">
      <w:bodyDiv w:val="1"/>
      <w:marLeft w:val="0"/>
      <w:marRight w:val="0"/>
      <w:marTop w:val="0"/>
      <w:marBottom w:val="0"/>
      <w:divBdr>
        <w:top w:val="none" w:sz="0" w:space="0" w:color="auto"/>
        <w:left w:val="none" w:sz="0" w:space="0" w:color="auto"/>
        <w:bottom w:val="none" w:sz="0" w:space="0" w:color="auto"/>
        <w:right w:val="none" w:sz="0" w:space="0" w:color="auto"/>
      </w:divBdr>
    </w:div>
    <w:div w:id="1535731931">
      <w:bodyDiv w:val="1"/>
      <w:marLeft w:val="0"/>
      <w:marRight w:val="0"/>
      <w:marTop w:val="0"/>
      <w:marBottom w:val="0"/>
      <w:divBdr>
        <w:top w:val="none" w:sz="0" w:space="0" w:color="auto"/>
        <w:left w:val="none" w:sz="0" w:space="0" w:color="auto"/>
        <w:bottom w:val="none" w:sz="0" w:space="0" w:color="auto"/>
        <w:right w:val="none" w:sz="0" w:space="0" w:color="auto"/>
      </w:divBdr>
    </w:div>
    <w:div w:id="1564635234">
      <w:bodyDiv w:val="1"/>
      <w:marLeft w:val="0"/>
      <w:marRight w:val="0"/>
      <w:marTop w:val="0"/>
      <w:marBottom w:val="0"/>
      <w:divBdr>
        <w:top w:val="none" w:sz="0" w:space="0" w:color="auto"/>
        <w:left w:val="none" w:sz="0" w:space="0" w:color="auto"/>
        <w:bottom w:val="none" w:sz="0" w:space="0" w:color="auto"/>
        <w:right w:val="none" w:sz="0" w:space="0" w:color="auto"/>
      </w:divBdr>
      <w:divsChild>
        <w:div w:id="934167368">
          <w:marLeft w:val="0"/>
          <w:marRight w:val="0"/>
          <w:marTop w:val="0"/>
          <w:marBottom w:val="0"/>
          <w:divBdr>
            <w:top w:val="none" w:sz="0" w:space="0" w:color="auto"/>
            <w:left w:val="none" w:sz="0" w:space="0" w:color="auto"/>
            <w:bottom w:val="none" w:sz="0" w:space="0" w:color="auto"/>
            <w:right w:val="none" w:sz="0" w:space="0" w:color="auto"/>
          </w:divBdr>
          <w:divsChild>
            <w:div w:id="1878196769">
              <w:marLeft w:val="0"/>
              <w:marRight w:val="0"/>
              <w:marTop w:val="0"/>
              <w:marBottom w:val="0"/>
              <w:divBdr>
                <w:top w:val="none" w:sz="0" w:space="0" w:color="auto"/>
                <w:left w:val="none" w:sz="0" w:space="0" w:color="auto"/>
                <w:bottom w:val="none" w:sz="0" w:space="0" w:color="auto"/>
                <w:right w:val="none" w:sz="0" w:space="0" w:color="auto"/>
              </w:divBdr>
              <w:divsChild>
                <w:div w:id="543954151">
                  <w:marLeft w:val="0"/>
                  <w:marRight w:val="0"/>
                  <w:marTop w:val="0"/>
                  <w:marBottom w:val="0"/>
                  <w:divBdr>
                    <w:top w:val="none" w:sz="0" w:space="0" w:color="auto"/>
                    <w:left w:val="none" w:sz="0" w:space="0" w:color="auto"/>
                    <w:bottom w:val="none" w:sz="0" w:space="0" w:color="auto"/>
                    <w:right w:val="none" w:sz="0" w:space="0" w:color="auto"/>
                  </w:divBdr>
                  <w:divsChild>
                    <w:div w:id="739982778">
                      <w:marLeft w:val="0"/>
                      <w:marRight w:val="0"/>
                      <w:marTop w:val="0"/>
                      <w:marBottom w:val="0"/>
                      <w:divBdr>
                        <w:top w:val="none" w:sz="0" w:space="0" w:color="auto"/>
                        <w:left w:val="none" w:sz="0" w:space="0" w:color="auto"/>
                        <w:bottom w:val="none" w:sz="0" w:space="0" w:color="auto"/>
                        <w:right w:val="none" w:sz="0" w:space="0" w:color="auto"/>
                      </w:divBdr>
                      <w:divsChild>
                        <w:div w:id="1550458459">
                          <w:marLeft w:val="0"/>
                          <w:marRight w:val="0"/>
                          <w:marTop w:val="0"/>
                          <w:marBottom w:val="0"/>
                          <w:divBdr>
                            <w:top w:val="none" w:sz="0" w:space="0" w:color="auto"/>
                            <w:left w:val="none" w:sz="0" w:space="0" w:color="auto"/>
                            <w:bottom w:val="none" w:sz="0" w:space="0" w:color="auto"/>
                            <w:right w:val="none" w:sz="0" w:space="0" w:color="auto"/>
                          </w:divBdr>
                          <w:divsChild>
                            <w:div w:id="1179150926">
                              <w:marLeft w:val="0"/>
                              <w:marRight w:val="0"/>
                              <w:marTop w:val="0"/>
                              <w:marBottom w:val="0"/>
                              <w:divBdr>
                                <w:top w:val="none" w:sz="0" w:space="0" w:color="auto"/>
                                <w:left w:val="none" w:sz="0" w:space="0" w:color="auto"/>
                                <w:bottom w:val="none" w:sz="0" w:space="0" w:color="auto"/>
                                <w:right w:val="none" w:sz="0" w:space="0" w:color="auto"/>
                              </w:divBdr>
                              <w:divsChild>
                                <w:div w:id="1270620958">
                                  <w:marLeft w:val="0"/>
                                  <w:marRight w:val="0"/>
                                  <w:marTop w:val="0"/>
                                  <w:marBottom w:val="0"/>
                                  <w:divBdr>
                                    <w:top w:val="none" w:sz="0" w:space="0" w:color="auto"/>
                                    <w:left w:val="none" w:sz="0" w:space="0" w:color="auto"/>
                                    <w:bottom w:val="none" w:sz="0" w:space="0" w:color="auto"/>
                                    <w:right w:val="none" w:sz="0" w:space="0" w:color="auto"/>
                                  </w:divBdr>
                                  <w:divsChild>
                                    <w:div w:id="127599344">
                                      <w:marLeft w:val="0"/>
                                      <w:marRight w:val="0"/>
                                      <w:marTop w:val="0"/>
                                      <w:marBottom w:val="0"/>
                                      <w:divBdr>
                                        <w:top w:val="none" w:sz="0" w:space="0" w:color="auto"/>
                                        <w:left w:val="none" w:sz="0" w:space="0" w:color="auto"/>
                                        <w:bottom w:val="none" w:sz="0" w:space="0" w:color="auto"/>
                                        <w:right w:val="none" w:sz="0" w:space="0" w:color="auto"/>
                                      </w:divBdr>
                                      <w:divsChild>
                                        <w:div w:id="2046758326">
                                          <w:marLeft w:val="0"/>
                                          <w:marRight w:val="0"/>
                                          <w:marTop w:val="0"/>
                                          <w:marBottom w:val="0"/>
                                          <w:divBdr>
                                            <w:top w:val="none" w:sz="0" w:space="0" w:color="auto"/>
                                            <w:left w:val="none" w:sz="0" w:space="0" w:color="auto"/>
                                            <w:bottom w:val="none" w:sz="0" w:space="0" w:color="auto"/>
                                            <w:right w:val="none" w:sz="0" w:space="0" w:color="auto"/>
                                          </w:divBdr>
                                          <w:divsChild>
                                            <w:div w:id="1337422903">
                                              <w:marLeft w:val="0"/>
                                              <w:marRight w:val="0"/>
                                              <w:marTop w:val="0"/>
                                              <w:marBottom w:val="0"/>
                                              <w:divBdr>
                                                <w:top w:val="none" w:sz="0" w:space="0" w:color="auto"/>
                                                <w:left w:val="none" w:sz="0" w:space="0" w:color="auto"/>
                                                <w:bottom w:val="none" w:sz="0" w:space="0" w:color="auto"/>
                                                <w:right w:val="none" w:sz="0" w:space="0" w:color="auto"/>
                                              </w:divBdr>
                                              <w:divsChild>
                                                <w:div w:id="678192240">
                                                  <w:marLeft w:val="0"/>
                                                  <w:marRight w:val="0"/>
                                                  <w:marTop w:val="0"/>
                                                  <w:marBottom w:val="0"/>
                                                  <w:divBdr>
                                                    <w:top w:val="none" w:sz="0" w:space="0" w:color="auto"/>
                                                    <w:left w:val="none" w:sz="0" w:space="0" w:color="auto"/>
                                                    <w:bottom w:val="none" w:sz="0" w:space="0" w:color="auto"/>
                                                    <w:right w:val="none" w:sz="0" w:space="0" w:color="auto"/>
                                                  </w:divBdr>
                                                  <w:divsChild>
                                                    <w:div w:id="804389115">
                                                      <w:marLeft w:val="0"/>
                                                      <w:marRight w:val="0"/>
                                                      <w:marTop w:val="0"/>
                                                      <w:marBottom w:val="0"/>
                                                      <w:divBdr>
                                                        <w:top w:val="none" w:sz="0" w:space="0" w:color="auto"/>
                                                        <w:left w:val="none" w:sz="0" w:space="0" w:color="auto"/>
                                                        <w:bottom w:val="none" w:sz="0" w:space="0" w:color="auto"/>
                                                        <w:right w:val="none" w:sz="0" w:space="0" w:color="auto"/>
                                                      </w:divBdr>
                                                      <w:divsChild>
                                                        <w:div w:id="597250031">
                                                          <w:marLeft w:val="0"/>
                                                          <w:marRight w:val="0"/>
                                                          <w:marTop w:val="0"/>
                                                          <w:marBottom w:val="0"/>
                                                          <w:divBdr>
                                                            <w:top w:val="none" w:sz="0" w:space="0" w:color="auto"/>
                                                            <w:left w:val="none" w:sz="0" w:space="0" w:color="auto"/>
                                                            <w:bottom w:val="none" w:sz="0" w:space="0" w:color="auto"/>
                                                            <w:right w:val="none" w:sz="0" w:space="0" w:color="auto"/>
                                                          </w:divBdr>
                                                          <w:divsChild>
                                                            <w:div w:id="106434936">
                                                              <w:marLeft w:val="0"/>
                                                              <w:marRight w:val="0"/>
                                                              <w:marTop w:val="0"/>
                                                              <w:marBottom w:val="0"/>
                                                              <w:divBdr>
                                                                <w:top w:val="none" w:sz="0" w:space="0" w:color="auto"/>
                                                                <w:left w:val="none" w:sz="0" w:space="0" w:color="auto"/>
                                                                <w:bottom w:val="none" w:sz="0" w:space="0" w:color="auto"/>
                                                                <w:right w:val="none" w:sz="0" w:space="0" w:color="auto"/>
                                                              </w:divBdr>
                                                              <w:divsChild>
                                                                <w:div w:id="1157306934">
                                                                  <w:marLeft w:val="0"/>
                                                                  <w:marRight w:val="0"/>
                                                                  <w:marTop w:val="0"/>
                                                                  <w:marBottom w:val="0"/>
                                                                  <w:divBdr>
                                                                    <w:top w:val="none" w:sz="0" w:space="0" w:color="auto"/>
                                                                    <w:left w:val="none" w:sz="0" w:space="0" w:color="auto"/>
                                                                    <w:bottom w:val="none" w:sz="0" w:space="0" w:color="auto"/>
                                                                    <w:right w:val="none" w:sz="0" w:space="0" w:color="auto"/>
                                                                  </w:divBdr>
                                                                  <w:divsChild>
                                                                    <w:div w:id="1994872710">
                                                                      <w:marLeft w:val="0"/>
                                                                      <w:marRight w:val="0"/>
                                                                      <w:marTop w:val="0"/>
                                                                      <w:marBottom w:val="0"/>
                                                                      <w:divBdr>
                                                                        <w:top w:val="none" w:sz="0" w:space="0" w:color="auto"/>
                                                                        <w:left w:val="none" w:sz="0" w:space="0" w:color="auto"/>
                                                                        <w:bottom w:val="none" w:sz="0" w:space="0" w:color="auto"/>
                                                                        <w:right w:val="none" w:sz="0" w:space="0" w:color="auto"/>
                                                                      </w:divBdr>
                                                                      <w:divsChild>
                                                                        <w:div w:id="1849367167">
                                                                          <w:marLeft w:val="0"/>
                                                                          <w:marRight w:val="0"/>
                                                                          <w:marTop w:val="0"/>
                                                                          <w:marBottom w:val="0"/>
                                                                          <w:divBdr>
                                                                            <w:top w:val="none" w:sz="0" w:space="0" w:color="auto"/>
                                                                            <w:left w:val="none" w:sz="0" w:space="0" w:color="auto"/>
                                                                            <w:bottom w:val="none" w:sz="0" w:space="0" w:color="auto"/>
                                                                            <w:right w:val="none" w:sz="0" w:space="0" w:color="auto"/>
                                                                          </w:divBdr>
                                                                          <w:divsChild>
                                                                            <w:div w:id="1095784627">
                                                                              <w:marLeft w:val="0"/>
                                                                              <w:marRight w:val="0"/>
                                                                              <w:marTop w:val="0"/>
                                                                              <w:marBottom w:val="0"/>
                                                                              <w:divBdr>
                                                                                <w:top w:val="none" w:sz="0" w:space="0" w:color="auto"/>
                                                                                <w:left w:val="none" w:sz="0" w:space="0" w:color="auto"/>
                                                                                <w:bottom w:val="none" w:sz="0" w:space="0" w:color="auto"/>
                                                                                <w:right w:val="none" w:sz="0" w:space="0" w:color="auto"/>
                                                                              </w:divBdr>
                                                                              <w:divsChild>
                                                                                <w:div w:id="1078022375">
                                                                                  <w:marLeft w:val="0"/>
                                                                                  <w:marRight w:val="0"/>
                                                                                  <w:marTop w:val="0"/>
                                                                                  <w:marBottom w:val="0"/>
                                                                                  <w:divBdr>
                                                                                    <w:top w:val="none" w:sz="0" w:space="0" w:color="auto"/>
                                                                                    <w:left w:val="none" w:sz="0" w:space="0" w:color="auto"/>
                                                                                    <w:bottom w:val="none" w:sz="0" w:space="0" w:color="auto"/>
                                                                                    <w:right w:val="none" w:sz="0" w:space="0" w:color="auto"/>
                                                                                  </w:divBdr>
                                                                                  <w:divsChild>
                                                                                    <w:div w:id="388581099">
                                                                                      <w:marLeft w:val="0"/>
                                                                                      <w:marRight w:val="0"/>
                                                                                      <w:marTop w:val="0"/>
                                                                                      <w:marBottom w:val="0"/>
                                                                                      <w:divBdr>
                                                                                        <w:top w:val="none" w:sz="0" w:space="0" w:color="auto"/>
                                                                                        <w:left w:val="none" w:sz="0" w:space="0" w:color="auto"/>
                                                                                        <w:bottom w:val="none" w:sz="0" w:space="0" w:color="auto"/>
                                                                                        <w:right w:val="none" w:sz="0" w:space="0" w:color="auto"/>
                                                                                      </w:divBdr>
                                                                                      <w:divsChild>
                                                                                        <w:div w:id="1242452371">
                                                                                          <w:marLeft w:val="0"/>
                                                                                          <w:marRight w:val="0"/>
                                                                                          <w:marTop w:val="0"/>
                                                                                          <w:marBottom w:val="0"/>
                                                                                          <w:divBdr>
                                                                                            <w:top w:val="none" w:sz="0" w:space="0" w:color="auto"/>
                                                                                            <w:left w:val="none" w:sz="0" w:space="0" w:color="auto"/>
                                                                                            <w:bottom w:val="none" w:sz="0" w:space="0" w:color="auto"/>
                                                                                            <w:right w:val="none" w:sz="0" w:space="0" w:color="auto"/>
                                                                                          </w:divBdr>
                                                                                          <w:divsChild>
                                                                                            <w:div w:id="65612024">
                                                                                              <w:marLeft w:val="0"/>
                                                                                              <w:marRight w:val="0"/>
                                                                                              <w:marTop w:val="0"/>
                                                                                              <w:marBottom w:val="0"/>
                                                                                              <w:divBdr>
                                                                                                <w:top w:val="none" w:sz="0" w:space="0" w:color="auto"/>
                                                                                                <w:left w:val="none" w:sz="0" w:space="0" w:color="auto"/>
                                                                                                <w:bottom w:val="none" w:sz="0" w:space="0" w:color="auto"/>
                                                                                                <w:right w:val="none" w:sz="0" w:space="0" w:color="auto"/>
                                                                                              </w:divBdr>
                                                                                            </w:div>
                                                                                            <w:div w:id="53766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438891">
          <w:marLeft w:val="0"/>
          <w:marRight w:val="0"/>
          <w:marTop w:val="0"/>
          <w:marBottom w:val="0"/>
          <w:divBdr>
            <w:top w:val="none" w:sz="0" w:space="0" w:color="auto"/>
            <w:left w:val="none" w:sz="0" w:space="0" w:color="auto"/>
            <w:bottom w:val="none" w:sz="0" w:space="0" w:color="auto"/>
            <w:right w:val="none" w:sz="0" w:space="0" w:color="auto"/>
          </w:divBdr>
          <w:divsChild>
            <w:div w:id="88513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536569">
      <w:bodyDiv w:val="1"/>
      <w:marLeft w:val="0"/>
      <w:marRight w:val="0"/>
      <w:marTop w:val="0"/>
      <w:marBottom w:val="0"/>
      <w:divBdr>
        <w:top w:val="none" w:sz="0" w:space="0" w:color="auto"/>
        <w:left w:val="none" w:sz="0" w:space="0" w:color="auto"/>
        <w:bottom w:val="none" w:sz="0" w:space="0" w:color="auto"/>
        <w:right w:val="none" w:sz="0" w:space="0" w:color="auto"/>
      </w:divBdr>
      <w:divsChild>
        <w:div w:id="1900362959">
          <w:marLeft w:val="0"/>
          <w:marRight w:val="0"/>
          <w:marTop w:val="0"/>
          <w:marBottom w:val="0"/>
          <w:divBdr>
            <w:top w:val="none" w:sz="0" w:space="0" w:color="auto"/>
            <w:left w:val="none" w:sz="0" w:space="0" w:color="auto"/>
            <w:bottom w:val="none" w:sz="0" w:space="0" w:color="auto"/>
            <w:right w:val="none" w:sz="0" w:space="0" w:color="auto"/>
          </w:divBdr>
          <w:divsChild>
            <w:div w:id="1758819990">
              <w:marLeft w:val="0"/>
              <w:marRight w:val="0"/>
              <w:marTop w:val="0"/>
              <w:marBottom w:val="0"/>
              <w:divBdr>
                <w:top w:val="none" w:sz="0" w:space="0" w:color="auto"/>
                <w:left w:val="none" w:sz="0" w:space="0" w:color="auto"/>
                <w:bottom w:val="none" w:sz="0" w:space="0" w:color="auto"/>
                <w:right w:val="none" w:sz="0" w:space="0" w:color="auto"/>
              </w:divBdr>
              <w:divsChild>
                <w:div w:id="19718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8574">
      <w:bodyDiv w:val="1"/>
      <w:marLeft w:val="0"/>
      <w:marRight w:val="0"/>
      <w:marTop w:val="0"/>
      <w:marBottom w:val="0"/>
      <w:divBdr>
        <w:top w:val="none" w:sz="0" w:space="0" w:color="auto"/>
        <w:left w:val="none" w:sz="0" w:space="0" w:color="auto"/>
        <w:bottom w:val="none" w:sz="0" w:space="0" w:color="auto"/>
        <w:right w:val="none" w:sz="0" w:space="0" w:color="auto"/>
      </w:divBdr>
    </w:div>
    <w:div w:id="1592470282">
      <w:bodyDiv w:val="1"/>
      <w:marLeft w:val="0"/>
      <w:marRight w:val="0"/>
      <w:marTop w:val="0"/>
      <w:marBottom w:val="0"/>
      <w:divBdr>
        <w:top w:val="none" w:sz="0" w:space="0" w:color="auto"/>
        <w:left w:val="none" w:sz="0" w:space="0" w:color="auto"/>
        <w:bottom w:val="none" w:sz="0" w:space="0" w:color="auto"/>
        <w:right w:val="none" w:sz="0" w:space="0" w:color="auto"/>
      </w:divBdr>
    </w:div>
    <w:div w:id="1596091863">
      <w:bodyDiv w:val="1"/>
      <w:marLeft w:val="0"/>
      <w:marRight w:val="0"/>
      <w:marTop w:val="0"/>
      <w:marBottom w:val="0"/>
      <w:divBdr>
        <w:top w:val="none" w:sz="0" w:space="0" w:color="auto"/>
        <w:left w:val="none" w:sz="0" w:space="0" w:color="auto"/>
        <w:bottom w:val="none" w:sz="0" w:space="0" w:color="auto"/>
        <w:right w:val="none" w:sz="0" w:space="0" w:color="auto"/>
      </w:divBdr>
    </w:div>
    <w:div w:id="1603031537">
      <w:bodyDiv w:val="1"/>
      <w:marLeft w:val="0"/>
      <w:marRight w:val="0"/>
      <w:marTop w:val="0"/>
      <w:marBottom w:val="0"/>
      <w:divBdr>
        <w:top w:val="none" w:sz="0" w:space="0" w:color="auto"/>
        <w:left w:val="none" w:sz="0" w:space="0" w:color="auto"/>
        <w:bottom w:val="none" w:sz="0" w:space="0" w:color="auto"/>
        <w:right w:val="none" w:sz="0" w:space="0" w:color="auto"/>
      </w:divBdr>
    </w:div>
    <w:div w:id="1606768815">
      <w:bodyDiv w:val="1"/>
      <w:marLeft w:val="0"/>
      <w:marRight w:val="0"/>
      <w:marTop w:val="0"/>
      <w:marBottom w:val="0"/>
      <w:divBdr>
        <w:top w:val="none" w:sz="0" w:space="0" w:color="auto"/>
        <w:left w:val="none" w:sz="0" w:space="0" w:color="auto"/>
        <w:bottom w:val="none" w:sz="0" w:space="0" w:color="auto"/>
        <w:right w:val="none" w:sz="0" w:space="0" w:color="auto"/>
      </w:divBdr>
      <w:divsChild>
        <w:div w:id="2017686989">
          <w:marLeft w:val="0"/>
          <w:marRight w:val="0"/>
          <w:marTop w:val="0"/>
          <w:marBottom w:val="0"/>
          <w:divBdr>
            <w:top w:val="none" w:sz="0" w:space="0" w:color="auto"/>
            <w:left w:val="none" w:sz="0" w:space="0" w:color="auto"/>
            <w:bottom w:val="none" w:sz="0" w:space="0" w:color="auto"/>
            <w:right w:val="none" w:sz="0" w:space="0" w:color="auto"/>
          </w:divBdr>
          <w:divsChild>
            <w:div w:id="585502127">
              <w:marLeft w:val="0"/>
              <w:marRight w:val="0"/>
              <w:marTop w:val="0"/>
              <w:marBottom w:val="0"/>
              <w:divBdr>
                <w:top w:val="none" w:sz="0" w:space="0" w:color="auto"/>
                <w:left w:val="none" w:sz="0" w:space="0" w:color="auto"/>
                <w:bottom w:val="none" w:sz="0" w:space="0" w:color="auto"/>
                <w:right w:val="none" w:sz="0" w:space="0" w:color="auto"/>
              </w:divBdr>
              <w:divsChild>
                <w:div w:id="209755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6221">
      <w:bodyDiv w:val="1"/>
      <w:marLeft w:val="0"/>
      <w:marRight w:val="0"/>
      <w:marTop w:val="0"/>
      <w:marBottom w:val="0"/>
      <w:divBdr>
        <w:top w:val="none" w:sz="0" w:space="0" w:color="auto"/>
        <w:left w:val="none" w:sz="0" w:space="0" w:color="auto"/>
        <w:bottom w:val="none" w:sz="0" w:space="0" w:color="auto"/>
        <w:right w:val="none" w:sz="0" w:space="0" w:color="auto"/>
      </w:divBdr>
    </w:div>
    <w:div w:id="1634755605">
      <w:bodyDiv w:val="1"/>
      <w:marLeft w:val="0"/>
      <w:marRight w:val="0"/>
      <w:marTop w:val="0"/>
      <w:marBottom w:val="0"/>
      <w:divBdr>
        <w:top w:val="none" w:sz="0" w:space="0" w:color="auto"/>
        <w:left w:val="none" w:sz="0" w:space="0" w:color="auto"/>
        <w:bottom w:val="none" w:sz="0" w:space="0" w:color="auto"/>
        <w:right w:val="none" w:sz="0" w:space="0" w:color="auto"/>
      </w:divBdr>
    </w:div>
    <w:div w:id="1669550833">
      <w:bodyDiv w:val="1"/>
      <w:marLeft w:val="0"/>
      <w:marRight w:val="0"/>
      <w:marTop w:val="0"/>
      <w:marBottom w:val="0"/>
      <w:divBdr>
        <w:top w:val="none" w:sz="0" w:space="0" w:color="auto"/>
        <w:left w:val="none" w:sz="0" w:space="0" w:color="auto"/>
        <w:bottom w:val="none" w:sz="0" w:space="0" w:color="auto"/>
        <w:right w:val="none" w:sz="0" w:space="0" w:color="auto"/>
      </w:divBdr>
      <w:divsChild>
        <w:div w:id="1351681331">
          <w:marLeft w:val="0"/>
          <w:marRight w:val="0"/>
          <w:marTop w:val="0"/>
          <w:marBottom w:val="0"/>
          <w:divBdr>
            <w:top w:val="none" w:sz="0" w:space="0" w:color="auto"/>
            <w:left w:val="none" w:sz="0" w:space="0" w:color="auto"/>
            <w:bottom w:val="none" w:sz="0" w:space="0" w:color="auto"/>
            <w:right w:val="none" w:sz="0" w:space="0" w:color="auto"/>
          </w:divBdr>
          <w:divsChild>
            <w:div w:id="2085639620">
              <w:marLeft w:val="0"/>
              <w:marRight w:val="0"/>
              <w:marTop w:val="0"/>
              <w:marBottom w:val="0"/>
              <w:divBdr>
                <w:top w:val="none" w:sz="0" w:space="0" w:color="auto"/>
                <w:left w:val="none" w:sz="0" w:space="0" w:color="auto"/>
                <w:bottom w:val="none" w:sz="0" w:space="0" w:color="auto"/>
                <w:right w:val="none" w:sz="0" w:space="0" w:color="auto"/>
              </w:divBdr>
              <w:divsChild>
                <w:div w:id="689721403">
                  <w:marLeft w:val="0"/>
                  <w:marRight w:val="0"/>
                  <w:marTop w:val="0"/>
                  <w:marBottom w:val="0"/>
                  <w:divBdr>
                    <w:top w:val="none" w:sz="0" w:space="0" w:color="auto"/>
                    <w:left w:val="none" w:sz="0" w:space="0" w:color="auto"/>
                    <w:bottom w:val="none" w:sz="0" w:space="0" w:color="auto"/>
                    <w:right w:val="none" w:sz="0" w:space="0" w:color="auto"/>
                  </w:divBdr>
                  <w:divsChild>
                    <w:div w:id="673339232">
                      <w:marLeft w:val="0"/>
                      <w:marRight w:val="0"/>
                      <w:marTop w:val="0"/>
                      <w:marBottom w:val="0"/>
                      <w:divBdr>
                        <w:top w:val="none" w:sz="0" w:space="0" w:color="auto"/>
                        <w:left w:val="none" w:sz="0" w:space="0" w:color="auto"/>
                        <w:bottom w:val="none" w:sz="0" w:space="0" w:color="auto"/>
                        <w:right w:val="none" w:sz="0" w:space="0" w:color="auto"/>
                      </w:divBdr>
                      <w:divsChild>
                        <w:div w:id="140255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02010">
              <w:marLeft w:val="0"/>
              <w:marRight w:val="0"/>
              <w:marTop w:val="0"/>
              <w:marBottom w:val="0"/>
              <w:divBdr>
                <w:top w:val="none" w:sz="0" w:space="0" w:color="auto"/>
                <w:left w:val="none" w:sz="0" w:space="0" w:color="auto"/>
                <w:bottom w:val="none" w:sz="0" w:space="0" w:color="auto"/>
                <w:right w:val="none" w:sz="0" w:space="0" w:color="auto"/>
              </w:divBdr>
              <w:divsChild>
                <w:div w:id="981887484">
                  <w:marLeft w:val="0"/>
                  <w:marRight w:val="0"/>
                  <w:marTop w:val="0"/>
                  <w:marBottom w:val="0"/>
                  <w:divBdr>
                    <w:top w:val="none" w:sz="0" w:space="0" w:color="auto"/>
                    <w:left w:val="none" w:sz="0" w:space="0" w:color="auto"/>
                    <w:bottom w:val="none" w:sz="0" w:space="0" w:color="auto"/>
                    <w:right w:val="none" w:sz="0" w:space="0" w:color="auto"/>
                  </w:divBdr>
                  <w:divsChild>
                    <w:div w:id="1548182163">
                      <w:marLeft w:val="0"/>
                      <w:marRight w:val="0"/>
                      <w:marTop w:val="0"/>
                      <w:marBottom w:val="0"/>
                      <w:divBdr>
                        <w:top w:val="none" w:sz="0" w:space="0" w:color="auto"/>
                        <w:left w:val="none" w:sz="0" w:space="0" w:color="auto"/>
                        <w:bottom w:val="none" w:sz="0" w:space="0" w:color="auto"/>
                        <w:right w:val="none" w:sz="0" w:space="0" w:color="auto"/>
                      </w:divBdr>
                      <w:divsChild>
                        <w:div w:id="190194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13640">
          <w:marLeft w:val="0"/>
          <w:marRight w:val="0"/>
          <w:marTop w:val="0"/>
          <w:marBottom w:val="0"/>
          <w:divBdr>
            <w:top w:val="none" w:sz="0" w:space="0" w:color="auto"/>
            <w:left w:val="none" w:sz="0" w:space="0" w:color="auto"/>
            <w:bottom w:val="none" w:sz="0" w:space="0" w:color="auto"/>
            <w:right w:val="none" w:sz="0" w:space="0" w:color="auto"/>
          </w:divBdr>
          <w:divsChild>
            <w:div w:id="1051228397">
              <w:marLeft w:val="0"/>
              <w:marRight w:val="0"/>
              <w:marTop w:val="0"/>
              <w:marBottom w:val="0"/>
              <w:divBdr>
                <w:top w:val="none" w:sz="0" w:space="0" w:color="auto"/>
                <w:left w:val="none" w:sz="0" w:space="0" w:color="auto"/>
                <w:bottom w:val="none" w:sz="0" w:space="0" w:color="auto"/>
                <w:right w:val="none" w:sz="0" w:space="0" w:color="auto"/>
              </w:divBdr>
            </w:div>
            <w:div w:id="1312903046">
              <w:marLeft w:val="0"/>
              <w:marRight w:val="0"/>
              <w:marTop w:val="0"/>
              <w:marBottom w:val="0"/>
              <w:divBdr>
                <w:top w:val="none" w:sz="0" w:space="0" w:color="auto"/>
                <w:left w:val="none" w:sz="0" w:space="0" w:color="auto"/>
                <w:bottom w:val="none" w:sz="0" w:space="0" w:color="auto"/>
                <w:right w:val="none" w:sz="0" w:space="0" w:color="auto"/>
              </w:divBdr>
            </w:div>
          </w:divsChild>
        </w:div>
        <w:div w:id="960766633">
          <w:marLeft w:val="0"/>
          <w:marRight w:val="0"/>
          <w:marTop w:val="0"/>
          <w:marBottom w:val="0"/>
          <w:divBdr>
            <w:top w:val="none" w:sz="0" w:space="0" w:color="auto"/>
            <w:left w:val="none" w:sz="0" w:space="0" w:color="auto"/>
            <w:bottom w:val="none" w:sz="0" w:space="0" w:color="auto"/>
            <w:right w:val="none" w:sz="0" w:space="0" w:color="auto"/>
          </w:divBdr>
        </w:div>
        <w:div w:id="1123576100">
          <w:marLeft w:val="0"/>
          <w:marRight w:val="0"/>
          <w:marTop w:val="0"/>
          <w:marBottom w:val="0"/>
          <w:divBdr>
            <w:top w:val="none" w:sz="0" w:space="0" w:color="auto"/>
            <w:left w:val="none" w:sz="0" w:space="0" w:color="auto"/>
            <w:bottom w:val="none" w:sz="0" w:space="0" w:color="auto"/>
            <w:right w:val="none" w:sz="0" w:space="0" w:color="auto"/>
          </w:divBdr>
        </w:div>
        <w:div w:id="199438532">
          <w:marLeft w:val="0"/>
          <w:marRight w:val="0"/>
          <w:marTop w:val="0"/>
          <w:marBottom w:val="0"/>
          <w:divBdr>
            <w:top w:val="none" w:sz="0" w:space="0" w:color="auto"/>
            <w:left w:val="none" w:sz="0" w:space="0" w:color="auto"/>
            <w:bottom w:val="none" w:sz="0" w:space="0" w:color="auto"/>
            <w:right w:val="none" w:sz="0" w:space="0" w:color="auto"/>
          </w:divBdr>
          <w:divsChild>
            <w:div w:id="248084535">
              <w:marLeft w:val="0"/>
              <w:marRight w:val="0"/>
              <w:marTop w:val="0"/>
              <w:marBottom w:val="0"/>
              <w:divBdr>
                <w:top w:val="none" w:sz="0" w:space="0" w:color="auto"/>
                <w:left w:val="none" w:sz="0" w:space="0" w:color="auto"/>
                <w:bottom w:val="none" w:sz="0" w:space="0" w:color="auto"/>
                <w:right w:val="none" w:sz="0" w:space="0" w:color="auto"/>
              </w:divBdr>
              <w:divsChild>
                <w:div w:id="9889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33000">
      <w:bodyDiv w:val="1"/>
      <w:marLeft w:val="0"/>
      <w:marRight w:val="0"/>
      <w:marTop w:val="0"/>
      <w:marBottom w:val="0"/>
      <w:divBdr>
        <w:top w:val="none" w:sz="0" w:space="0" w:color="auto"/>
        <w:left w:val="none" w:sz="0" w:space="0" w:color="auto"/>
        <w:bottom w:val="none" w:sz="0" w:space="0" w:color="auto"/>
        <w:right w:val="none" w:sz="0" w:space="0" w:color="auto"/>
      </w:divBdr>
      <w:divsChild>
        <w:div w:id="1833716324">
          <w:marLeft w:val="640"/>
          <w:marRight w:val="0"/>
          <w:marTop w:val="0"/>
          <w:marBottom w:val="0"/>
          <w:divBdr>
            <w:top w:val="none" w:sz="0" w:space="0" w:color="auto"/>
            <w:left w:val="none" w:sz="0" w:space="0" w:color="auto"/>
            <w:bottom w:val="none" w:sz="0" w:space="0" w:color="auto"/>
            <w:right w:val="none" w:sz="0" w:space="0" w:color="auto"/>
          </w:divBdr>
        </w:div>
        <w:div w:id="96487195">
          <w:marLeft w:val="640"/>
          <w:marRight w:val="0"/>
          <w:marTop w:val="0"/>
          <w:marBottom w:val="0"/>
          <w:divBdr>
            <w:top w:val="none" w:sz="0" w:space="0" w:color="auto"/>
            <w:left w:val="none" w:sz="0" w:space="0" w:color="auto"/>
            <w:bottom w:val="none" w:sz="0" w:space="0" w:color="auto"/>
            <w:right w:val="none" w:sz="0" w:space="0" w:color="auto"/>
          </w:divBdr>
        </w:div>
        <w:div w:id="1863320874">
          <w:marLeft w:val="640"/>
          <w:marRight w:val="0"/>
          <w:marTop w:val="0"/>
          <w:marBottom w:val="0"/>
          <w:divBdr>
            <w:top w:val="none" w:sz="0" w:space="0" w:color="auto"/>
            <w:left w:val="none" w:sz="0" w:space="0" w:color="auto"/>
            <w:bottom w:val="none" w:sz="0" w:space="0" w:color="auto"/>
            <w:right w:val="none" w:sz="0" w:space="0" w:color="auto"/>
          </w:divBdr>
        </w:div>
        <w:div w:id="578753955">
          <w:marLeft w:val="640"/>
          <w:marRight w:val="0"/>
          <w:marTop w:val="0"/>
          <w:marBottom w:val="0"/>
          <w:divBdr>
            <w:top w:val="none" w:sz="0" w:space="0" w:color="auto"/>
            <w:left w:val="none" w:sz="0" w:space="0" w:color="auto"/>
            <w:bottom w:val="none" w:sz="0" w:space="0" w:color="auto"/>
            <w:right w:val="none" w:sz="0" w:space="0" w:color="auto"/>
          </w:divBdr>
        </w:div>
        <w:div w:id="445124821">
          <w:marLeft w:val="640"/>
          <w:marRight w:val="0"/>
          <w:marTop w:val="0"/>
          <w:marBottom w:val="0"/>
          <w:divBdr>
            <w:top w:val="none" w:sz="0" w:space="0" w:color="auto"/>
            <w:left w:val="none" w:sz="0" w:space="0" w:color="auto"/>
            <w:bottom w:val="none" w:sz="0" w:space="0" w:color="auto"/>
            <w:right w:val="none" w:sz="0" w:space="0" w:color="auto"/>
          </w:divBdr>
        </w:div>
        <w:div w:id="980689383">
          <w:marLeft w:val="640"/>
          <w:marRight w:val="0"/>
          <w:marTop w:val="0"/>
          <w:marBottom w:val="0"/>
          <w:divBdr>
            <w:top w:val="none" w:sz="0" w:space="0" w:color="auto"/>
            <w:left w:val="none" w:sz="0" w:space="0" w:color="auto"/>
            <w:bottom w:val="none" w:sz="0" w:space="0" w:color="auto"/>
            <w:right w:val="none" w:sz="0" w:space="0" w:color="auto"/>
          </w:divBdr>
        </w:div>
        <w:div w:id="808590241">
          <w:marLeft w:val="640"/>
          <w:marRight w:val="0"/>
          <w:marTop w:val="0"/>
          <w:marBottom w:val="0"/>
          <w:divBdr>
            <w:top w:val="none" w:sz="0" w:space="0" w:color="auto"/>
            <w:left w:val="none" w:sz="0" w:space="0" w:color="auto"/>
            <w:bottom w:val="none" w:sz="0" w:space="0" w:color="auto"/>
            <w:right w:val="none" w:sz="0" w:space="0" w:color="auto"/>
          </w:divBdr>
        </w:div>
        <w:div w:id="212474137">
          <w:marLeft w:val="640"/>
          <w:marRight w:val="0"/>
          <w:marTop w:val="0"/>
          <w:marBottom w:val="0"/>
          <w:divBdr>
            <w:top w:val="none" w:sz="0" w:space="0" w:color="auto"/>
            <w:left w:val="none" w:sz="0" w:space="0" w:color="auto"/>
            <w:bottom w:val="none" w:sz="0" w:space="0" w:color="auto"/>
            <w:right w:val="none" w:sz="0" w:space="0" w:color="auto"/>
          </w:divBdr>
        </w:div>
        <w:div w:id="1773552189">
          <w:marLeft w:val="640"/>
          <w:marRight w:val="0"/>
          <w:marTop w:val="0"/>
          <w:marBottom w:val="0"/>
          <w:divBdr>
            <w:top w:val="none" w:sz="0" w:space="0" w:color="auto"/>
            <w:left w:val="none" w:sz="0" w:space="0" w:color="auto"/>
            <w:bottom w:val="none" w:sz="0" w:space="0" w:color="auto"/>
            <w:right w:val="none" w:sz="0" w:space="0" w:color="auto"/>
          </w:divBdr>
        </w:div>
        <w:div w:id="1179735156">
          <w:marLeft w:val="640"/>
          <w:marRight w:val="0"/>
          <w:marTop w:val="0"/>
          <w:marBottom w:val="0"/>
          <w:divBdr>
            <w:top w:val="none" w:sz="0" w:space="0" w:color="auto"/>
            <w:left w:val="none" w:sz="0" w:space="0" w:color="auto"/>
            <w:bottom w:val="none" w:sz="0" w:space="0" w:color="auto"/>
            <w:right w:val="none" w:sz="0" w:space="0" w:color="auto"/>
          </w:divBdr>
        </w:div>
        <w:div w:id="406077230">
          <w:marLeft w:val="640"/>
          <w:marRight w:val="0"/>
          <w:marTop w:val="0"/>
          <w:marBottom w:val="0"/>
          <w:divBdr>
            <w:top w:val="none" w:sz="0" w:space="0" w:color="auto"/>
            <w:left w:val="none" w:sz="0" w:space="0" w:color="auto"/>
            <w:bottom w:val="none" w:sz="0" w:space="0" w:color="auto"/>
            <w:right w:val="none" w:sz="0" w:space="0" w:color="auto"/>
          </w:divBdr>
        </w:div>
        <w:div w:id="1353873063">
          <w:marLeft w:val="640"/>
          <w:marRight w:val="0"/>
          <w:marTop w:val="0"/>
          <w:marBottom w:val="0"/>
          <w:divBdr>
            <w:top w:val="none" w:sz="0" w:space="0" w:color="auto"/>
            <w:left w:val="none" w:sz="0" w:space="0" w:color="auto"/>
            <w:bottom w:val="none" w:sz="0" w:space="0" w:color="auto"/>
            <w:right w:val="none" w:sz="0" w:space="0" w:color="auto"/>
          </w:divBdr>
        </w:div>
        <w:div w:id="2110079220">
          <w:marLeft w:val="640"/>
          <w:marRight w:val="0"/>
          <w:marTop w:val="0"/>
          <w:marBottom w:val="0"/>
          <w:divBdr>
            <w:top w:val="none" w:sz="0" w:space="0" w:color="auto"/>
            <w:left w:val="none" w:sz="0" w:space="0" w:color="auto"/>
            <w:bottom w:val="none" w:sz="0" w:space="0" w:color="auto"/>
            <w:right w:val="none" w:sz="0" w:space="0" w:color="auto"/>
          </w:divBdr>
        </w:div>
        <w:div w:id="1900165284">
          <w:marLeft w:val="640"/>
          <w:marRight w:val="0"/>
          <w:marTop w:val="0"/>
          <w:marBottom w:val="0"/>
          <w:divBdr>
            <w:top w:val="none" w:sz="0" w:space="0" w:color="auto"/>
            <w:left w:val="none" w:sz="0" w:space="0" w:color="auto"/>
            <w:bottom w:val="none" w:sz="0" w:space="0" w:color="auto"/>
            <w:right w:val="none" w:sz="0" w:space="0" w:color="auto"/>
          </w:divBdr>
        </w:div>
        <w:div w:id="2137871770">
          <w:marLeft w:val="640"/>
          <w:marRight w:val="0"/>
          <w:marTop w:val="0"/>
          <w:marBottom w:val="0"/>
          <w:divBdr>
            <w:top w:val="none" w:sz="0" w:space="0" w:color="auto"/>
            <w:left w:val="none" w:sz="0" w:space="0" w:color="auto"/>
            <w:bottom w:val="none" w:sz="0" w:space="0" w:color="auto"/>
            <w:right w:val="none" w:sz="0" w:space="0" w:color="auto"/>
          </w:divBdr>
        </w:div>
        <w:div w:id="191766318">
          <w:marLeft w:val="640"/>
          <w:marRight w:val="0"/>
          <w:marTop w:val="0"/>
          <w:marBottom w:val="0"/>
          <w:divBdr>
            <w:top w:val="none" w:sz="0" w:space="0" w:color="auto"/>
            <w:left w:val="none" w:sz="0" w:space="0" w:color="auto"/>
            <w:bottom w:val="none" w:sz="0" w:space="0" w:color="auto"/>
            <w:right w:val="none" w:sz="0" w:space="0" w:color="auto"/>
          </w:divBdr>
        </w:div>
        <w:div w:id="1048601457">
          <w:marLeft w:val="640"/>
          <w:marRight w:val="0"/>
          <w:marTop w:val="0"/>
          <w:marBottom w:val="0"/>
          <w:divBdr>
            <w:top w:val="none" w:sz="0" w:space="0" w:color="auto"/>
            <w:left w:val="none" w:sz="0" w:space="0" w:color="auto"/>
            <w:bottom w:val="none" w:sz="0" w:space="0" w:color="auto"/>
            <w:right w:val="none" w:sz="0" w:space="0" w:color="auto"/>
          </w:divBdr>
        </w:div>
        <w:div w:id="358817228">
          <w:marLeft w:val="640"/>
          <w:marRight w:val="0"/>
          <w:marTop w:val="0"/>
          <w:marBottom w:val="0"/>
          <w:divBdr>
            <w:top w:val="none" w:sz="0" w:space="0" w:color="auto"/>
            <w:left w:val="none" w:sz="0" w:space="0" w:color="auto"/>
            <w:bottom w:val="none" w:sz="0" w:space="0" w:color="auto"/>
            <w:right w:val="none" w:sz="0" w:space="0" w:color="auto"/>
          </w:divBdr>
        </w:div>
        <w:div w:id="579874919">
          <w:marLeft w:val="640"/>
          <w:marRight w:val="0"/>
          <w:marTop w:val="0"/>
          <w:marBottom w:val="0"/>
          <w:divBdr>
            <w:top w:val="none" w:sz="0" w:space="0" w:color="auto"/>
            <w:left w:val="none" w:sz="0" w:space="0" w:color="auto"/>
            <w:bottom w:val="none" w:sz="0" w:space="0" w:color="auto"/>
            <w:right w:val="none" w:sz="0" w:space="0" w:color="auto"/>
          </w:divBdr>
        </w:div>
        <w:div w:id="1684622610">
          <w:marLeft w:val="640"/>
          <w:marRight w:val="0"/>
          <w:marTop w:val="0"/>
          <w:marBottom w:val="0"/>
          <w:divBdr>
            <w:top w:val="none" w:sz="0" w:space="0" w:color="auto"/>
            <w:left w:val="none" w:sz="0" w:space="0" w:color="auto"/>
            <w:bottom w:val="none" w:sz="0" w:space="0" w:color="auto"/>
            <w:right w:val="none" w:sz="0" w:space="0" w:color="auto"/>
          </w:divBdr>
        </w:div>
        <w:div w:id="1045520984">
          <w:marLeft w:val="640"/>
          <w:marRight w:val="0"/>
          <w:marTop w:val="0"/>
          <w:marBottom w:val="0"/>
          <w:divBdr>
            <w:top w:val="none" w:sz="0" w:space="0" w:color="auto"/>
            <w:left w:val="none" w:sz="0" w:space="0" w:color="auto"/>
            <w:bottom w:val="none" w:sz="0" w:space="0" w:color="auto"/>
            <w:right w:val="none" w:sz="0" w:space="0" w:color="auto"/>
          </w:divBdr>
        </w:div>
        <w:div w:id="2130514504">
          <w:marLeft w:val="640"/>
          <w:marRight w:val="0"/>
          <w:marTop w:val="0"/>
          <w:marBottom w:val="0"/>
          <w:divBdr>
            <w:top w:val="none" w:sz="0" w:space="0" w:color="auto"/>
            <w:left w:val="none" w:sz="0" w:space="0" w:color="auto"/>
            <w:bottom w:val="none" w:sz="0" w:space="0" w:color="auto"/>
            <w:right w:val="none" w:sz="0" w:space="0" w:color="auto"/>
          </w:divBdr>
        </w:div>
        <w:div w:id="1535731599">
          <w:marLeft w:val="640"/>
          <w:marRight w:val="0"/>
          <w:marTop w:val="0"/>
          <w:marBottom w:val="0"/>
          <w:divBdr>
            <w:top w:val="none" w:sz="0" w:space="0" w:color="auto"/>
            <w:left w:val="none" w:sz="0" w:space="0" w:color="auto"/>
            <w:bottom w:val="none" w:sz="0" w:space="0" w:color="auto"/>
            <w:right w:val="none" w:sz="0" w:space="0" w:color="auto"/>
          </w:divBdr>
        </w:div>
        <w:div w:id="2144032622">
          <w:marLeft w:val="640"/>
          <w:marRight w:val="0"/>
          <w:marTop w:val="0"/>
          <w:marBottom w:val="0"/>
          <w:divBdr>
            <w:top w:val="none" w:sz="0" w:space="0" w:color="auto"/>
            <w:left w:val="none" w:sz="0" w:space="0" w:color="auto"/>
            <w:bottom w:val="none" w:sz="0" w:space="0" w:color="auto"/>
            <w:right w:val="none" w:sz="0" w:space="0" w:color="auto"/>
          </w:divBdr>
        </w:div>
        <w:div w:id="1180045953">
          <w:marLeft w:val="640"/>
          <w:marRight w:val="0"/>
          <w:marTop w:val="0"/>
          <w:marBottom w:val="0"/>
          <w:divBdr>
            <w:top w:val="none" w:sz="0" w:space="0" w:color="auto"/>
            <w:left w:val="none" w:sz="0" w:space="0" w:color="auto"/>
            <w:bottom w:val="none" w:sz="0" w:space="0" w:color="auto"/>
            <w:right w:val="none" w:sz="0" w:space="0" w:color="auto"/>
          </w:divBdr>
        </w:div>
        <w:div w:id="2071145349">
          <w:marLeft w:val="640"/>
          <w:marRight w:val="0"/>
          <w:marTop w:val="0"/>
          <w:marBottom w:val="0"/>
          <w:divBdr>
            <w:top w:val="none" w:sz="0" w:space="0" w:color="auto"/>
            <w:left w:val="none" w:sz="0" w:space="0" w:color="auto"/>
            <w:bottom w:val="none" w:sz="0" w:space="0" w:color="auto"/>
            <w:right w:val="none" w:sz="0" w:space="0" w:color="auto"/>
          </w:divBdr>
        </w:div>
        <w:div w:id="581332223">
          <w:marLeft w:val="640"/>
          <w:marRight w:val="0"/>
          <w:marTop w:val="0"/>
          <w:marBottom w:val="0"/>
          <w:divBdr>
            <w:top w:val="none" w:sz="0" w:space="0" w:color="auto"/>
            <w:left w:val="none" w:sz="0" w:space="0" w:color="auto"/>
            <w:bottom w:val="none" w:sz="0" w:space="0" w:color="auto"/>
            <w:right w:val="none" w:sz="0" w:space="0" w:color="auto"/>
          </w:divBdr>
        </w:div>
        <w:div w:id="491143338">
          <w:marLeft w:val="640"/>
          <w:marRight w:val="0"/>
          <w:marTop w:val="0"/>
          <w:marBottom w:val="0"/>
          <w:divBdr>
            <w:top w:val="none" w:sz="0" w:space="0" w:color="auto"/>
            <w:left w:val="none" w:sz="0" w:space="0" w:color="auto"/>
            <w:bottom w:val="none" w:sz="0" w:space="0" w:color="auto"/>
            <w:right w:val="none" w:sz="0" w:space="0" w:color="auto"/>
          </w:divBdr>
        </w:div>
        <w:div w:id="1576545789">
          <w:marLeft w:val="640"/>
          <w:marRight w:val="0"/>
          <w:marTop w:val="0"/>
          <w:marBottom w:val="0"/>
          <w:divBdr>
            <w:top w:val="none" w:sz="0" w:space="0" w:color="auto"/>
            <w:left w:val="none" w:sz="0" w:space="0" w:color="auto"/>
            <w:bottom w:val="none" w:sz="0" w:space="0" w:color="auto"/>
            <w:right w:val="none" w:sz="0" w:space="0" w:color="auto"/>
          </w:divBdr>
        </w:div>
        <w:div w:id="1316491994">
          <w:marLeft w:val="640"/>
          <w:marRight w:val="0"/>
          <w:marTop w:val="0"/>
          <w:marBottom w:val="0"/>
          <w:divBdr>
            <w:top w:val="none" w:sz="0" w:space="0" w:color="auto"/>
            <w:left w:val="none" w:sz="0" w:space="0" w:color="auto"/>
            <w:bottom w:val="none" w:sz="0" w:space="0" w:color="auto"/>
            <w:right w:val="none" w:sz="0" w:space="0" w:color="auto"/>
          </w:divBdr>
        </w:div>
        <w:div w:id="1228103727">
          <w:marLeft w:val="640"/>
          <w:marRight w:val="0"/>
          <w:marTop w:val="0"/>
          <w:marBottom w:val="0"/>
          <w:divBdr>
            <w:top w:val="none" w:sz="0" w:space="0" w:color="auto"/>
            <w:left w:val="none" w:sz="0" w:space="0" w:color="auto"/>
            <w:bottom w:val="none" w:sz="0" w:space="0" w:color="auto"/>
            <w:right w:val="none" w:sz="0" w:space="0" w:color="auto"/>
          </w:divBdr>
        </w:div>
        <w:div w:id="386804636">
          <w:marLeft w:val="640"/>
          <w:marRight w:val="0"/>
          <w:marTop w:val="0"/>
          <w:marBottom w:val="0"/>
          <w:divBdr>
            <w:top w:val="none" w:sz="0" w:space="0" w:color="auto"/>
            <w:left w:val="none" w:sz="0" w:space="0" w:color="auto"/>
            <w:bottom w:val="none" w:sz="0" w:space="0" w:color="auto"/>
            <w:right w:val="none" w:sz="0" w:space="0" w:color="auto"/>
          </w:divBdr>
        </w:div>
        <w:div w:id="443891598">
          <w:marLeft w:val="640"/>
          <w:marRight w:val="0"/>
          <w:marTop w:val="0"/>
          <w:marBottom w:val="0"/>
          <w:divBdr>
            <w:top w:val="none" w:sz="0" w:space="0" w:color="auto"/>
            <w:left w:val="none" w:sz="0" w:space="0" w:color="auto"/>
            <w:bottom w:val="none" w:sz="0" w:space="0" w:color="auto"/>
            <w:right w:val="none" w:sz="0" w:space="0" w:color="auto"/>
          </w:divBdr>
        </w:div>
        <w:div w:id="1146356508">
          <w:marLeft w:val="640"/>
          <w:marRight w:val="0"/>
          <w:marTop w:val="0"/>
          <w:marBottom w:val="0"/>
          <w:divBdr>
            <w:top w:val="none" w:sz="0" w:space="0" w:color="auto"/>
            <w:left w:val="none" w:sz="0" w:space="0" w:color="auto"/>
            <w:bottom w:val="none" w:sz="0" w:space="0" w:color="auto"/>
            <w:right w:val="none" w:sz="0" w:space="0" w:color="auto"/>
          </w:divBdr>
        </w:div>
        <w:div w:id="1113286022">
          <w:marLeft w:val="640"/>
          <w:marRight w:val="0"/>
          <w:marTop w:val="0"/>
          <w:marBottom w:val="0"/>
          <w:divBdr>
            <w:top w:val="none" w:sz="0" w:space="0" w:color="auto"/>
            <w:left w:val="none" w:sz="0" w:space="0" w:color="auto"/>
            <w:bottom w:val="none" w:sz="0" w:space="0" w:color="auto"/>
            <w:right w:val="none" w:sz="0" w:space="0" w:color="auto"/>
          </w:divBdr>
        </w:div>
        <w:div w:id="1831362934">
          <w:marLeft w:val="640"/>
          <w:marRight w:val="0"/>
          <w:marTop w:val="0"/>
          <w:marBottom w:val="0"/>
          <w:divBdr>
            <w:top w:val="none" w:sz="0" w:space="0" w:color="auto"/>
            <w:left w:val="none" w:sz="0" w:space="0" w:color="auto"/>
            <w:bottom w:val="none" w:sz="0" w:space="0" w:color="auto"/>
            <w:right w:val="none" w:sz="0" w:space="0" w:color="auto"/>
          </w:divBdr>
        </w:div>
        <w:div w:id="27684262">
          <w:marLeft w:val="640"/>
          <w:marRight w:val="0"/>
          <w:marTop w:val="0"/>
          <w:marBottom w:val="0"/>
          <w:divBdr>
            <w:top w:val="none" w:sz="0" w:space="0" w:color="auto"/>
            <w:left w:val="none" w:sz="0" w:space="0" w:color="auto"/>
            <w:bottom w:val="none" w:sz="0" w:space="0" w:color="auto"/>
            <w:right w:val="none" w:sz="0" w:space="0" w:color="auto"/>
          </w:divBdr>
        </w:div>
        <w:div w:id="677805265">
          <w:marLeft w:val="640"/>
          <w:marRight w:val="0"/>
          <w:marTop w:val="0"/>
          <w:marBottom w:val="0"/>
          <w:divBdr>
            <w:top w:val="none" w:sz="0" w:space="0" w:color="auto"/>
            <w:left w:val="none" w:sz="0" w:space="0" w:color="auto"/>
            <w:bottom w:val="none" w:sz="0" w:space="0" w:color="auto"/>
            <w:right w:val="none" w:sz="0" w:space="0" w:color="auto"/>
          </w:divBdr>
        </w:div>
        <w:div w:id="2077506611">
          <w:marLeft w:val="640"/>
          <w:marRight w:val="0"/>
          <w:marTop w:val="0"/>
          <w:marBottom w:val="0"/>
          <w:divBdr>
            <w:top w:val="none" w:sz="0" w:space="0" w:color="auto"/>
            <w:left w:val="none" w:sz="0" w:space="0" w:color="auto"/>
            <w:bottom w:val="none" w:sz="0" w:space="0" w:color="auto"/>
            <w:right w:val="none" w:sz="0" w:space="0" w:color="auto"/>
          </w:divBdr>
        </w:div>
        <w:div w:id="21328557">
          <w:marLeft w:val="640"/>
          <w:marRight w:val="0"/>
          <w:marTop w:val="0"/>
          <w:marBottom w:val="0"/>
          <w:divBdr>
            <w:top w:val="none" w:sz="0" w:space="0" w:color="auto"/>
            <w:left w:val="none" w:sz="0" w:space="0" w:color="auto"/>
            <w:bottom w:val="none" w:sz="0" w:space="0" w:color="auto"/>
            <w:right w:val="none" w:sz="0" w:space="0" w:color="auto"/>
          </w:divBdr>
        </w:div>
        <w:div w:id="30302692">
          <w:marLeft w:val="640"/>
          <w:marRight w:val="0"/>
          <w:marTop w:val="0"/>
          <w:marBottom w:val="0"/>
          <w:divBdr>
            <w:top w:val="none" w:sz="0" w:space="0" w:color="auto"/>
            <w:left w:val="none" w:sz="0" w:space="0" w:color="auto"/>
            <w:bottom w:val="none" w:sz="0" w:space="0" w:color="auto"/>
            <w:right w:val="none" w:sz="0" w:space="0" w:color="auto"/>
          </w:divBdr>
        </w:div>
        <w:div w:id="151413087">
          <w:marLeft w:val="640"/>
          <w:marRight w:val="0"/>
          <w:marTop w:val="0"/>
          <w:marBottom w:val="0"/>
          <w:divBdr>
            <w:top w:val="none" w:sz="0" w:space="0" w:color="auto"/>
            <w:left w:val="none" w:sz="0" w:space="0" w:color="auto"/>
            <w:bottom w:val="none" w:sz="0" w:space="0" w:color="auto"/>
            <w:right w:val="none" w:sz="0" w:space="0" w:color="auto"/>
          </w:divBdr>
        </w:div>
        <w:div w:id="741373665">
          <w:marLeft w:val="640"/>
          <w:marRight w:val="0"/>
          <w:marTop w:val="0"/>
          <w:marBottom w:val="0"/>
          <w:divBdr>
            <w:top w:val="none" w:sz="0" w:space="0" w:color="auto"/>
            <w:left w:val="none" w:sz="0" w:space="0" w:color="auto"/>
            <w:bottom w:val="none" w:sz="0" w:space="0" w:color="auto"/>
            <w:right w:val="none" w:sz="0" w:space="0" w:color="auto"/>
          </w:divBdr>
        </w:div>
        <w:div w:id="1272858845">
          <w:marLeft w:val="640"/>
          <w:marRight w:val="0"/>
          <w:marTop w:val="0"/>
          <w:marBottom w:val="0"/>
          <w:divBdr>
            <w:top w:val="none" w:sz="0" w:space="0" w:color="auto"/>
            <w:left w:val="none" w:sz="0" w:space="0" w:color="auto"/>
            <w:bottom w:val="none" w:sz="0" w:space="0" w:color="auto"/>
            <w:right w:val="none" w:sz="0" w:space="0" w:color="auto"/>
          </w:divBdr>
        </w:div>
        <w:div w:id="1547109948">
          <w:marLeft w:val="640"/>
          <w:marRight w:val="0"/>
          <w:marTop w:val="0"/>
          <w:marBottom w:val="0"/>
          <w:divBdr>
            <w:top w:val="none" w:sz="0" w:space="0" w:color="auto"/>
            <w:left w:val="none" w:sz="0" w:space="0" w:color="auto"/>
            <w:bottom w:val="none" w:sz="0" w:space="0" w:color="auto"/>
            <w:right w:val="none" w:sz="0" w:space="0" w:color="auto"/>
          </w:divBdr>
        </w:div>
        <w:div w:id="760175600">
          <w:marLeft w:val="640"/>
          <w:marRight w:val="0"/>
          <w:marTop w:val="0"/>
          <w:marBottom w:val="0"/>
          <w:divBdr>
            <w:top w:val="none" w:sz="0" w:space="0" w:color="auto"/>
            <w:left w:val="none" w:sz="0" w:space="0" w:color="auto"/>
            <w:bottom w:val="none" w:sz="0" w:space="0" w:color="auto"/>
            <w:right w:val="none" w:sz="0" w:space="0" w:color="auto"/>
          </w:divBdr>
        </w:div>
        <w:div w:id="571742360">
          <w:marLeft w:val="640"/>
          <w:marRight w:val="0"/>
          <w:marTop w:val="0"/>
          <w:marBottom w:val="0"/>
          <w:divBdr>
            <w:top w:val="none" w:sz="0" w:space="0" w:color="auto"/>
            <w:left w:val="none" w:sz="0" w:space="0" w:color="auto"/>
            <w:bottom w:val="none" w:sz="0" w:space="0" w:color="auto"/>
            <w:right w:val="none" w:sz="0" w:space="0" w:color="auto"/>
          </w:divBdr>
        </w:div>
        <w:div w:id="2116316872">
          <w:marLeft w:val="640"/>
          <w:marRight w:val="0"/>
          <w:marTop w:val="0"/>
          <w:marBottom w:val="0"/>
          <w:divBdr>
            <w:top w:val="none" w:sz="0" w:space="0" w:color="auto"/>
            <w:left w:val="none" w:sz="0" w:space="0" w:color="auto"/>
            <w:bottom w:val="none" w:sz="0" w:space="0" w:color="auto"/>
            <w:right w:val="none" w:sz="0" w:space="0" w:color="auto"/>
          </w:divBdr>
        </w:div>
        <w:div w:id="678391182">
          <w:marLeft w:val="640"/>
          <w:marRight w:val="0"/>
          <w:marTop w:val="0"/>
          <w:marBottom w:val="0"/>
          <w:divBdr>
            <w:top w:val="none" w:sz="0" w:space="0" w:color="auto"/>
            <w:left w:val="none" w:sz="0" w:space="0" w:color="auto"/>
            <w:bottom w:val="none" w:sz="0" w:space="0" w:color="auto"/>
            <w:right w:val="none" w:sz="0" w:space="0" w:color="auto"/>
          </w:divBdr>
        </w:div>
        <w:div w:id="1994602143">
          <w:marLeft w:val="640"/>
          <w:marRight w:val="0"/>
          <w:marTop w:val="0"/>
          <w:marBottom w:val="0"/>
          <w:divBdr>
            <w:top w:val="none" w:sz="0" w:space="0" w:color="auto"/>
            <w:left w:val="none" w:sz="0" w:space="0" w:color="auto"/>
            <w:bottom w:val="none" w:sz="0" w:space="0" w:color="auto"/>
            <w:right w:val="none" w:sz="0" w:space="0" w:color="auto"/>
          </w:divBdr>
        </w:div>
        <w:div w:id="40522889">
          <w:marLeft w:val="640"/>
          <w:marRight w:val="0"/>
          <w:marTop w:val="0"/>
          <w:marBottom w:val="0"/>
          <w:divBdr>
            <w:top w:val="none" w:sz="0" w:space="0" w:color="auto"/>
            <w:left w:val="none" w:sz="0" w:space="0" w:color="auto"/>
            <w:bottom w:val="none" w:sz="0" w:space="0" w:color="auto"/>
            <w:right w:val="none" w:sz="0" w:space="0" w:color="auto"/>
          </w:divBdr>
        </w:div>
        <w:div w:id="914315309">
          <w:marLeft w:val="640"/>
          <w:marRight w:val="0"/>
          <w:marTop w:val="0"/>
          <w:marBottom w:val="0"/>
          <w:divBdr>
            <w:top w:val="none" w:sz="0" w:space="0" w:color="auto"/>
            <w:left w:val="none" w:sz="0" w:space="0" w:color="auto"/>
            <w:bottom w:val="none" w:sz="0" w:space="0" w:color="auto"/>
            <w:right w:val="none" w:sz="0" w:space="0" w:color="auto"/>
          </w:divBdr>
        </w:div>
      </w:divsChild>
    </w:div>
    <w:div w:id="1691490322">
      <w:bodyDiv w:val="1"/>
      <w:marLeft w:val="0"/>
      <w:marRight w:val="0"/>
      <w:marTop w:val="0"/>
      <w:marBottom w:val="0"/>
      <w:divBdr>
        <w:top w:val="none" w:sz="0" w:space="0" w:color="auto"/>
        <w:left w:val="none" w:sz="0" w:space="0" w:color="auto"/>
        <w:bottom w:val="none" w:sz="0" w:space="0" w:color="auto"/>
        <w:right w:val="none" w:sz="0" w:space="0" w:color="auto"/>
      </w:divBdr>
    </w:div>
    <w:div w:id="1696729244">
      <w:bodyDiv w:val="1"/>
      <w:marLeft w:val="0"/>
      <w:marRight w:val="0"/>
      <w:marTop w:val="0"/>
      <w:marBottom w:val="0"/>
      <w:divBdr>
        <w:top w:val="none" w:sz="0" w:space="0" w:color="auto"/>
        <w:left w:val="none" w:sz="0" w:space="0" w:color="auto"/>
        <w:bottom w:val="none" w:sz="0" w:space="0" w:color="auto"/>
        <w:right w:val="none" w:sz="0" w:space="0" w:color="auto"/>
      </w:divBdr>
    </w:div>
    <w:div w:id="1708949310">
      <w:bodyDiv w:val="1"/>
      <w:marLeft w:val="0"/>
      <w:marRight w:val="0"/>
      <w:marTop w:val="0"/>
      <w:marBottom w:val="0"/>
      <w:divBdr>
        <w:top w:val="none" w:sz="0" w:space="0" w:color="auto"/>
        <w:left w:val="none" w:sz="0" w:space="0" w:color="auto"/>
        <w:bottom w:val="none" w:sz="0" w:space="0" w:color="auto"/>
        <w:right w:val="none" w:sz="0" w:space="0" w:color="auto"/>
      </w:divBdr>
    </w:div>
    <w:div w:id="1726219764">
      <w:bodyDiv w:val="1"/>
      <w:marLeft w:val="0"/>
      <w:marRight w:val="0"/>
      <w:marTop w:val="0"/>
      <w:marBottom w:val="0"/>
      <w:divBdr>
        <w:top w:val="none" w:sz="0" w:space="0" w:color="auto"/>
        <w:left w:val="none" w:sz="0" w:space="0" w:color="auto"/>
        <w:bottom w:val="none" w:sz="0" w:space="0" w:color="auto"/>
        <w:right w:val="none" w:sz="0" w:space="0" w:color="auto"/>
      </w:divBdr>
    </w:div>
    <w:div w:id="1729693386">
      <w:bodyDiv w:val="1"/>
      <w:marLeft w:val="0"/>
      <w:marRight w:val="0"/>
      <w:marTop w:val="0"/>
      <w:marBottom w:val="0"/>
      <w:divBdr>
        <w:top w:val="none" w:sz="0" w:space="0" w:color="auto"/>
        <w:left w:val="none" w:sz="0" w:space="0" w:color="auto"/>
        <w:bottom w:val="none" w:sz="0" w:space="0" w:color="auto"/>
        <w:right w:val="none" w:sz="0" w:space="0" w:color="auto"/>
      </w:divBdr>
    </w:div>
    <w:div w:id="1736929342">
      <w:bodyDiv w:val="1"/>
      <w:marLeft w:val="0"/>
      <w:marRight w:val="0"/>
      <w:marTop w:val="0"/>
      <w:marBottom w:val="0"/>
      <w:divBdr>
        <w:top w:val="none" w:sz="0" w:space="0" w:color="auto"/>
        <w:left w:val="none" w:sz="0" w:space="0" w:color="auto"/>
        <w:bottom w:val="none" w:sz="0" w:space="0" w:color="auto"/>
        <w:right w:val="none" w:sz="0" w:space="0" w:color="auto"/>
      </w:divBdr>
    </w:div>
    <w:div w:id="1737820528">
      <w:bodyDiv w:val="1"/>
      <w:marLeft w:val="0"/>
      <w:marRight w:val="0"/>
      <w:marTop w:val="0"/>
      <w:marBottom w:val="0"/>
      <w:divBdr>
        <w:top w:val="none" w:sz="0" w:space="0" w:color="auto"/>
        <w:left w:val="none" w:sz="0" w:space="0" w:color="auto"/>
        <w:bottom w:val="none" w:sz="0" w:space="0" w:color="auto"/>
        <w:right w:val="none" w:sz="0" w:space="0" w:color="auto"/>
      </w:divBdr>
      <w:divsChild>
        <w:div w:id="472914054">
          <w:marLeft w:val="0"/>
          <w:marRight w:val="0"/>
          <w:marTop w:val="0"/>
          <w:marBottom w:val="0"/>
          <w:divBdr>
            <w:top w:val="none" w:sz="0" w:space="0" w:color="auto"/>
            <w:left w:val="none" w:sz="0" w:space="0" w:color="auto"/>
            <w:bottom w:val="none" w:sz="0" w:space="0" w:color="auto"/>
            <w:right w:val="none" w:sz="0" w:space="0" w:color="auto"/>
          </w:divBdr>
          <w:divsChild>
            <w:div w:id="678628333">
              <w:marLeft w:val="0"/>
              <w:marRight w:val="0"/>
              <w:marTop w:val="0"/>
              <w:marBottom w:val="0"/>
              <w:divBdr>
                <w:top w:val="none" w:sz="0" w:space="0" w:color="auto"/>
                <w:left w:val="none" w:sz="0" w:space="0" w:color="auto"/>
                <w:bottom w:val="none" w:sz="0" w:space="0" w:color="auto"/>
                <w:right w:val="none" w:sz="0" w:space="0" w:color="auto"/>
              </w:divBdr>
              <w:divsChild>
                <w:div w:id="1605117018">
                  <w:marLeft w:val="0"/>
                  <w:marRight w:val="0"/>
                  <w:marTop w:val="0"/>
                  <w:marBottom w:val="0"/>
                  <w:divBdr>
                    <w:top w:val="none" w:sz="0" w:space="0" w:color="auto"/>
                    <w:left w:val="none" w:sz="0" w:space="0" w:color="auto"/>
                    <w:bottom w:val="none" w:sz="0" w:space="0" w:color="auto"/>
                    <w:right w:val="none" w:sz="0" w:space="0" w:color="auto"/>
                  </w:divBdr>
                  <w:divsChild>
                    <w:div w:id="69156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560010">
      <w:bodyDiv w:val="1"/>
      <w:marLeft w:val="0"/>
      <w:marRight w:val="0"/>
      <w:marTop w:val="0"/>
      <w:marBottom w:val="0"/>
      <w:divBdr>
        <w:top w:val="none" w:sz="0" w:space="0" w:color="auto"/>
        <w:left w:val="none" w:sz="0" w:space="0" w:color="auto"/>
        <w:bottom w:val="none" w:sz="0" w:space="0" w:color="auto"/>
        <w:right w:val="none" w:sz="0" w:space="0" w:color="auto"/>
      </w:divBdr>
    </w:div>
    <w:div w:id="1783068985">
      <w:bodyDiv w:val="1"/>
      <w:marLeft w:val="0"/>
      <w:marRight w:val="0"/>
      <w:marTop w:val="0"/>
      <w:marBottom w:val="0"/>
      <w:divBdr>
        <w:top w:val="none" w:sz="0" w:space="0" w:color="auto"/>
        <w:left w:val="none" w:sz="0" w:space="0" w:color="auto"/>
        <w:bottom w:val="none" w:sz="0" w:space="0" w:color="auto"/>
        <w:right w:val="none" w:sz="0" w:space="0" w:color="auto"/>
      </w:divBdr>
      <w:divsChild>
        <w:div w:id="275522582">
          <w:marLeft w:val="0"/>
          <w:marRight w:val="0"/>
          <w:marTop w:val="0"/>
          <w:marBottom w:val="0"/>
          <w:divBdr>
            <w:top w:val="none" w:sz="0" w:space="0" w:color="auto"/>
            <w:left w:val="none" w:sz="0" w:space="0" w:color="auto"/>
            <w:bottom w:val="none" w:sz="0" w:space="0" w:color="auto"/>
            <w:right w:val="none" w:sz="0" w:space="0" w:color="auto"/>
          </w:divBdr>
          <w:divsChild>
            <w:div w:id="2099252195">
              <w:marLeft w:val="0"/>
              <w:marRight w:val="0"/>
              <w:marTop w:val="0"/>
              <w:marBottom w:val="0"/>
              <w:divBdr>
                <w:top w:val="none" w:sz="0" w:space="0" w:color="auto"/>
                <w:left w:val="none" w:sz="0" w:space="0" w:color="auto"/>
                <w:bottom w:val="none" w:sz="0" w:space="0" w:color="auto"/>
                <w:right w:val="none" w:sz="0" w:space="0" w:color="auto"/>
              </w:divBdr>
              <w:divsChild>
                <w:div w:id="137353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8228">
      <w:bodyDiv w:val="1"/>
      <w:marLeft w:val="0"/>
      <w:marRight w:val="0"/>
      <w:marTop w:val="0"/>
      <w:marBottom w:val="0"/>
      <w:divBdr>
        <w:top w:val="none" w:sz="0" w:space="0" w:color="auto"/>
        <w:left w:val="none" w:sz="0" w:space="0" w:color="auto"/>
        <w:bottom w:val="none" w:sz="0" w:space="0" w:color="auto"/>
        <w:right w:val="none" w:sz="0" w:space="0" w:color="auto"/>
      </w:divBdr>
    </w:div>
    <w:div w:id="1801458831">
      <w:bodyDiv w:val="1"/>
      <w:marLeft w:val="0"/>
      <w:marRight w:val="0"/>
      <w:marTop w:val="0"/>
      <w:marBottom w:val="0"/>
      <w:divBdr>
        <w:top w:val="none" w:sz="0" w:space="0" w:color="auto"/>
        <w:left w:val="none" w:sz="0" w:space="0" w:color="auto"/>
        <w:bottom w:val="none" w:sz="0" w:space="0" w:color="auto"/>
        <w:right w:val="none" w:sz="0" w:space="0" w:color="auto"/>
      </w:divBdr>
    </w:div>
    <w:div w:id="1831943001">
      <w:bodyDiv w:val="1"/>
      <w:marLeft w:val="0"/>
      <w:marRight w:val="0"/>
      <w:marTop w:val="0"/>
      <w:marBottom w:val="0"/>
      <w:divBdr>
        <w:top w:val="none" w:sz="0" w:space="0" w:color="auto"/>
        <w:left w:val="none" w:sz="0" w:space="0" w:color="auto"/>
        <w:bottom w:val="none" w:sz="0" w:space="0" w:color="auto"/>
        <w:right w:val="none" w:sz="0" w:space="0" w:color="auto"/>
      </w:divBdr>
    </w:div>
    <w:div w:id="1866866733">
      <w:bodyDiv w:val="1"/>
      <w:marLeft w:val="0"/>
      <w:marRight w:val="0"/>
      <w:marTop w:val="0"/>
      <w:marBottom w:val="0"/>
      <w:divBdr>
        <w:top w:val="none" w:sz="0" w:space="0" w:color="auto"/>
        <w:left w:val="none" w:sz="0" w:space="0" w:color="auto"/>
        <w:bottom w:val="none" w:sz="0" w:space="0" w:color="auto"/>
        <w:right w:val="none" w:sz="0" w:space="0" w:color="auto"/>
      </w:divBdr>
      <w:divsChild>
        <w:div w:id="136186586">
          <w:marLeft w:val="446"/>
          <w:marRight w:val="0"/>
          <w:marTop w:val="0"/>
          <w:marBottom w:val="0"/>
          <w:divBdr>
            <w:top w:val="none" w:sz="0" w:space="0" w:color="auto"/>
            <w:left w:val="none" w:sz="0" w:space="0" w:color="auto"/>
            <w:bottom w:val="none" w:sz="0" w:space="0" w:color="auto"/>
            <w:right w:val="none" w:sz="0" w:space="0" w:color="auto"/>
          </w:divBdr>
        </w:div>
        <w:div w:id="2112822427">
          <w:marLeft w:val="446"/>
          <w:marRight w:val="0"/>
          <w:marTop w:val="0"/>
          <w:marBottom w:val="0"/>
          <w:divBdr>
            <w:top w:val="none" w:sz="0" w:space="0" w:color="auto"/>
            <w:left w:val="none" w:sz="0" w:space="0" w:color="auto"/>
            <w:bottom w:val="none" w:sz="0" w:space="0" w:color="auto"/>
            <w:right w:val="none" w:sz="0" w:space="0" w:color="auto"/>
          </w:divBdr>
        </w:div>
        <w:div w:id="1057897199">
          <w:marLeft w:val="446"/>
          <w:marRight w:val="0"/>
          <w:marTop w:val="0"/>
          <w:marBottom w:val="0"/>
          <w:divBdr>
            <w:top w:val="none" w:sz="0" w:space="0" w:color="auto"/>
            <w:left w:val="none" w:sz="0" w:space="0" w:color="auto"/>
            <w:bottom w:val="none" w:sz="0" w:space="0" w:color="auto"/>
            <w:right w:val="none" w:sz="0" w:space="0" w:color="auto"/>
          </w:divBdr>
        </w:div>
      </w:divsChild>
    </w:div>
    <w:div w:id="1870408294">
      <w:bodyDiv w:val="1"/>
      <w:marLeft w:val="0"/>
      <w:marRight w:val="0"/>
      <w:marTop w:val="0"/>
      <w:marBottom w:val="0"/>
      <w:divBdr>
        <w:top w:val="none" w:sz="0" w:space="0" w:color="auto"/>
        <w:left w:val="none" w:sz="0" w:space="0" w:color="auto"/>
        <w:bottom w:val="none" w:sz="0" w:space="0" w:color="auto"/>
        <w:right w:val="none" w:sz="0" w:space="0" w:color="auto"/>
      </w:divBdr>
    </w:div>
    <w:div w:id="1877624214">
      <w:bodyDiv w:val="1"/>
      <w:marLeft w:val="0"/>
      <w:marRight w:val="0"/>
      <w:marTop w:val="0"/>
      <w:marBottom w:val="0"/>
      <w:divBdr>
        <w:top w:val="none" w:sz="0" w:space="0" w:color="auto"/>
        <w:left w:val="none" w:sz="0" w:space="0" w:color="auto"/>
        <w:bottom w:val="none" w:sz="0" w:space="0" w:color="auto"/>
        <w:right w:val="none" w:sz="0" w:space="0" w:color="auto"/>
      </w:divBdr>
      <w:divsChild>
        <w:div w:id="887841488">
          <w:marLeft w:val="0"/>
          <w:marRight w:val="0"/>
          <w:marTop w:val="120"/>
          <w:marBottom w:val="360"/>
          <w:divBdr>
            <w:top w:val="none" w:sz="0" w:space="0" w:color="auto"/>
            <w:left w:val="none" w:sz="0" w:space="0" w:color="auto"/>
            <w:bottom w:val="none" w:sz="0" w:space="0" w:color="auto"/>
            <w:right w:val="none" w:sz="0" w:space="0" w:color="auto"/>
          </w:divBdr>
          <w:divsChild>
            <w:div w:id="248781637">
              <w:marLeft w:val="0"/>
              <w:marRight w:val="0"/>
              <w:marTop w:val="0"/>
              <w:marBottom w:val="0"/>
              <w:divBdr>
                <w:top w:val="none" w:sz="0" w:space="0" w:color="auto"/>
                <w:left w:val="none" w:sz="0" w:space="0" w:color="auto"/>
                <w:bottom w:val="none" w:sz="0" w:space="0" w:color="auto"/>
                <w:right w:val="none" w:sz="0" w:space="0" w:color="auto"/>
              </w:divBdr>
            </w:div>
            <w:div w:id="152732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87117">
      <w:bodyDiv w:val="1"/>
      <w:marLeft w:val="0"/>
      <w:marRight w:val="0"/>
      <w:marTop w:val="0"/>
      <w:marBottom w:val="0"/>
      <w:divBdr>
        <w:top w:val="none" w:sz="0" w:space="0" w:color="auto"/>
        <w:left w:val="none" w:sz="0" w:space="0" w:color="auto"/>
        <w:bottom w:val="none" w:sz="0" w:space="0" w:color="auto"/>
        <w:right w:val="none" w:sz="0" w:space="0" w:color="auto"/>
      </w:divBdr>
    </w:div>
    <w:div w:id="1910650675">
      <w:bodyDiv w:val="1"/>
      <w:marLeft w:val="0"/>
      <w:marRight w:val="0"/>
      <w:marTop w:val="0"/>
      <w:marBottom w:val="0"/>
      <w:divBdr>
        <w:top w:val="none" w:sz="0" w:space="0" w:color="auto"/>
        <w:left w:val="none" w:sz="0" w:space="0" w:color="auto"/>
        <w:bottom w:val="none" w:sz="0" w:space="0" w:color="auto"/>
        <w:right w:val="none" w:sz="0" w:space="0" w:color="auto"/>
      </w:divBdr>
      <w:divsChild>
        <w:div w:id="964967538">
          <w:marLeft w:val="0"/>
          <w:marRight w:val="0"/>
          <w:marTop w:val="0"/>
          <w:marBottom w:val="0"/>
          <w:divBdr>
            <w:top w:val="none" w:sz="0" w:space="0" w:color="auto"/>
            <w:left w:val="none" w:sz="0" w:space="0" w:color="auto"/>
            <w:bottom w:val="none" w:sz="0" w:space="0" w:color="auto"/>
            <w:right w:val="none" w:sz="0" w:space="0" w:color="auto"/>
          </w:divBdr>
          <w:divsChild>
            <w:div w:id="184710490">
              <w:marLeft w:val="0"/>
              <w:marRight w:val="0"/>
              <w:marTop w:val="0"/>
              <w:marBottom w:val="0"/>
              <w:divBdr>
                <w:top w:val="none" w:sz="0" w:space="0" w:color="auto"/>
                <w:left w:val="none" w:sz="0" w:space="0" w:color="auto"/>
                <w:bottom w:val="none" w:sz="0" w:space="0" w:color="auto"/>
                <w:right w:val="none" w:sz="0" w:space="0" w:color="auto"/>
              </w:divBdr>
              <w:divsChild>
                <w:div w:id="16083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9627">
      <w:bodyDiv w:val="1"/>
      <w:marLeft w:val="0"/>
      <w:marRight w:val="0"/>
      <w:marTop w:val="0"/>
      <w:marBottom w:val="0"/>
      <w:divBdr>
        <w:top w:val="none" w:sz="0" w:space="0" w:color="auto"/>
        <w:left w:val="none" w:sz="0" w:space="0" w:color="auto"/>
        <w:bottom w:val="none" w:sz="0" w:space="0" w:color="auto"/>
        <w:right w:val="none" w:sz="0" w:space="0" w:color="auto"/>
      </w:divBdr>
    </w:div>
    <w:div w:id="1950240083">
      <w:bodyDiv w:val="1"/>
      <w:marLeft w:val="0"/>
      <w:marRight w:val="0"/>
      <w:marTop w:val="0"/>
      <w:marBottom w:val="0"/>
      <w:divBdr>
        <w:top w:val="none" w:sz="0" w:space="0" w:color="auto"/>
        <w:left w:val="none" w:sz="0" w:space="0" w:color="auto"/>
        <w:bottom w:val="none" w:sz="0" w:space="0" w:color="auto"/>
        <w:right w:val="none" w:sz="0" w:space="0" w:color="auto"/>
      </w:divBdr>
    </w:div>
    <w:div w:id="1963070022">
      <w:bodyDiv w:val="1"/>
      <w:marLeft w:val="0"/>
      <w:marRight w:val="0"/>
      <w:marTop w:val="0"/>
      <w:marBottom w:val="0"/>
      <w:divBdr>
        <w:top w:val="none" w:sz="0" w:space="0" w:color="auto"/>
        <w:left w:val="none" w:sz="0" w:space="0" w:color="auto"/>
        <w:bottom w:val="none" w:sz="0" w:space="0" w:color="auto"/>
        <w:right w:val="none" w:sz="0" w:space="0" w:color="auto"/>
      </w:divBdr>
    </w:div>
    <w:div w:id="1984505799">
      <w:bodyDiv w:val="1"/>
      <w:marLeft w:val="0"/>
      <w:marRight w:val="0"/>
      <w:marTop w:val="0"/>
      <w:marBottom w:val="0"/>
      <w:divBdr>
        <w:top w:val="none" w:sz="0" w:space="0" w:color="auto"/>
        <w:left w:val="none" w:sz="0" w:space="0" w:color="auto"/>
        <w:bottom w:val="none" w:sz="0" w:space="0" w:color="auto"/>
        <w:right w:val="none" w:sz="0" w:space="0" w:color="auto"/>
      </w:divBdr>
      <w:divsChild>
        <w:div w:id="240483383">
          <w:marLeft w:val="0"/>
          <w:marRight w:val="0"/>
          <w:marTop w:val="0"/>
          <w:marBottom w:val="0"/>
          <w:divBdr>
            <w:top w:val="none" w:sz="0" w:space="0" w:color="auto"/>
            <w:left w:val="none" w:sz="0" w:space="0" w:color="auto"/>
            <w:bottom w:val="single" w:sz="8" w:space="1" w:color="auto"/>
            <w:right w:val="none" w:sz="0" w:space="0" w:color="auto"/>
          </w:divBdr>
        </w:div>
      </w:divsChild>
    </w:div>
    <w:div w:id="1985236079">
      <w:bodyDiv w:val="1"/>
      <w:marLeft w:val="0"/>
      <w:marRight w:val="0"/>
      <w:marTop w:val="0"/>
      <w:marBottom w:val="0"/>
      <w:divBdr>
        <w:top w:val="none" w:sz="0" w:space="0" w:color="auto"/>
        <w:left w:val="none" w:sz="0" w:space="0" w:color="auto"/>
        <w:bottom w:val="none" w:sz="0" w:space="0" w:color="auto"/>
        <w:right w:val="none" w:sz="0" w:space="0" w:color="auto"/>
      </w:divBdr>
    </w:div>
    <w:div w:id="2007240206">
      <w:bodyDiv w:val="1"/>
      <w:marLeft w:val="0"/>
      <w:marRight w:val="0"/>
      <w:marTop w:val="0"/>
      <w:marBottom w:val="0"/>
      <w:divBdr>
        <w:top w:val="none" w:sz="0" w:space="0" w:color="auto"/>
        <w:left w:val="none" w:sz="0" w:space="0" w:color="auto"/>
        <w:bottom w:val="none" w:sz="0" w:space="0" w:color="auto"/>
        <w:right w:val="none" w:sz="0" w:space="0" w:color="auto"/>
      </w:divBdr>
    </w:div>
    <w:div w:id="2042900782">
      <w:bodyDiv w:val="1"/>
      <w:marLeft w:val="0"/>
      <w:marRight w:val="0"/>
      <w:marTop w:val="0"/>
      <w:marBottom w:val="0"/>
      <w:divBdr>
        <w:top w:val="none" w:sz="0" w:space="0" w:color="auto"/>
        <w:left w:val="none" w:sz="0" w:space="0" w:color="auto"/>
        <w:bottom w:val="none" w:sz="0" w:space="0" w:color="auto"/>
        <w:right w:val="none" w:sz="0" w:space="0" w:color="auto"/>
      </w:divBdr>
      <w:divsChild>
        <w:div w:id="932132020">
          <w:marLeft w:val="0"/>
          <w:marRight w:val="0"/>
          <w:marTop w:val="0"/>
          <w:marBottom w:val="0"/>
          <w:divBdr>
            <w:top w:val="none" w:sz="0" w:space="0" w:color="auto"/>
            <w:left w:val="none" w:sz="0" w:space="0" w:color="auto"/>
            <w:bottom w:val="none" w:sz="0" w:space="0" w:color="auto"/>
            <w:right w:val="none" w:sz="0" w:space="0" w:color="auto"/>
          </w:divBdr>
          <w:divsChild>
            <w:div w:id="4482410">
              <w:marLeft w:val="0"/>
              <w:marRight w:val="0"/>
              <w:marTop w:val="0"/>
              <w:marBottom w:val="0"/>
              <w:divBdr>
                <w:top w:val="none" w:sz="0" w:space="0" w:color="auto"/>
                <w:left w:val="none" w:sz="0" w:space="0" w:color="auto"/>
                <w:bottom w:val="none" w:sz="0" w:space="0" w:color="auto"/>
                <w:right w:val="none" w:sz="0" w:space="0" w:color="auto"/>
              </w:divBdr>
              <w:divsChild>
                <w:div w:id="1978410160">
                  <w:marLeft w:val="0"/>
                  <w:marRight w:val="0"/>
                  <w:marTop w:val="0"/>
                  <w:marBottom w:val="0"/>
                  <w:divBdr>
                    <w:top w:val="none" w:sz="0" w:space="0" w:color="auto"/>
                    <w:left w:val="none" w:sz="0" w:space="0" w:color="auto"/>
                    <w:bottom w:val="none" w:sz="0" w:space="0" w:color="auto"/>
                    <w:right w:val="none" w:sz="0" w:space="0" w:color="auto"/>
                  </w:divBdr>
                  <w:divsChild>
                    <w:div w:id="20541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742719">
      <w:bodyDiv w:val="1"/>
      <w:marLeft w:val="0"/>
      <w:marRight w:val="0"/>
      <w:marTop w:val="0"/>
      <w:marBottom w:val="0"/>
      <w:divBdr>
        <w:top w:val="none" w:sz="0" w:space="0" w:color="auto"/>
        <w:left w:val="none" w:sz="0" w:space="0" w:color="auto"/>
        <w:bottom w:val="none" w:sz="0" w:space="0" w:color="auto"/>
        <w:right w:val="none" w:sz="0" w:space="0" w:color="auto"/>
      </w:divBdr>
    </w:div>
    <w:div w:id="2051877643">
      <w:bodyDiv w:val="1"/>
      <w:marLeft w:val="0"/>
      <w:marRight w:val="0"/>
      <w:marTop w:val="0"/>
      <w:marBottom w:val="0"/>
      <w:divBdr>
        <w:top w:val="none" w:sz="0" w:space="0" w:color="auto"/>
        <w:left w:val="none" w:sz="0" w:space="0" w:color="auto"/>
        <w:bottom w:val="none" w:sz="0" w:space="0" w:color="auto"/>
        <w:right w:val="none" w:sz="0" w:space="0" w:color="auto"/>
      </w:divBdr>
    </w:div>
    <w:div w:id="2058894933">
      <w:bodyDiv w:val="1"/>
      <w:marLeft w:val="0"/>
      <w:marRight w:val="0"/>
      <w:marTop w:val="0"/>
      <w:marBottom w:val="0"/>
      <w:divBdr>
        <w:top w:val="none" w:sz="0" w:space="0" w:color="auto"/>
        <w:left w:val="none" w:sz="0" w:space="0" w:color="auto"/>
        <w:bottom w:val="none" w:sz="0" w:space="0" w:color="auto"/>
        <w:right w:val="none" w:sz="0" w:space="0" w:color="auto"/>
      </w:divBdr>
    </w:div>
    <w:div w:id="2059894662">
      <w:bodyDiv w:val="1"/>
      <w:marLeft w:val="0"/>
      <w:marRight w:val="0"/>
      <w:marTop w:val="0"/>
      <w:marBottom w:val="0"/>
      <w:divBdr>
        <w:top w:val="none" w:sz="0" w:space="0" w:color="auto"/>
        <w:left w:val="none" w:sz="0" w:space="0" w:color="auto"/>
        <w:bottom w:val="none" w:sz="0" w:space="0" w:color="auto"/>
        <w:right w:val="none" w:sz="0" w:space="0" w:color="auto"/>
      </w:divBdr>
      <w:divsChild>
        <w:div w:id="74209536">
          <w:marLeft w:val="0"/>
          <w:marRight w:val="0"/>
          <w:marTop w:val="0"/>
          <w:marBottom w:val="0"/>
          <w:divBdr>
            <w:top w:val="none" w:sz="0" w:space="0" w:color="auto"/>
            <w:left w:val="none" w:sz="0" w:space="0" w:color="auto"/>
            <w:bottom w:val="none" w:sz="0" w:space="0" w:color="auto"/>
            <w:right w:val="none" w:sz="0" w:space="0" w:color="auto"/>
          </w:divBdr>
          <w:divsChild>
            <w:div w:id="1963147475">
              <w:marLeft w:val="0"/>
              <w:marRight w:val="0"/>
              <w:marTop w:val="0"/>
              <w:marBottom w:val="0"/>
              <w:divBdr>
                <w:top w:val="none" w:sz="0" w:space="0" w:color="auto"/>
                <w:left w:val="none" w:sz="0" w:space="0" w:color="auto"/>
                <w:bottom w:val="none" w:sz="0" w:space="0" w:color="auto"/>
                <w:right w:val="none" w:sz="0" w:space="0" w:color="auto"/>
              </w:divBdr>
              <w:divsChild>
                <w:div w:id="7027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9273">
      <w:bodyDiv w:val="1"/>
      <w:marLeft w:val="0"/>
      <w:marRight w:val="0"/>
      <w:marTop w:val="0"/>
      <w:marBottom w:val="0"/>
      <w:divBdr>
        <w:top w:val="none" w:sz="0" w:space="0" w:color="auto"/>
        <w:left w:val="none" w:sz="0" w:space="0" w:color="auto"/>
        <w:bottom w:val="none" w:sz="0" w:space="0" w:color="auto"/>
        <w:right w:val="none" w:sz="0" w:space="0" w:color="auto"/>
      </w:divBdr>
      <w:divsChild>
        <w:div w:id="1919560860">
          <w:marLeft w:val="0"/>
          <w:marRight w:val="0"/>
          <w:marTop w:val="0"/>
          <w:marBottom w:val="0"/>
          <w:divBdr>
            <w:top w:val="none" w:sz="0" w:space="0" w:color="auto"/>
            <w:left w:val="none" w:sz="0" w:space="0" w:color="auto"/>
            <w:bottom w:val="none" w:sz="0" w:space="0" w:color="auto"/>
            <w:right w:val="none" w:sz="0" w:space="0" w:color="auto"/>
          </w:divBdr>
          <w:divsChild>
            <w:div w:id="1409422570">
              <w:marLeft w:val="0"/>
              <w:marRight w:val="0"/>
              <w:marTop w:val="0"/>
              <w:marBottom w:val="0"/>
              <w:divBdr>
                <w:top w:val="none" w:sz="0" w:space="0" w:color="auto"/>
                <w:left w:val="none" w:sz="0" w:space="0" w:color="auto"/>
                <w:bottom w:val="none" w:sz="0" w:space="0" w:color="auto"/>
                <w:right w:val="none" w:sz="0" w:space="0" w:color="auto"/>
              </w:divBdr>
              <w:divsChild>
                <w:div w:id="9508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280885">
      <w:bodyDiv w:val="1"/>
      <w:marLeft w:val="0"/>
      <w:marRight w:val="0"/>
      <w:marTop w:val="0"/>
      <w:marBottom w:val="0"/>
      <w:divBdr>
        <w:top w:val="none" w:sz="0" w:space="0" w:color="auto"/>
        <w:left w:val="none" w:sz="0" w:space="0" w:color="auto"/>
        <w:bottom w:val="none" w:sz="0" w:space="0" w:color="auto"/>
        <w:right w:val="none" w:sz="0" w:space="0" w:color="auto"/>
      </w:divBdr>
    </w:div>
    <w:div w:id="2102218579">
      <w:bodyDiv w:val="1"/>
      <w:marLeft w:val="0"/>
      <w:marRight w:val="0"/>
      <w:marTop w:val="0"/>
      <w:marBottom w:val="0"/>
      <w:divBdr>
        <w:top w:val="none" w:sz="0" w:space="0" w:color="auto"/>
        <w:left w:val="none" w:sz="0" w:space="0" w:color="auto"/>
        <w:bottom w:val="none" w:sz="0" w:space="0" w:color="auto"/>
        <w:right w:val="none" w:sz="0" w:space="0" w:color="auto"/>
      </w:divBdr>
      <w:divsChild>
        <w:div w:id="1734768074">
          <w:marLeft w:val="0"/>
          <w:marRight w:val="0"/>
          <w:marTop w:val="0"/>
          <w:marBottom w:val="0"/>
          <w:divBdr>
            <w:top w:val="none" w:sz="0" w:space="0" w:color="auto"/>
            <w:left w:val="none" w:sz="0" w:space="0" w:color="auto"/>
            <w:bottom w:val="none" w:sz="0" w:space="0" w:color="auto"/>
            <w:right w:val="none" w:sz="0" w:space="0" w:color="auto"/>
          </w:divBdr>
          <w:divsChild>
            <w:div w:id="1571109838">
              <w:marLeft w:val="0"/>
              <w:marRight w:val="0"/>
              <w:marTop w:val="0"/>
              <w:marBottom w:val="0"/>
              <w:divBdr>
                <w:top w:val="none" w:sz="0" w:space="0" w:color="auto"/>
                <w:left w:val="none" w:sz="0" w:space="0" w:color="auto"/>
                <w:bottom w:val="none" w:sz="0" w:space="0" w:color="auto"/>
                <w:right w:val="none" w:sz="0" w:space="0" w:color="auto"/>
              </w:divBdr>
              <w:divsChild>
                <w:div w:id="8580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71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Noir">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8D28F0-F03F-5E4C-85F1-B3363D3B2FD4}">
  <we:reference id="wa104382081" version="1.7.0.0" store="en-001" storeType="OMEX"/>
  <we:alternateReferences>
    <we:reference id="wa104382081" version="1.7.0.0" store="wa104382081" storeType="OMEX"/>
  </we:alternateReferences>
  <we:properties>
    <we:property name="MENDELEY_CITATIONS" value="[{&quot;citationID&quot;:&quot;MENDELEY_CITATION_824e2509-91c5-45ab-a5c8-a806eafefe58&quot;,&quot;citationItems&quot;:[{&quot;id&quot;:&quot;bf8c7194-da92-339f-980a-5ecd23dbf33b&quot;,&quot;itemData&quot;:{&quot;type&quot;:&quot;article-journal&quot;,&quot;id&quot;:&quot;bf8c7194-da92-339f-980a-5ecd23dbf33b&quot;,&quot;title&quot;:&quot;Brain structures and mechanisms involved in the generation of REM sleep&quot;,&quot;author&quot;:[{&quot;family&quot;:&quot;Reinoso-Suárez&quot;,&quot;given&quot;:&quot;Fernando&quot;,&quot;parse-names&quot;:false,&quot;dropping-particle&quot;:&quot;&quot;,&quot;non-dropping-particle&quot;:&quot;&quot;},{&quot;family&quot;:&quot;Andrés&quot;,&quot;given&quot;:&quot;Isabel&quot;,&quot;parse-names&quot;:false,&quot;dropping-particle&quot;:&quot;&quot;,&quot;non-dropping-particle&quot;:&quot;de&quot;},{&quot;family&quot;:&quot;Rodrigo-Angulo&quot;,&quot;given&quot;:&quot;Margarita L.&quot;,&quot;parse-names&quot;:false,&quot;dropping-particle&quot;:&quot;&quot;,&quot;non-dropping-particle&quot;:&quot;&quot;},{&quot;family&quot;:&quot;Garzón&quot;,&quot;given&quot;:&quot;Miguel&quot;,&quot;parse-names&quot;:false,&quot;dropping-particle&quot;:&quot;&quot;,&quot;non-dropping-particle&quot;:&quot;&quot;}],&quot;container-title&quot;:&quot;Sleep Medicine Reviews&quot;,&quot;accessed&quot;:{&quot;date-parts&quot;:[[2021,6,30]]},&quot;DOI&quot;:&quot;10.1053/smrv.2000.0136&quot;,&quot;ISSN&quot;:&quot;10870792&quot;,&quot;URL&quot;:&quot;https://pubmed.ncbi.nlm.nih.gov/12531045/&quot;,&quot;issued&quot;:{&quot;date-parts&quot;:[[2001]]},&quot;page&quot;:&quot;63-77&quot;,&quot;abstract&quot;:&quot;This article reviews the central nervous mechanisms involved in the broad network that generates and maintains REM sleep. Experimental investigations have identified the pontine tegmentum as the critical substrate for REM sleep mechanisms. Several pontine structures are involved in the generation of each particular polygraphic event that characterizes REM sleep: desynchronization in the electroencephalogram, theta rhythm in the hippocampus, muscle atonia, pontogeniculooccipital waves and rapid eye movements. The pontine tegmentum also holds the region where cholinergic stimulation can trigger all the behavioural and bioelectric signs of REM sleep. The exact location has been investigated and amply discussed over the last few years. Studies in the authors' laboratory, mapping the pontine tegmentum with small volume carbachol (a cholinergic agonist) microinjections, have demonstrated that the executive neurons for REM sleep generation are neither located in the dorsal part of the pontine tegmentum, nor diffusely spread through the medial pontine reticular formation: they are concentrated in a discrete area in the ventral part of the oral pontine reticular nucleus (vRPO). In turn, the vRPO has connections with structures involved in the generation of the other states of the sleep-wake cycle as well as with structures responsible for the generation of each of the different events characterizing REM sleep. This allows us to propose the vRPO as the crucial region for REM sleep generation. Related research, with in-vivo and in-vitro experiments, into the actions of different neurotransmitters on vRPO neurones indicates that not only acetylcholine but other neurotransmitters have an active key role in vRPO REM sleep generation mechanisms. © 2001 Harcourt Publishers Ltd.&quot;,&quot;publisher&quot;:&quot;W.B. Saunders Ltd&quot;,&quot;issue&quot;:&quot;1&quot;,&quot;volume&quot;:&quot;5&quot;},&quot;isTemporary&quot;:false},{&quot;id&quot;:&quot;da2a9eb8-f845-39f6-94e5-c1aeeca694a5&quot;,&quot;itemData&quot;:{&quot;type&quot;:&quot;article-journal&quot;,&quot;id&quot;:&quot;da2a9eb8-f845-39f6-94e5-c1aeeca694a5&quot;,&quot;title&quot;:&quot;The cholinergic system, EEG and sleep&quot;,&quot;author&quot;:[{&quot;family&quot;:&quot;Platt&quot;,&quot;given&quot;:&quot;Bettina&quot;,&quot;parse-names&quot;:false,&quot;dropping-particle&quot;:&quot;&quot;,&quot;non-dropping-particle&quot;:&quot;&quot;},{&quot;family&quot;:&quot;Riedel&quot;,&quot;given&quot;:&quot;Gernot&quot;,&quot;parse-names&quot;:false,&quot;dropping-particle&quot;:&quot;&quot;,&quot;non-dropping-particle&quot;:&quot;&quot;}],&quot;container-title&quot;:&quot;Behavioural Brain Research&quot;,&quot;accessed&quot;:{&quot;date-parts&quot;:[[2021,6,30]]},&quot;DOI&quot;:&quot;10.1016/j.bbr.2011.01.017&quot;,&quot;ISSN&quot;:&quot;01664328&quot;,&quot;PMID&quot;:&quot;21238497&quot;,&quot;URL&quot;:&quot;https://pubmed.ncbi.nlm.nih.gov/21238497/&quot;,&quot;issued&quot;:{&quot;date-parts&quot;:[[2011,8,10]]},&quot;page&quot;:&quot;499-504&quot;,&quot;abstract&quot;:&quot;Acetylcholine is a potent excitatory neurotransmitter, crucial for cognition and the control of alertness and arousal. Vigilance-specific recordings of the electroencephalogram (EEG) potently reflect thalamo-cortical and brainstem-cortical cholinergic activity that drives theta rhythms and task-specific cortical (de-synchronisation. Additionally, cholinergic projections from the basal forebrain act as a relay centre for the brainstem-cortical arousal system, but also directly modulate cortical activity, and thus promote wakefulness or rapid-eye movement (REM) sleep. Disease states such as sleep disorders, dementia and certain types of epilepsy are a further reflection of the potent cholinergic impact on CNS physiology and function, and highlight the relevance and inter-dependence of sleep and EEG. With novel technologies and computational tools now becoming available, advanced mechanistic insights may be gained and new avenues explored for diagnostics and therapeutics. © 2011 Elsevier B.V.&quot;,&quot;publisher&quot;:&quot;Behav Brain Res&quot;,&quot;issue&quot;:&quot;2&quot;,&quot;volume&quot;:&quot;221&quot;},&quot;isTemporary&quot;:false}],&quot;properties&quot;:{&quot;noteIndex&quot;:0},&quot;isEdited&quot;:false,&quot;manualOverride&quot;:{&quot;isManuallyOverriden&quot;:false,&quot;citeprocText&quot;:&quot;&lt;sup&gt;1,2&lt;/sup&gt;&quot;,&quot;manualOverrideText&quot;:&quot;&quot;},&quot;citationTag&quot;:&quot;MENDELEY_CITATION_v3_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&quot;},{&quot;citationID&quot;:&quot;MENDELEY_CITATION_7e18ed6d-725d-403e-84cb-aeb91eff9700&quot;,&quot;citationItems&quot;:[{&quot;id&quot;:&quot;20bf6d8c-734f-3c0c-abd9-a25b94008c4b&quot;,&quot;itemData&quot;:{&quot;type&quot;:&quot;article-journal&quot;,&quot;id&quot;:&quot;20bf6d8c-734f-3c0c-abd9-a25b94008c4b&quot;,&quot;title&quot;:&quot;Sleep and quantitative EEG in neurodegenerative disorders&quot;,&quot;author&quot;:[{&quot;family&quot;:&quot;Petit&quot;,&quot;given&quot;:&quot;Dominique&quot;,&quot;parse-names&quot;:false,&quot;dropping-particle&quot;:&quot;&quot;,&quot;non-dropping-particle&quot;:&quot;&quot;},{&quot;family&quot;:&quot;Gagnon&quot;,&quot;given&quot;:&quot;Jean-François François&quot;,&quot;parse-names&quot;:false,&quot;dropping-particle&quot;:&quot;&quot;,&quot;non-dropping-particle&quot;:&quot;&quot;},{&quot;family&quot;:&quot;Fantini&quot;,&quot;given&quot;:&quot;Maria Livia&quot;,&quot;parse-names&quot;:false,&quot;dropping-particle&quot;:&quot;&quot;,&quot;non-dropping-particle&quot;:&quot;&quot;},{&quot;family&quot;:&quot;Ferini-Strambi&quot;,&quot;given&quot;:&quot;Luigi&quot;,&quot;parse-names&quot;:false,&quot;dropping-particle&quot;:&quot;&quot;,&quot;non-dropping-particle&quot;:&quot;&quot;},{&quot;family&quot;:&quot;Montplaisir&quot;,&quot;given&quot;:&quot;Jacques&quot;,&quot;parse-names&quot;:false,&quot;dropping-particle&quot;:&quot;&quot;,&quot;non-dropping-particle&quot;:&quot;&quot;}],&quot;container-title&quot;:&quot;Journal of Psychosomatic Research&quot;,&quot;accessed&quot;:{&quot;date-parts&quot;:[[2019,7,27]]},&quot;DOI&quot;:&quot;10.1016/j.jpsychores.2004.02.001&quot;,&quot;ISBN&quot;:&quot;0022-3999 (Print)&quot;,&quot;ISSN&quot;:&quot;00223999&quot;,&quot;PMID&quot;:&quot;15172204&quot;,&quot;URL&quot;:&quot;http://www.ncbi.nlm.nih.gov/pubmed/15172204&quot;,&quot;issued&quot;:{&quot;date-parts&quot;:[[2004,5]]},&quot;page&quot;:&quot;487-96&quot;,&quot;abstract&quot;:&quot;This paper reviews current knowledge on sleep problems, sleep architecture changes and quantitative EEG alteration brought on by various neurodegenerative diseases, such as Alzheimer's disease (AD), progressive supranuclear palsy (PSP), REM sleep behavior disorder (RBD), Parkinson's disease (PD), dementia with Lewy bodies (DLB), multiple system atrophy MSA, Huntington's disease and Creutzfeldt-Jakob disease, in comparison to normal aging. The study of sleep variables and that of the spectral composition of the EEG can provide valuable information for understanding the pathophysiology and for assisting the diagnosis of neurodegenerative diseases. © 2004 Elsevier Inc. All rights reserved.&quot;,&quot;issue&quot;:&quot;5&quot;,&quot;volume&quot;:&quot;56&quot;},&quot;isTemporary&quot;:false},{&quot;id&quot;:&quot;1bf09dd4-b6b6-3139-a209-36cd57eaf4ea&quot;,&quot;itemData&quot;:{&quot;type&quot;:&quot;article-journal&quot;,&quot;id&quot;:&quot;1bf09dd4-b6b6-3139-a209-36cd57eaf4ea&quot;,&quot;title&quot;:&quot;Quantitative EEG and Statistical Mapping of Wakefulness and REM Sleep in the Evaluation of Mild to Moderate Alzheimer’s Disease&quot;,&quot;author&quot;:[{&quot;family&quot;:&quot;Hassainia&quot;,&quot;given&quot;:&quot;Farid&quot;,&quot;parse-names&quot;:false,&quot;dropping-particle&quot;:&quot;&quot;,&quot;non-dropping-particle&quot;:&quot;&quot;},{&quot;family&quot;:&quot;Petit&quot;,&quot;given&quot;:&quot;Dominique&quot;,&quot;parse-names&quot;:false,&quot;dropping-particle&quot;:&quot;&quot;,&quot;non-dropping-particle&quot;:&quot;&quot;},{&quot;family&quot;:&quot;Nielsen&quot;,&quot;given&quot;:&quot;Tore&quot;,&quot;parse-names&quot;:false,&quot;dropping-particle&quot;:&quot;&quot;,&quot;non-dropping-particle&quot;:&quot;&quot;},{&quot;family&quot;:&quot;Gauthier&quot;,&quot;given&quot;:&quot;Serge&quot;,&quot;parse-names&quot;:false,&quot;dropping-particle&quot;:&quot;&quot;,&quot;non-dropping-particle&quot;:&quot;&quot;},{&quot;family&quot;:&quot;Montplaisir&quot;,&quot;given&quot;:&quot;Jacques&quot;,&quot;parse-names&quot;:false,&quot;dropping-particle&quot;:&quot;&quot;,&quot;non-dropping-particle&quot;:&quot;&quot;}],&quot;container-title&quot;:&quot;European Neurology&quot;,&quot;accessed&quot;:{&quot;date-parts&quot;:[[2019,8,1]]},&quot;DOI&quot;:&quot;10.1159/000117446&quot;,&quot;ISSN&quot;:&quot;14219913&quot;,&quot;PMID&quot;:&quot;9208261&quot;,&quot;URL&quot;:&quot;http://www.ncbi.nlm.nih.gov/pubmed/9208261&quot;,&quot;issued&quot;:{&quot;date-parts&quot;:[[1997]]},&quot;page&quot;:&quot;219-224&quot;,&quot;abstract&quot;:&quot;Statistical probability mapping was used to quantify and localize EEG differences between 27 patients with Alzheimer's disease (AD) and 25 age- and gener-matched controls. Differences in mean activity in four EEG frequency bands (delta, theta, alpha, beta) for wakefulness and for REM sleep were examined, t-statistic maps clearly highlighted common pattern anomalies in AD patients in the two states. More specifically, Alzheimer patients were more affected than control subjects in parieto-temporal and frontal regions. These differences were more prominent in REM sleep and consisted primarily in an increase in absolute delta and theta activities, and a decrease in absolute alpha and beta activities. Discriminant analysis, using a ratio of slow over fast frequencies, yielded a classification rate of 90.4% (sensitivity 81.5%, specificity 100%) for REM sleep. For wakefulness, the same measure allowed correct classification of 80.8% of the subjects (sensitivity 66.7%, specificity 96%).&quot;,&quot;issue&quot;:&quot;4&quot;,&quot;volume&quot;:&quot;37&quot;},&quot;isTemporary&quot;:false},{&quot;id&quot;:&quot;e1c89dac-a2fa-33b1-ae54-4d4fd8d9e34e&quot;,&quot;itemData&quot;:{&quot;type&quot;:&quot;article-journal&quot;,&quot;id&quot;:&quot;e1c89dac-a2fa-33b1-ae54-4d4fd8d9e34e&quot;,&quot;title&quot;:&quot;Regional spectral analysis of the REM sleep EEG in mild to moderate Alzheimer's disease.&quot;,&quot;author&quot;:[{&quot;family&quot;:&quot;Petit&quot;,&quot;given&quot;:&quot;D&quot;,&quot;parse-names&quot;:false,&quot;dropping-particle&quot;:&quot;&quot;,&quot;non-dropping-particle&quot;:&quot;&quot;},{&quot;family&quot;:&quot;Lorrain&quot;,&quot;given&quot;:&quot;D&quot;,&quot;parse-names&quot;:false,&quot;dropping-particle&quot;:&quot;&quot;,&quot;non-dropping-particle&quot;:&quot;&quot;},{&quot;family&quot;:&quot;Gauthier&quot;,&quot;given&quot;:&quot;S&quot;,&quot;parse-names&quot;:false,&quot;dropping-particle&quot;:&quot;&quot;,&quot;non-dropping-particle&quot;:&quot;&quot;},{&quot;family&quot;:&quot;Montplaisir&quot;,&quot;given&quot;:&quot;J&quot;,&quot;parse-names&quot;:false,&quot;dropping-particle&quot;:&quot;&quot;,&quot;non-dropping-particle&quot;:&quot;&quot;}],&quot;container-title&quot;:&quot;Neurobiology of aging&quot;,&quot;DOI&quot;:&quot;10.1016/0197-4580(93)90089-T&quot;,&quot;ISSN&quot;:&quot;0197-4580&quot;,&quot;PMID&quot;:&quot;8487916&quot;,&quot;issued&quot;:{&quot;date-parts&quot;:[[1993]]},&quot;page&quot;:&quot;141-5&quot;,&quot;abstract&quot;:&quot;Regional spectral analyses of the EEG during wakefulness and REM sleep was performed in eight patients with mild to moderate Alzheimer's disease and compared to that of healthy age-matched controls. Alzheimer patients presented some EEG slowing in frontal, parieto-occipital and temporal regions in the waking state. However, this EEG slowing was much better revealed in REM sleep, whether expressed by the ratio of slow to fast frequencies or by changes in each of the frequency bands. Moreover, regional differences in EEG slowing, relatively nonexistent in the awake EEG, were a prominent feature of the REM sleep EEG. Importance of cholinergic basal forebrain in the desynchronization of the REM sleep EEG might explain these results because this structure is affected in early Alzheimer's disease.&quot;,&quot;issue&quot;:&quot;2&quot;,&quot;volume&quot;:&quot;14&quot;},&quot;isTemporary&quot;:false},{&quot;id&quot;:&quot;d8e48868-6578-3b97-b190-a2d072ae1b5e&quot;,&quot;itemData&quot;:{&quot;type&quot;:&quot;article-journal&quot;,&quot;id&quot;:&quot;d8e48868-6578-3b97-b190-a2d072ae1b5e&quot;,&quot;title&quot;:&quot;Sleep and Alzheimer's disease.&quot;,&quot;author&quot;:[{&quot;family&quot;:&quot;Peter-Derex&quot;,&quot;given&quot;:&quot;Laure&quot;,&quot;parse-names&quot;:false,&quot;dropping-particle&quot;:&quot;&quot;,&quot;non-dropping-particle&quot;:&quot;&quot;},{&quot;family&quot;:&quot;Yammine&quot;,&quot;given&quot;:&quot;Pierre&quot;,&quot;parse-names&quot;:false,&quot;dropping-particle&quot;:&quot;&quot;,&quot;non-dropping-particle&quot;:&quot;&quot;},{&quot;family&quot;:&quot;Bastuji&quot;,&quot;given&quot;:&quot;Hélène&quot;,&quot;parse-names&quot;:false,&quot;dropping-particle&quot;:&quot;&quot;,&quot;non-dropping-particle&quot;:&quot;&quot;},{&quot;family&quot;:&quot;Croisile&quot;,&quot;given&quot;:&quot;Bernard&quot;,&quot;parse-names&quot;:false,&quot;dropping-particle&quot;:&quot;&quot;,&quot;non-dropping-particle&quot;:&quot;&quot;}],&quot;container-title&quot;:&quot;Sleep medicine reviews&quot;,&quot;DOI&quot;:&quot;10.1016/j.smrv.2014.03.007&quot;,&quot;ISSN&quot;:&quot;1532-2955&quot;,&quot;PMID&quot;:&quot;24846773&quot;,&quot;URL&quot;:&quot;http://www.ncbi.nlm.nih.gov/pubmed/24846773&quot;,&quot;issued&quot;:{&quot;date-parts&quot;:[[2015]]},&quot;page&quot;:&quot;29-38&quot;,&quot;abstract&quot;:&quot;Sleep disorders are frequent in Alzheimer's disease (AD), with a significant impact on patients and caregivers and a major risk factor for early institutionalization. Micro-architectural sleep alterations, nocturnal sleep fragmentation, decrease in nocturnal sleep duration, diurnal napping and even inversion of the sleep-wake cycle are the main disorders observed in patients with AD. Experimental and epidemiological evidence for a close reciprocal interaction between cognitive decline and sleep alterations is growing. Management of sleep disorders in AD is pre-eminently behavioral. Association of melatonin and bright light treatment seems to be promising as well. The presence of sleep complaints, especially excessive somnolence in demented patients, should draw attention to possible associated sleep pathologies such as sleep apnea syndrome or restless legs syndrome.&quot;,&quot;volume&quot;:&quot;19&quot;},&quot;isTemporary&quot;:false},{&quot;id&quot;:&quot;8e52c3da-dc95-3112-b8db-58ed28c6e235&quot;,&quot;itemData&quot;:{&quot;type&quot;:&quot;article-journal&quot;,&quot;id&quot;:&quot;8e52c3da-dc95-3112-b8db-58ed28c6e235&quot;,&quot;title&quot;:&quot;Non-rapid eye movement sleep instability in mild cognitive impairment: A pilot study&quot;,&quot;author&quot;:[{&quot;family&quot;:&quot;Maestri&quot;,&quot;given&quot;:&quot;Michelangelo&quot;,&quot;parse-names&quot;:false,&quot;dropping-particle&quot;:&quot;&quot;,&quot;non-dropping-particle&quot;:&quot;&quot;},{&quot;family&quot;:&quot;Carnicelli&quot;,&quot;given&quot;:&quot;Luca&quot;,&quot;parse-names&quot;:false,&quot;dropping-particle&quot;:&quot;&quot;,&quot;non-dropping-particle&quot;:&quot;&quot;},{&quot;family&quot;:&quot;Tognoni&quot;,&quot;given&quot;:&quot;Gloria&quot;,&quot;parse-names&quot;:false,&quot;dropping-particle&quot;:&quot;&quot;,&quot;non-dropping-particle&quot;:&quot;&quot;},{&quot;family&quot;:&quot;Coscio&quot;,&quot;given&quot;:&quot;Elisa&quot;,&quot;parse-names&quot;:false,&quot;dropping-particle&quot;:&quot;&quot;,&quot;non-dropping-particle&quot;:&quot;di&quot;},{&quot;family&quot;:&quot;Giorgi&quot;,&quot;given&quot;:&quot;Filippo Sean&quot;,&quot;parse-names&quot;:false,&quot;dropping-particle&quot;:&quot;&quot;,&quot;non-dropping-particle&quot;:&quot;&quot;},{&quot;family&quot;:&quot;Volpi&quot;,&quot;given&quot;:&quot;Leda&quot;,&quot;parse-names&quot;:false,&quot;dropping-particle&quot;:&quot;&quot;,&quot;non-dropping-particle&quot;:&quot;&quot;},{&quot;family&quot;:&quot;Economou&quot;,&quot;given&quot;:&quot;Nicholas Tiberio&quot;,&quot;parse-names&quot;:false,&quot;dropping-particle&quot;:&quot;&quot;,&quot;non-dropping-particle&quot;:&quot;&quot;},{&quot;family&quot;:&quot;Ktonas&quot;,&quot;given&quot;:&quot;Periklis&quot;,&quot;parse-names&quot;:false,&quot;dropping-particle&quot;:&quot;&quot;,&quot;non-dropping-particle&quot;:&quot;&quot;},{&quot;family&quot;:&quot;Ferri&quot;,&quot;given&quot;:&quot;Raffaele&quot;,&quot;parse-names&quot;:false,&quot;dropping-particle&quot;:&quot;&quot;,&quot;non-dropping-particle&quot;:&quot;&quot;},{&quot;family&quot;:&quot;Bonuccelli&quot;,&quot;given&quot;:&quot;Ubaldo&quot;,&quot;parse-names&quot;:false,&quot;dropping-particle&quot;:&quot;&quot;,&quot;non-dropping-particle&quot;:&quot;&quot;},{&quot;family&quot;:&quot;Bonanni&quot;,&quot;given&quot;:&quot;Enrica&quot;,&quot;parse-names&quot;:false,&quot;dropping-particle&quot;:&quot;&quot;,&quot;non-dropping-particle&quot;:&quot;&quot;}],&quot;container-title&quot;:&quot;Sleep Medicine&quot;,&quot;accessed&quot;:{&quot;date-parts&quot;:[[2019,7,28]]},&quot;DOI&quot;:&quot;10.1016/j.sleep.2015.04.027&quot;,&quot;ISSN&quot;:&quot;18785506&quot;,&quot;issued&quot;:{&quot;date-parts&quot;:[[2015]]},&quot;abstract&quot;:&quot;Objective: Polysomnographic (PSG) studies in mild cognitive impairment (MCI) are not conclusive and are limited only to conventional sleep parameters. The aim of our study was to evaluate sleep architecture and cyclic alternating pattern (CAP) parameters in subjects with MCI, and to assess their eventual correlation with cognition. Methods: Eleven subjects with MCI (mean age 68.5 ± 7.0 years), 11 patients with mild probable Alzheimer's disease (AD; mean age 72.7 ± 5.9 years), referred to the Outpatient Cognitive Disorders Clinic, and 11 cognitively intact healthy elderly individuals (mean age 69.2 ± 12.6 years) underwent ambulatory PSG for the evaluation of nocturnal sleep architecture and CAP parameters. Results: Rapid eye movement sleep, CAP rate, and CAP slow components (A1 index) were decreased in MCI subjects and to a greater extent in AD patients, compared to cognitively intact controls. AD showed also decreased slow wave sleep (SWS) relative to healthy elderly individuals. MCI nappers showed decreased nocturnal SWS and A1 subtypes compared to non-nappers. Several correlations between sleep variables and neuropsychological tests were found. Conclusions: MCI and AD subjects showed a decreased sleep instability correlated with their cognitive decline. Such a decrease may be considered as a potential biomarker of underlying neurodegeneration.&quot;},&quot;isTemporary&quot;:false}],&quot;properties&quot;:{&quot;noteIndex&quot;:0},&quot;isEdited&quot;:false,&quot;manualOverride&quot;:{&quot;isManuallyOverriden&quot;:false,&quot;citeprocText&quot;:&quot;&lt;sup&gt;3–7&lt;/sup&gt;&quot;,&quot;manualOverrideText&quot;:&quot;&quot;},&quot;citationTag&quot;:&quot;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&quot;},{&quot;citationID&quot;:&quot;MENDELEY_CITATION_ec016901-e192-4971-85b1-eea4240232ab&quot;,&quot;citationItems&quot;:[{&quot;id&quot;:&quot;8e52c3da-dc95-3112-b8db-58ed28c6e235&quot;,&quot;itemData&quot;:{&quot;type&quot;:&quot;article-journal&quot;,&quot;id&quot;:&quot;8e52c3da-dc95-3112-b8db-58ed28c6e235&quot;,&quot;title&quot;:&quot;Non-rapid eye movement sleep instability in mild cognitive impairment: A pilot study&quot;,&quot;author&quot;:[{&quot;family&quot;:&quot;Maestri&quot;,&quot;given&quot;:&quot;Michelangelo&quot;,&quot;parse-names&quot;:false,&quot;dropping-particle&quot;:&quot;&quot;,&quot;non-dropping-particle&quot;:&quot;&quot;},{&quot;family&quot;:&quot;Carnicelli&quot;,&quot;given&quot;:&quot;Luca&quot;,&quot;parse-names&quot;:false,&quot;dropping-particle&quot;:&quot;&quot;,&quot;non-dropping-particle&quot;:&quot;&quot;},{&quot;family&quot;:&quot;Tognoni&quot;,&quot;given&quot;:&quot;Gloria&quot;,&quot;parse-names&quot;:false,&quot;dropping-particle&quot;:&quot;&quot;,&quot;non-dropping-particle&quot;:&quot;&quot;},{&quot;family&quot;:&quot;Coscio&quot;,&quot;given&quot;:&quot;Elisa&quot;,&quot;parse-names&quot;:false,&quot;dropping-particle&quot;:&quot;&quot;,&quot;non-dropping-particle&quot;:&quot;di&quot;},{&quot;family&quot;:&quot;Giorgi&quot;,&quot;given&quot;:&quot;Filippo Sean&quot;,&quot;parse-names&quot;:false,&quot;dropping-particle&quot;:&quot;&quot;,&quot;non-dropping-particle&quot;:&quot;&quot;},{&quot;family&quot;:&quot;Volpi&quot;,&quot;given&quot;:&quot;Leda&quot;,&quot;parse-names&quot;:false,&quot;dropping-particle&quot;:&quot;&quot;,&quot;non-dropping-particle&quot;:&quot;&quot;},{&quot;family&quot;:&quot;Economou&quot;,&quot;given&quot;:&quot;Nicholas Tiberio&quot;,&quot;parse-names&quot;:false,&quot;dropping-particle&quot;:&quot;&quot;,&quot;non-dropping-particle&quot;:&quot;&quot;},{&quot;family&quot;:&quot;Ktonas&quot;,&quot;given&quot;:&quot;Periklis&quot;,&quot;parse-names&quot;:false,&quot;dropping-particle&quot;:&quot;&quot;,&quot;non-dropping-particle&quot;:&quot;&quot;},{&quot;family&quot;:&quot;Ferri&quot;,&quot;given&quot;:&quot;Raffaele&quot;,&quot;parse-names&quot;:false,&quot;dropping-particle&quot;:&quot;&quot;,&quot;non-dropping-particle&quot;:&quot;&quot;},{&quot;family&quot;:&quot;Bonuccelli&quot;,&quot;given&quot;:&quot;Ubaldo&quot;,&quot;parse-names&quot;:false,&quot;dropping-particle&quot;:&quot;&quot;,&quot;non-dropping-particle&quot;:&quot;&quot;},{&quot;family&quot;:&quot;Bonanni&quot;,&quot;given&quot;:&quot;Enrica&quot;,&quot;parse-names&quot;:false,&quot;dropping-particle&quot;:&quot;&quot;,&quot;non-dropping-particle&quot;:&quot;&quot;}],&quot;container-title&quot;:&quot;Sleep Medicine&quot;,&quot;accessed&quot;:{&quot;date-parts&quot;:[[2019,7,28]]},&quot;DOI&quot;:&quot;10.1016/j.sleep.2015.04.027&quot;,&quot;ISSN&quot;:&quot;18785506&quot;,&quot;issued&quot;:{&quot;date-parts&quot;:[[2015]]},&quot;abstract&quot;:&quot;Objective: Polysomnographic (PSG) studies in mild cognitive impairment (MCI) are not conclusive and are limited only to conventional sleep parameters. The aim of our study was to evaluate sleep architecture and cyclic alternating pattern (CAP) parameters in subjects with MCI, and to assess their eventual correlation with cognition. Methods: Eleven subjects with MCI (mean age 68.5 ± 7.0 years), 11 patients with mild probable Alzheimer's disease (AD; mean age 72.7 ± 5.9 years), referred to the Outpatient Cognitive Disorders Clinic, and 11 cognitively intact healthy elderly individuals (mean age 69.2 ± 12.6 years) underwent ambulatory PSG for the evaluation of nocturnal sleep architecture and CAP parameters. Results: Rapid eye movement sleep, CAP rate, and CAP slow components (A1 index) were decreased in MCI subjects and to a greater extent in AD patients, compared to cognitively intact controls. AD showed also decreased slow wave sleep (SWS) relative to healthy elderly individuals. MCI nappers showed decreased nocturnal SWS and A1 subtypes compared to non-nappers. Several correlations between sleep variables and neuropsychological tests were found. Conclusions: MCI and AD subjects showed a decreased sleep instability correlated with their cognitive decline. Such a decrease may be considered as a potential biomarker of underlying neurodegeneration.&quot;},&quot;isTemporary&quot;:false},{&quot;id&quot;:&quot;720d2ef7-bf7b-38b3-870a-66d6013cc539&quot;,&quot;itemData&quot;:{&quot;type&quot;:&quot;article-journal&quot;,&quot;id&quot;:&quot;720d2ef7-bf7b-38b3-870a-66d6013cc539&quot;,&quot;title&quot;:&quot;A longitudinal study of polysomnographic variables in patients with mild cognitive impairment converting to Alzheimer's disease&quot;,&quot;author&quot;:[{&quot;family&quot;:&quot;Carnicelli&quot;,&quot;given&quot;:&quot;Luca&quot;,&quot;parse-names&quot;:false,&quot;dropping-particle&quot;:&quot;&quot;,&quot;non-dropping-particle&quot;:&quot;&quot;},{&quot;family&quot;:&quot;Maestri&quot;,&quot;given&quot;:&quot;Michelangelo&quot;,&quot;parse-names&quot;:false,&quot;dropping-particle&quot;:&quot;&quot;,&quot;non-dropping-particle&quot;:&quot;&quot;},{&quot;family&quot;:&quot;Coscio&quot;,&quot;given&quot;:&quot;Elisa&quot;,&quot;parse-names&quot;:false,&quot;dropping-particle&quot;:&quot;&quot;,&quot;non-dropping-particle&quot;:&quot;di&quot;},{&quot;family&quot;:&quot;Tognoni&quot;,&quot;given&quot;:&quot;Gloria&quot;,&quot;parse-names&quot;:false,&quot;dropping-particle&quot;:&quot;&quot;,&quot;non-dropping-particle&quot;:&quot;&quot;},{&quot;family&quot;:&quot;Fabbrini&quot;,&quot;given&quot;:&quot;Monica&quot;,&quot;parse-names&quot;:false,&quot;dropping-particle&quot;:&quot;&quot;,&quot;non-dropping-particle&quot;:&quot;&quot;},{&quot;family&quot;:&quot;Schirru&quot;,&quot;given&quot;:&quot;Alessandro&quot;,&quot;parse-names&quot;:false,&quot;dropping-particle&quot;:&quot;&quot;,&quot;non-dropping-particle&quot;:&quot;&quot;},{&quot;family&quot;:&quot;Giorgi&quot;,&quot;given&quot;:&quot;Filippo S.&quot;,&quot;parse-names&quot;:false,&quot;dropping-particle&quot;:&quot;&quot;,&quot;non-dropping-particle&quot;:&quot;&quot;},{&quot;family&quot;:&quot;Siciliano&quot;,&quot;given&quot;:&quot;Gabriele&quot;,&quot;parse-names&quot;:false,&quot;dropping-particle&quot;:&quot;&quot;,&quot;non-dropping-particle&quot;:&quot;&quot;},{&quot;family&quot;:&quot;Bonuccelli&quot;,&quot;given&quot;:&quot;Ubaldo&quot;,&quot;parse-names&quot;:false,&quot;dropping-particle&quot;:&quot;&quot;,&quot;non-dropping-particle&quot;:&quot;&quot;},{&quot;family&quot;:&quot;Bonanni&quot;,&quot;given&quot;:&quot;Enrica&quot;,&quot;parse-names&quot;:false,&quot;dropping-particle&quot;:&quot;&quot;,&quot;non-dropping-particle&quot;:&quot;&quot;}],&quot;container-title&quot;:&quot;Journal of Sleep Research&quot;,&quot;accessed&quot;:{&quot;date-parts&quot;:[[2019,7,28]]},&quot;DOI&quot;:&quot;10.1111/jsr.12821&quot;,&quot;ISSN&quot;:&quot;13652869&quot;,&quot;issued&quot;:{&quot;date-parts&quot;:[[2019]]},&quot;abstract&quot;:&quot;© 2019 European Sleep Research Society The main condition at increased risk of dementia is considered to be mild cognitive impairment. Mild cognitive impairment has been defined as a transitional state between normal aging and dementia, of which it may represent a prodrome. The aim of our study was to evaluate whether sleep variables (both conventional and microstructural ones) in subjects with mild cognitive impairment correlate with conversion to dementia. Nineteen subjects with amnestic mild cognitive impairment (mean age 68.5 ± 7.0 years) and 11 cognitively intact healthy elderly individuals (mean age 69.2 ± 12.6 years) underwent ambulatory polysomnography for the evaluation of nocturnal sleep architecture and cyclic alternating pattern parameters. Amnestic mild cognitive impairment subjects were clinically and cognitively re-evaluated after 2 years, during routine follow-up, and further classified as amnestic mild cognitive impairment converters (that is, patients developing Alzheimer's disease, N = 11) and amnestic mild cognitive impairment non-converters. Compared with healthy elderly individuals, amnestic mild cognitive impairment showed disrupted sleep with decreased rapid eye movement sleep, cyclic alternating pattern rate and cyclic alternating pattern slow-wave-related phases (A1 index). Standard sleep architecture analysis did not show significant differences between the two subgroups of amnestic mild cognitive impairment, whereas cyclic alternating pattern analysis showed that cyclic alternating pattern rate, A1 index and A3 index are significantly reduced in converters compared with non-converters. Our data confirm that in amnestic mild cognitive impairment subjects there is a sleep impairment, particularly when considering more refined sleep parameters and that sleep variables at baseline are different among converters versus non-converters at the 2-year follow-up. Specific sleep alterations might represent potential further biomarkers for the diagnosis and prognosis of early-phase cognitive impairment.&quot;},&quot;isTemporary&quot;:false},{&quot;id&quot;:&quot;7506d1d1-c21d-3773-9c45-b4ef209056dd&quot;,&quot;itemData&quot;:{&quot;type&quot;:&quot;article-journal&quot;,&quot;id&quot;:&quot;7506d1d1-c21d-3773-9c45-b4ef209056dd&quot;,&quot;title&quot;:&quot;Rapid eye movement sleep disruption and sleep fragmentation are associated with increased orexin-A cerebrospinal-fluid levels in mild cognitive impairment due to Alzheimer's disease&quot;,&quot;author&quot;:[{&quot;family&quot;:&quot;Liguori&quot;,&quot;given&quot;:&quot;Claudio&quot;,&quot;parse-names&quot;:false,&quot;dropping-particle&quot;:&quot;&quot;,&quot;non-dropping-particle&quot;:&quot;&quot;},{&quot;family&quot;:&quot;Nuccetelli&quot;,&quot;given&quot;:&quot;Marzia&quot;,&quot;parse-names&quot;:false,&quot;dropping-particle&quot;:&quot;&quot;,&quot;non-dropping-particle&quot;:&quot;&quot;},{&quot;family&quot;:&quot;Izzi&quot;,&quot;given&quot;:&quot;Francesca&quot;,&quot;parse-names&quot;:false,&quot;dropping-particle&quot;:&quot;&quot;,&quot;non-dropping-particle&quot;:&quot;&quot;},{&quot;family&quot;:&quot;Sancesario&quot;,&quot;given&quot;:&quot;Giuseppe&quot;,&quot;parse-names&quot;:false,&quot;dropping-particle&quot;:&quot;&quot;,&quot;non-dropping-particle&quot;:&quot;&quot;},{&quot;family&quot;:&quot;Romigi&quot;,&quot;given&quot;:&quot;Andrea&quot;,&quot;parse-names&quot;:false,&quot;dropping-particle&quot;:&quot;&quot;,&quot;non-dropping-particle&quot;:&quot;&quot;},{&quot;family&quot;:&quot;Martorana&quot;,&quot;given&quot;:&quot;Alessandro&quot;,&quot;parse-names&quot;:false,&quot;dropping-particle&quot;:&quot;&quot;,&quot;non-dropping-particle&quot;:&quot;&quot;},{&quot;family&quot;:&quot;Amoroso&quot;,&quot;given&quot;:&quot;Chiara&quot;,&quot;parse-names&quot;:false,&quot;dropping-particle&quot;:&quot;&quot;,&quot;non-dropping-particle&quot;:&quot;&quot;},{&quot;family&quot;:&quot;Bernardini&quot;,&quot;given&quot;:&quot;Sergio&quot;,&quot;parse-names&quot;:false,&quot;dropping-particle&quot;:&quot;&quot;,&quot;non-dropping-particle&quot;:&quot;&quot;},{&quot;family&quot;:&quot;Marciani&quot;,&quot;given&quot;:&quot;Maria Grazia&quot;,&quot;parse-names&quot;:false,&quot;dropping-particle&quot;:&quot;&quot;,&quot;non-dropping-particle&quot;:&quot;&quot;},{&quot;family&quot;:&quot;Mercuri&quot;,&quot;given&quot;:&quot;Nicola Biagio&quot;,&quot;parse-names&quot;:false,&quot;dropping-particle&quot;:&quot;&quot;,&quot;non-dropping-particle&quot;:&quot;&quot;},{&quot;family&quot;:&quot;Placidi&quot;,&quot;given&quot;:&quot;Fabio&quot;,&quot;parse-names&quot;:false,&quot;dropping-particle&quot;:&quot;&quot;,&quot;non-dropping-particle&quot;:&quot;&quot;}],&quot;container-title&quot;:&quot;Neurobiology of Aging&quot;,&quot;accessed&quot;:{&quot;date-parts&quot;:[[2021,7,18]]},&quot;DOI&quot;:&quot;10.1016/j.neurobiolaging.2016.01.007&quot;,&quot;ISSN&quot;:&quot;15581497&quot;,&quot;PMID&quot;:&quot;26973111&quot;,&quot;URL&quot;:&quot;https://pubmed.ncbi.nlm.nih.gov/26973111/&quot;,&quot;issued&quot;:{&quot;date-parts&quot;:[[2016,4,1]]},&quot;page&quot;:&quot;120-126&quot;,&quot;abstract&quot;:&quot;The orexin system has been investigated in patients affected by mild cognitive impairment (MCI) due to Alzheimer's disease (AD) by measuring orexin-A concentrations in the cerebrospinal fluid (CSF), and correlated to subjective and objective sleep parameters, quantified by questionnaires and polysomnography, respectively. Twenty drug-naïve patients with MCI due to AD were studied and compared with a population of 26 age and/or sex matched controls, divided into subgroups on the basis of the Pittsburgh Sleep Quality Index (PSQI) score. Increased CSF-orexin levels were detected in patients with MCI due to AD in comparison with controls (p &lt; 0.05). In particular, CSF-orexin concentrations were higher in MCI patients suffering from sleep complaints (PSQI ≥5, n = 10) compared with MCI patients with a regular sleep-wake cycle (PSQI &lt;5, n = 10, p &lt; 0.001) and compared with both control groups (with sleep complaints, PSQI ≥5, n = 11, p &lt; 0.001; without sleep complaints, PSQI &lt;5, n = 15, p &lt; 0.001). Moreover, REM sleep was reduced in MCI patients compared with controls (p &lt; 0.01), and had a negative correlation coupled with a reciprocal influence at the multiple regression analysis with CSF-orexin levels (R = -0.65; β = -8.90). REM sleep disruption and sleep fragmentation are related to higher CSF-orexin levels in patients with MCI due to AD, thus suggesting that the orexin system may be involved even in the earliest stages of AD, resulting in prolonged sleep latency, reduced sleep efficiency, and REM sleep impairment.&quot;,&quot;publisher&quot;:&quot;Elsevier Inc.&quot;,&quot;volume&quot;:&quot;40&quot;},&quot;isTemporary&quot;:false},{&quot;id&quot;:&quot;3c5ab9a9-ce1d-31d6-9d7f-59c284ace1b5&quot;,&quot;itemData&quot;:{&quot;type&quot;:&quot;article-journal&quot;,&quot;id&quot;:&quot;3c5ab9a9-ce1d-31d6-9d7f-59c284ace1b5&quot;,&quot;title&quot;:&quot;Objective measurement of sleep in mild cognitive impairment: A systematic review and meta-analysis&quot;,&quot;author&quot;:[{&quot;family&quot;:&quot;D'Rozario&quot;,&quot;given&quot;:&quot;Angela L.&quot;,&quot;parse-names&quot;:false,&quot;dropping-particle&quot;:&quot;&quot;,&quot;non-dropping-particle&quot;:&quot;&quot;},{&quot;family&quot;:&quot;Chapman&quot;,&quot;given&quot;:&quot;Julia L.&quot;,&quot;parse-names&quot;:false,&quot;dropping-particle&quot;:&quot;&quot;,&quot;non-dropping-particle&quot;:&quot;&quot;},{&quot;family&quot;:&quot;Phillips&quot;,&quot;given&quot;:&quot;Craig L.&quot;,&quot;parse-names&quot;:false,&quot;dropping-particle&quot;:&quot;&quot;,&quot;non-dropping-particle&quot;:&quot;&quot;},{&quot;family&quot;:&quot;Palmer&quot;,&quot;given&quot;:&quot;Jake R.&quot;,&quot;parse-names&quot;:false,&quot;dropping-particle&quot;:&quot;&quot;,&quot;non-dropping-particle&quot;:&quot;&quot;},{&quot;family&quot;:&quot;Hoyos&quot;,&quot;given&quot;:&quot;Camilla M.&quot;,&quot;parse-names&quot;:false,&quot;dropping-particle&quot;:&quot;&quot;,&quot;non-dropping-particle&quot;:&quot;&quot;},{&quot;family&quot;:&quot;Mowszowski&quot;,&quot;given&quot;:&quot;Loren&quot;,&quot;parse-names&quot;:false,&quot;dropping-particle&quot;:&quot;&quot;,&quot;non-dropping-particle&quot;:&quot;&quot;},{&quot;family&quot;:&quot;Duffy&quot;,&quot;given&quot;:&quot;Shantel L.&quot;,&quot;parse-names&quot;:false,&quot;dropping-particle&quot;:&quot;&quot;,&quot;non-dropping-particle&quot;:&quot;&quot;},{&quot;family&quot;:&quot;Marshall&quot;,&quot;given&quot;:&quot;Nathaniel S.&quot;,&quot;parse-names&quot;:false,&quot;dropping-particle&quot;:&quot;&quot;,&quot;non-dropping-particle&quot;:&quot;&quot;},{&quot;family&quot;:&quot;Benca&quot;,&quot;given&quot;:&quot;Ruth&quot;,&quot;parse-names&quot;:false,&quot;dropping-particle&quot;:&quot;&quot;,&quot;non-dropping-particle&quot;:&quot;&quot;},{&quot;family&quot;:&quot;Mander&quot;,&quot;given&quot;:&quot;Bryce&quot;,&quot;parse-names&quot;:false,&quot;dropping-particle&quot;:&quot;&quot;,&quot;non-dropping-particle&quot;:&quot;&quot;},{&quot;family&quot;:&quot;Grunstein&quot;,&quot;given&quot;:&quot;Ronald R.&quot;,&quot;parse-names&quot;:false,&quot;dropping-particle&quot;:&quot;&quot;,&quot;non-dropping-particle&quot;:&quot;&quot;},{&quot;family&quot;:&quot;Naismith&quot;,&quot;given&quot;:&quot;Sharon L.&quot;,&quot;parse-names&quot;:false,&quot;dropping-particle&quot;:&quot;&quot;,&quot;non-dropping-particle&quot;:&quot;&quot;}],&quot;container-title&quot;:&quot;Sleep Medicine Reviews&quot;,&quot;accessed&quot;:{&quot;date-parts&quot;:[[2021,7,18]]},&quot;DOI&quot;:&quot;10.1016/j.smrv.2020.101308&quot;,&quot;ISSN&quot;:&quot;15322955&quot;,&quot;PMID&quot;:&quot;32302775&quot;,&quot;URL&quot;:&quot;https://pubmed.ncbi.nlm.nih.gov/32302775/&quot;,&quot;issued&quot;:{&quot;date-parts&quot;:[[2020,8,1]]},&quot;page&quot;:&quot;101308&quot;,&quot;abstract&quot;:&quot;Older adults with mild cognitive impairment (MCI) are at-risk of developing dementia, particularly Alzheimer's disease. While some research suggests that alterations in sleep architecture may mediate cognitive decline, the nature and magnitude of changes to sleep macro- (sleep stages) and micro-architecture (electroencephalography (EEG) oscillations) in MCI is not yet clear. This study aimed to systematically review and meta-analyse case–control studies objectively measuring sleep in MCI. A systematic search was conducted using PubMed, Scopus, Web of Science, Embase and Psycinfo databases and after review, a total of 10 studies met inclusion criteria. Of these, all reported sleep macro-architecture and four reported micro-architecture outcomes. A combined total of 430 participants (209 with and 221 without MCI) underwent objective sleep assessments in the included full text articles. Findings show that compared to healthy controls, those with MCI have pronounced changes in sleep macro-architecture with greater wake after sleep onset, reduced total sleep time, lower sleep efficiency, longer sleep onset latency, longer rapid eye movement sleep (REM) latency, reduced REM sleep, greater N1 sleep, and worse severity of hypoxemia. Pooling of sleep micro-architecture EEG measures was not possible due to limited studies, however reduced spindles in non-REM sleep and greater EEG slowing in REM sleep were reported.&quot;,&quot;publisher&quot;:&quot;W.B. Saunders Ltd&quot;,&quot;volume&quot;:&quot;52&quot;},&quot;isTemporary&quot;:false}],&quot;properties&quot;:{&quot;noteIndex&quot;:0},&quot;isEdited&quot;:false,&quot;manualOverride&quot;:{&quot;isManuallyOverriden&quot;:false,&quot;citeprocText&quot;:&quot;&lt;sup&gt;7–10&lt;/sup&gt;&quot;,&quot;manualOverrideText&quot;:&quot;&quot;},&quot;citationTag&quot;:&quot;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&quot;},{&quot;citationID&quot;:&quot;MENDELEY_CITATION_f93ca5d1-4868-412f-888e-45e7b4b365bc&quot;,&quot;citationItems&quot;:[{&quot;id&quot;:&quot;720d2ef7-bf7b-38b3-870a-66d6013cc539&quot;,&quot;itemData&quot;:{&quot;type&quot;:&quot;article-journal&quot;,&quot;id&quot;:&quot;720d2ef7-bf7b-38b3-870a-66d6013cc539&quot;,&quot;title&quot;:&quot;A longitudinal study of polysomnographic variables in patients with mild cognitive impairment converting to Alzheimer's disease&quot;,&quot;author&quot;:[{&quot;family&quot;:&quot;Carnicelli&quot;,&quot;given&quot;:&quot;Luca&quot;,&quot;parse-names&quot;:false,&quot;dropping-particle&quot;:&quot;&quot;,&quot;non-dropping-particle&quot;:&quot;&quot;},{&quot;family&quot;:&quot;Maestri&quot;,&quot;given&quot;:&quot;Michelangelo&quot;,&quot;parse-names&quot;:false,&quot;dropping-particle&quot;:&quot;&quot;,&quot;non-dropping-particle&quot;:&quot;&quot;},{&quot;family&quot;:&quot;Coscio&quot;,&quot;given&quot;:&quot;Elisa&quot;,&quot;parse-names&quot;:false,&quot;dropping-particle&quot;:&quot;&quot;,&quot;non-dropping-particle&quot;:&quot;di&quot;},{&quot;family&quot;:&quot;Tognoni&quot;,&quot;given&quot;:&quot;Gloria&quot;,&quot;parse-names&quot;:false,&quot;dropping-particle&quot;:&quot;&quot;,&quot;non-dropping-particle&quot;:&quot;&quot;},{&quot;family&quot;:&quot;Fabbrini&quot;,&quot;given&quot;:&quot;Monica&quot;,&quot;parse-names&quot;:false,&quot;dropping-particle&quot;:&quot;&quot;,&quot;non-dropping-particle&quot;:&quot;&quot;},{&quot;family&quot;:&quot;Schirru&quot;,&quot;given&quot;:&quot;Alessandro&quot;,&quot;parse-names&quot;:false,&quot;dropping-particle&quot;:&quot;&quot;,&quot;non-dropping-particle&quot;:&quot;&quot;},{&quot;family&quot;:&quot;Giorgi&quot;,&quot;given&quot;:&quot;Filippo S.&quot;,&quot;parse-names&quot;:false,&quot;dropping-particle&quot;:&quot;&quot;,&quot;non-dropping-particle&quot;:&quot;&quot;},{&quot;family&quot;:&quot;Siciliano&quot;,&quot;given&quot;:&quot;Gabriele&quot;,&quot;parse-names&quot;:false,&quot;dropping-particle&quot;:&quot;&quot;,&quot;non-dropping-particle&quot;:&quot;&quot;},{&quot;family&quot;:&quot;Bonuccelli&quot;,&quot;given&quot;:&quot;Ubaldo&quot;,&quot;parse-names&quot;:false,&quot;dropping-particle&quot;:&quot;&quot;,&quot;non-dropping-particle&quot;:&quot;&quot;},{&quot;family&quot;:&quot;Bonanni&quot;,&quot;given&quot;:&quot;Enrica&quot;,&quot;parse-names&quot;:false,&quot;dropping-particle&quot;:&quot;&quot;,&quot;non-dropping-particle&quot;:&quot;&quot;}],&quot;container-title&quot;:&quot;Journal of Sleep Research&quot;,&quot;accessed&quot;:{&quot;date-parts&quot;:[[2019,7,28]]},&quot;DOI&quot;:&quot;10.1111/jsr.12821&quot;,&quot;ISSN&quot;:&quot;13652869&quot;,&quot;issued&quot;:{&quot;date-parts&quot;:[[2019]]},&quot;abstract&quot;:&quot;© 2019 European Sleep Research Society The main condition at increased risk of dementia is considered to be mild cognitive impairment. Mild cognitive impairment has been defined as a transitional state between normal aging and dementia, of which it may represent a prodrome. The aim of our study was to evaluate whether sleep variables (both conventional and microstructural ones) in subjects with mild cognitive impairment correlate with conversion to dementia. Nineteen subjects with amnestic mild cognitive impairment (mean age 68.5 ± 7.0 years) and 11 cognitively intact healthy elderly individuals (mean age 69.2 ± 12.6 years) underwent ambulatory polysomnography for the evaluation of nocturnal sleep architecture and cyclic alternating pattern parameters. Amnestic mild cognitive impairment subjects were clinically and cognitively re-evaluated after 2 years, during routine follow-up, and further classified as amnestic mild cognitive impairment converters (that is, patients developing Alzheimer's disease, N = 11) and amnestic mild cognitive impairment non-converters. Compared with healthy elderly individuals, amnestic mild cognitive impairment showed disrupted sleep with decreased rapid eye movement sleep, cyclic alternating pattern rate and cyclic alternating pattern slow-wave-related phases (A1 index). Standard sleep architecture analysis did not show significant differences between the two subgroups of amnestic mild cognitive impairment, whereas cyclic alternating pattern analysis showed that cyclic alternating pattern rate, A1 index and A3 index are significantly reduced in converters compared with non-converters. Our data confirm that in amnestic mild cognitive impairment subjects there is a sleep impairment, particularly when considering more refined sleep parameters and that sleep variables at baseline are different among converters versus non-converters at the 2-year follow-up. Specific sleep alterations might represent potential further biomarkers for the diagnosis and prognosis of early-phase cognitive impairment.&quot;},&quot;isTemporary&quot;:false}],&quot;properties&quot;:{&quot;noteIndex&quot;:0},&quot;isEdited&quot;:false,&quot;manualOverride&quot;:{&quot;isManuallyOverriden&quot;:false,&quot;citeprocText&quot;:&quot;&lt;sup&gt;8&lt;/sup&gt;&quot;,&quot;manualOverrideText&quot;:&quot;&quot;},&quot;citationTag&quot;:&quot;MENDELEY_CITATION_v3_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&quot;},{&quot;citationID&quot;:&quot;MENDELEY_CITATION_d07d9acb-5fa1-46bf-9e0a-4fd916c4d545&quot;,&quot;citationItems&quot;:[{&quot;id&quot;:&quot;c7b18fd2-56a9-3a7a-9cc0-10b229e14865&quot;,&quot;itemData&quot;:{&quot;type&quot;:&quot;article-journal&quot;,&quot;id&quot;:&quot;c7b18fd2-56a9-3a7a-9cc0-10b229e14865&quot;,&quot;title&quot;:&quot;Disturbed sleep patterns in elders with mild cognitive impairment: the role of memory decline and ApoE ε4 genotype.&quot;,&quot;author&quot;:[{&quot;family&quot;:&quot;Hita-Yañez&quot;,&quot;given&quot;:&quot;Eva&quot;,&quot;parse-names&quot;:false,&quot;dropping-particle&quot;:&quot;&quot;,&quot;non-dropping-particle&quot;:&quot;&quot;},{&quot;family&quot;:&quot;Atienza&quot;,&quot;given&quot;:&quot;Mercedes&quot;,&quot;parse-names&quot;:false,&quot;dropping-particle&quot;:&quot;&quot;,&quot;non-dropping-particle&quot;:&quot;&quot;},{&quot;family&quot;:&quot;Gil-Neciga&quot;,&quot;given&quot;:&quot;Eulogio&quot;,&quot;parse-names&quot;:false,&quot;dropping-particle&quot;:&quot;&quot;,&quot;non-dropping-particle&quot;:&quot;&quot;},{&quot;family&quot;:&quot;Cantero&quot;,&quot;given&quot;:&quot;Jose L&quot;,&quot;parse-names&quot;:false,&quot;dropping-particle&quot;:&quot;&quot;,&quot;non-dropping-particle&quot;:&quot;&quot;}],&quot;container-title&quot;:&quot;Current Alzheimer research&quot;,&quot;DOI&quot;:&quot;10.2174/156720512800107609&quot;,&quot;ISSN&quot;:&quot;1875-5828&quot;,&quot;PMID&quot;:&quot;22211488&quot;,&quot;issued&quot;:{&quot;date-parts&quot;:[[2012]]},&quot;page&quot;:&quot;290-7&quot;,&quot;abstract&quot;:&quot;Sleep disturbances are prevalent in patients with Alzheimer' disease (AD), being one of the most troubling symptoms during the progression of disease. However, little research has been made to determine if impaired sleep patterns appear years before AD diagnosis. This study tries to shed light on this issue by performing polysomnographic recordings in healthy elders and patients with mild cognitive impairment (MCI). We further investigated whether changes in sleep patterns parallel memory decline as well as its relationship with the Apolipoprotein E (ApoE) ɛ4 genotype. Results showed a significant shortening of rapid eye movement (REM) sleep together with increased fragmentations of slow-wave sleep in MCI patients relative to healthy elders. Interestingly, we further showed that reduction of REM sleep in MCI patients with ApoE ɛ4 was more noticeable than in ɛ4 non-carriers. Contrary to our initial hypothesis, changes in sleep patterns were not correlated with memory performance in MCI patients. Instead, increased REM sleep accompanied enhanced immediate recall in MCI ɛ4 non-carriers. Taken together, these results suggest that sleep disruptions are evident years before diagnosis of AD, which may have implications for early detection of dementia and/or therapeutic management of sleep complaints in MCI patients.&quot;,&quot;issue&quot;:&quot;3&quot;,&quot;volume&quot;:&quot;9&quot;},&quot;isTemporary&quot;:false}],&quot;properties&quot;:{&quot;noteIndex&quot;:0},&quot;isEdited&quot;:false,&quot;manualOverride&quot;:{&quot;isManuallyOverriden&quot;:false,&quot;citeprocText&quot;:&quot;&lt;sup&gt;11&lt;/sup&gt;&quot;,&quot;manualOverrideText&quot;:&quot;&quot;},&quot;citationTag&quot;:&quot;MENDELEY_CITATION_v3_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&quot;},{&quot;citationID&quot;:&quot;MENDELEY_CITATION_9d64ef05-e145-4439-b379-2cfd90136158&quot;,&quot;citationItems&quot;:[{&quot;id&quot;:&quot;d6d14ee2-ad58-3d51-b4d1-b721aba392cb&quot;,&quot;itemData&quot;:{&quot;type&quot;:&quot;article-journal&quot;,&quot;id&quot;:&quot;d6d14ee2-ad58-3d51-b4d1-b721aba392cb&quot;,&quot;title&quot;:&quot;Quantitative EEG of Rapid-Eye-Movement Sleep: A Marker of Amnestic Mild Cognitive Impairment&quot;,&quot;author&quot;:[{&quot;family&quot;:&quot;Brayet&quot;,&quot;given&quot;:&quot;Pauline&quot;,&quot;parse-names&quot;:false,&quot;dropping-particle&quot;:&quot;&quot;,&quot;non-dropping-particle&quot;:&quot;&quot;},{&quot;family&quot;:&quot;Petit&quot;,&quot;given&quot;:&quot;Dominique&quot;,&quot;parse-names&quot;:false,&quot;dropping-particle&quot;:&quot;&quot;,&quot;non-dropping-particle&quot;:&quot;&quot;},{&quot;family&quot;:&quot;Frauscher&quot;,&quot;given&quot;:&quot;Birgit&quot;,&quot;parse-names&quot;:false,&quot;dropping-particle&quot;:&quot;&quot;,&quot;non-dropping-particle&quot;:&quot;&quot;},{&quot;family&quot;:&quot;Gagnon&quot;,&quot;given&quot;:&quot;Jean François&quot;,&quot;parse-names&quot;:false,&quot;dropping-particle&quot;:&quot;&quot;,&quot;non-dropping-particle&quot;:&quot;&quot;},{&quot;family&quot;:&quot;Gosselin&quot;,&quot;given&quot;:&quot;Nadia&quot;,&quot;parse-names&quot;:false,&quot;dropping-particle&quot;:&quot;&quot;,&quot;non-dropping-particle&quot;:&quot;&quot;},{&quot;family&quot;:&quot;Gagnon&quot;,&quot;given&quot;:&quot;Katia&quot;,&quot;parse-names&quot;:false,&quot;dropping-particle&quot;:&quot;&quot;,&quot;non-dropping-particle&quot;:&quot;&quot;},{&quot;family&quot;:&quot;Rouleau&quot;,&quot;given&quot;:&quot;Isabelle&quot;,&quot;parse-names&quot;:false,&quot;dropping-particle&quot;:&quot;&quot;,&quot;non-dropping-particle&quot;:&quot;&quot;},{&quot;family&quot;:&quot;Montplaisir&quot;,&quot;given&quot;:&quot;Jacques&quot;,&quot;parse-names&quot;:false,&quot;dropping-particle&quot;:&quot;&quot;,&quot;non-dropping-particle&quot;:&quot;&quot;}],&quot;container-title&quot;:&quot;Clinical EEG and Neuroscience&quot;,&quot;accessed&quot;:{&quot;date-parts&quot;:[[2019,7,28]]},&quot;DOI&quot;:&quot;10.1177/1550059415603050&quot;,&quot;ISSN&quot;:&quot;21695202&quot;,&quot;issued&quot;:{&quot;date-parts&quot;:[[2016]]},&quot;abstract&quot;:&quot;© EEG and Clinical Neuroscience Society. The basal forebrain cholinergic system, which is impaired in early Alzheimer's disease, is more crucial for the activation of rapid-eye-movement (REM) sleep electroencephalogram (EEG) than it is for wakefulness. Quantitative EEG from REM sleep might thus provide an earlier and more accurate marker of the development of Alzheimer's disease in subjects with mild cognitive impairment (MCI) subjects than that from wakefulness. To assess the superiority of the REM sleep EEG as a screening tool for preclinical Alzheimer's disease, 22 subjects with amnestic MCI (a-MCI; 63.9 ± 7.7 years), 10 subjects with nonamnestic MCI (na-MCI; 64.1 ± 4.5 years) and 32 controls (63.7 ± 6.6 years) participated in the study. Spectral analyses of the waking EEG and REM sleep EEG were performed and the [(delta + theta)/(alpha + beta)] ratio was used to assess between-group differences in EEG slowing. The a-MCI subgroup showed EEG slowing in frontal lateral regions compared to both na-MCI and control groups. This EEG slowing was present in wakefulness (compared to controls) but was much more prominent in REM sleep. Moreover, the comparison between amnestic and nonamnestic subjects was found significant only for the REM sleep EEG. There was no difference in EEG power ratio between na-MCI and controls for any of the 7 cortical regions studied. These findings demonstrate the superiority of the REM sleep EEG in the discrimination between a-MCI and both na-MCI and control subjects.&quot;},&quot;isTemporary&quot;:false}],&quot;properties&quot;:{&quot;noteIndex&quot;:0},&quot;isEdited&quot;:false,&quot;manualOverride&quot;:{&quot;isManuallyOverriden&quot;:false,&quot;citeprocText&quot;:&quot;&lt;sup&gt;12&lt;/sup&gt;&quot;,&quot;manualOverrideText&quot;:&quot;&quot;},&quot;citationTag&quot;:&quot;MENDELEY_CITATION_v3_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&quot;},{&quot;citationID&quot;:&quot;MENDELEY_CITATION_c620bd05-0db4-4c93-92c9-de402ca0f11b&quot;,&quot;citationItems&quot;:[{&quot;id&quot;:&quot;68994aeb-0f3d-56e6-9aa9-84222db093b2&quot;,&quot;itemData&quot;:{&quot;DOI&quot;:&quot;10.5665/sleep.4500&quot;,&quot;ISSN&quot;:&quot;0161-8105&quot;,&quot;PMID&quot;:&quot;25325465&quot;,&quot;abstract&quot;:&quot;STUDY OBJECTIVE To investigate the associations between sleep stage distributions and subsequent decline in cognitive function in older men over time. DESIGN A population-based prospective substudy of the Osteoporotic Fractures in Men Study. SETTINGS Six sites in the United States. PARTICIPANTS Community-dwelling men aged 67 y or older (n = 2,601), who were free of probable dementia at sleep visit. Follow-up averaged 3.4 y. MEASUREMENT AND RESULTS Sleep stages were identified by in-home polysomnography at the initial sleep visit (2003-2005). Cognitive outcomes were assessed with the Trail Making Test Part B and Modified Mini-Mental State Examination (3MS) at sleep visit and two follow-up visits. After adjusting for multiple confounders compared with men in the lowest quartile of percent of sleep time spent in Stage N1, those in the highest quartile had a twofold increase in cognitive decline for both cognitive tests (adjusted annualized percent change/y: Trail Making Test Part B Q1 = 1.06, Q4 = 2.45, P = 0.01; 3MS Q1 = -0.27, Q4 = -0.48, P = 0.03). In addition, compared with men in the highest quartile, men in the lowest quartile of percent of sleep time in Stage R revealed more cognitive decline on the 3MS (adjusted annualized percent change/y: Q1 = -0.49, Q4 = -0.22, P = 0.003). These findings were consistent even after further adjustment of total sleep time and sleep disordered breathing. No significant relationships between other sleep stages (N2, N3) and cognitive change were found. CONCLUSION Increased time in Stage N1 and less time in Stage R are associated with worsening cognitive performance in older men over time.&quot;,&quot;author&quot;:[{&quot;dropping-particle&quot;:&quot;&quot;,&quot;family&quot;:&quot;Song&quot;,&quot;given&quot;:&quot;Yeonsu&quot;,&quot;non-dropping-particle&quot;:&quot;&quot;,&quot;parse-names&quot;:false,&quot;suffix&quot;:&quot;&quot;},{&quot;dropping-particle&quot;:&quot;&quot;,&quot;family&quot;:&quot;Blackwell&quot;,&quot;given&quot;:&quot;Terri&quot;,&quot;non-dropping-particle&quot;:&quot;&quot;,&quot;parse-names&quot;:false,&quot;suffix&quot;:&quot;&quot;},{&quot;dropping-particle&quot;:&quot;&quot;,&quot;family&quot;:&quot;Yaffe&quot;,&quot;given&quot;:&quot;Kristine&quot;,&quot;non-dropping-particle&quot;:&quot;&quot;,&quot;parse-names&quot;:false,&quot;suffix&quot;:&quot;&quot;},{&quot;dropping-particle&quot;:&quot;&quot;,&quot;family&quot;:&quot;Ancoli-Israel&quot;,&quot;given&quot;:&quot;Sonia&quot;,&quot;non-dropping-particle&quot;:&quot;&quot;,&quot;parse-names&quot;:false,&quot;suffix&quot;:&quot;&quot;},{&quot;dropping-particle&quot;:&quot;&quot;,&quot;family&quot;:&quot;Redline&quot;,&quot;given&quot;:&quot;Susan&quot;,&quot;non-dropping-particle&quot;:&quot;&quot;,&quot;parse-names&quot;:false,&quot;suffix&quot;:&quot;&quot;},{&quot;dropping-particle&quot;:&quot;&quot;,&quot;family&quot;:&quot;Stone&quot;,&quot;given&quot;:&quot;Katie L.&quot;,&quot;non-dropping-particle&quot;:&quot;&quot;,&quot;parse-names&quot;:false,&quot;suffix&quot;:&quot;&quot;},{&quot;dropping-particle&quot;:&quot;&quot;,&quot;family&quot;:&quot;Osteoporotic Fractures in Men (MrOS) Study Group&quot;,&quot;given&quot;:&quot;&quot;,&quot;non-dropping-particle&quot;:&quot;&quot;,&quot;parse-names&quot;:false,&quot;suffix&quot;:&quot;&quot;}],&quot;container-title&quot;:&quot;Sleep&quot;,&quot;issue&quot;:&quot;3&quot;,&quot;issued&quot;:{&quot;date-parts&quot;:[[&quot;2015&quot;,&quot;3&quot;,&quot;1&quot;]]},&quot;page&quot;:&quot;411-421&quot;,&quot;title&quot;:&quot;Relationships Between Sleep Stages and Changes in Cognitive Function in Older Men: The MrOS Sleep Study&quot;,&quot;type&quot;:&quot;article-journal&quot;,&quot;volume&quot;:&quot;38&quot;,&quot;id&quot;:&quot;68994aeb-0f3d-56e6-9aa9-84222db093b2&quot;},&quot;uris&quot;:[&quot;http://www.mendeley.com/documents/?uuid=281b5f92-dcf7-3bad-b2cd-bb5835908277&quot;],&quot;isTemporary&quot;:false,&quot;legacyDesktopId&quot;:&quot;281b5f92-dcf7-3bad-b2cd-bb5835908277&quot;},{&quot;id&quot;:&quot;5568c07c-2d78-5cf4-8c24-2eb58bf082e3&quot;,&quot;itemData&quot;:{&quot;DOI&quot;:&quot;10.1212/WNL.0000000000004373&quot;,&quot;ISSN&quot;:&quot;0028-3878&quot;,&quot;PMID&quot;:&quot;28835407&quot;,&quot;abstract&quot;:&quot;OBJECTIVE Sleep disturbance is common in dementia, although it is unclear whether differences in sleep architecture precede dementia onset. We examined the associations between sleep architecture and the prospective risk of incident dementia in the community-based Framingham Heart Study (FHS). METHODS Our sample comprised a subset of 321 FHS Offspring participants who participated in the Sleep Heart Health Study between 1995 and 1998 and who were aged over 60 years at the time of sleep assessment (mean age 67 ± 5 years, 50% male). Stages of sleep were quantified using home-based polysomnography. Participants were followed for a maximum of 19 years for incident dementia (mean follow-up 12 ± 5 years). RESULTS We observed 32 cases of incident dementia; 24 were consistent with Alzheimer disease dementia. After adjustments for age and sex, lower REM sleep percentage and longer REM sleep latency were both associated with a higher risk of incident dementia. Each percentage reduction in REM sleep was associated with approximately a 9% increase in the risk of incident dementia (hazard ratio 0.91; 95% confidence interval 0.86, 0.97). The magnitude of association between REM sleep percentage and dementia was similar following adjustments for multiple covariates including vascular risk factors, depressive symptoms, and medication use, following exclusions for persons with mild cognitive impairment at baseline and following exclusions for early converters to dementia. Stages of non-REM sleep were not associated with dementia risk. CONCLUSIONS Despite contemporary interest in slow-wave sleep and dementia pathology, our findings implicate REM sleep mechanisms as predictors of clinical dementia.&quot;,&quot;author&quot;:[{&quot;dropping-particle&quot;:&quot;&quot;,&quot;family&quot;:&quot;Pase&quot;,&quot;given&quot;:&quot;Matthew P.&quot;,&quot;non-dropping-particle&quot;:&quot;&quot;,&quot;parse-names&quot;:false,&quot;suffix&quot;:&quot;&quot;},{&quot;dropping-particle&quot;:&quot;&quot;,&quot;family&quot;:&quot;Himali&quot;,&quot;given&quot;:&quot;Jayandra J.&quot;,&quot;non-dropping-particle&quot;:&quot;&quot;,&quot;parse-names&quot;:false,&quot;suffix&quot;:&quot;&quot;},{&quot;dropping-particle&quot;:&quot;&quot;,&quot;family&quot;:&quot;Grima&quot;,&quot;given&quot;:&quot;Natalie A.&quot;,&quot;non-dropping-particle&quot;:&quot;&quot;,&quot;parse-names&quot;:false,&quot;suffix&quot;:&quot;&quot;},{&quot;dropping-particle&quot;:&quot;&quot;,&quot;family&quot;:&quot;Beiser&quot;,&quot;given&quot;:&quot;Alexa S.&quot;,&quot;non-dropping-particle&quot;:&quot;&quot;,&quot;parse-names&quot;:false,&quot;suffix&quot;:&quot;&quot;},{&quot;dropping-particle&quot;:&quot;&quot;,&quot;family&quot;:&quot;Satizabal&quot;,&quot;given&quot;:&quot;Claudia L.&quot;,&quot;non-dropping-particle&quot;:&quot;&quot;,&quot;parse-names&quot;:false,&quot;suffix&quot;:&quot;&quot;},{&quot;dropping-particle&quot;:&quot;&quot;,&quot;family&quot;:&quot;Aparicio&quot;,&quot;given&quot;:&quot;Hugo J.&quot;,&quot;non-dropping-particle&quot;:&quot;&quot;,&quot;parse-names&quot;:false,&quot;suffix&quot;:&quot;&quot;},{&quot;dropping-particle&quot;:&quot;&quot;,&quot;family&quot;:&quot;Thomas&quot;,&quot;given&quot;:&quot;Robert J.&quot;,&quot;non-dropping-particle&quot;:&quot;&quot;,&quot;parse-names&quot;:false,&quot;suffix&quot;:&quot;&quot;},{&quot;dropping-particle&quot;:&quot;&quot;,&quot;family&quot;:&quot;Gottlieb&quot;,&quot;given&quot;:&quot;Daniel J.&quot;,&quot;non-dropping-particle&quot;:&quot;&quot;,&quot;parse-names&quot;:false,&quot;suffix&quot;:&quot;&quot;},{&quot;dropping-particle&quot;:&quot;&quot;,&quot;family&quot;:&quot;Auerbach&quot;,&quot;given&quot;:&quot;Sandford H.&quot;,&quot;non-dropping-particle&quot;:&quot;&quot;,&quot;parse-names&quot;:false,&quot;suffix&quot;:&quot;&quot;},{&quot;dropping-particle&quot;:&quot;&quot;,&quot;family&quot;:&quot;Seshadri&quot;,&quot;given&quot;:&quot;Sudha&quot;,&quot;non-dropping-particle&quot;:&quot;&quot;,&quot;parse-names&quot;:false,&quot;suffix&quot;:&quot;&quot;}],&quot;container-title&quot;:&quot;Neurology&quot;,&quot;issue&quot;:&quot;12&quot;,&quot;issued&quot;:{&quot;date-parts&quot;:[[&quot;2017&quot;,&quot;9&quot;,&quot;19&quot;]]},&quot;page&quot;:&quot;1244-1250&quot;,&quot;title&quot;:&quot;Sleep architecture and the risk of incident dementia in the community&quot;,&quot;type&quot;:&quot;article-journal&quot;,&quot;volume&quot;:&quot;89&quot;,&quot;id&quot;:&quot;5568c07c-2d78-5cf4-8c24-2eb58bf082e3&quot;},&quot;uris&quot;:[&quot;http://www.mendeley.com/documents/?uuid=39c905f6-d668-4c25-9d41-5350a1febc51&quot;],&quot;isTemporary&quot;:false,&quot;legacyDesktopId&quot;:&quot;39c905f6-d668-4c25-9d41-5350a1febc51&quot;}],&quot;properties&quot;:{&quot;noteIndex&quot;:0},&quot;isEdited&quot;:false,&quot;manualOverride&quot;:{&quot;isManuallyOverriden&quot;:false,&quot;manualOverrideText&quot;:&quot;&quot;,&quot;citeprocText&quot;:&quot;&lt;sup&gt;13,14&lt;/sup&gt;&quot;},&quot;citationTag&quot;:&quot;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&quot;},{&quot;citationID&quot;:&quot;MENDELEY_CITATION_4c064ea4-05b5-4e1d-9b79-bfbe11a89900&quot;,&quot;citationItems&quot;:[{&quot;id&quot;:&quot;c6573fca-74a6-3866-97ac-9007574092be&quot;,&quot;itemData&quot;:{&quot;type&quot;:&quot;article-journal&quot;,&quot;id&quot;:&quot;c6573fca-74a6-3866-97ac-9007574092be&quot;,&quot;title&quot;:&quot;Neuropathological stageing of Alzheimer-related changes.&quot;,&quot;author&quot;:[{&quot;family&quot;:&quot;Braak&quot;,&quot;given&quot;:&quot;H&quot;,&quot;parse-names&quot;:false,&quot;dropping-particle&quot;:&quot;&quot;,&quot;non-dropping-particle&quot;:&quot;&quot;},{&quot;family&quot;:&quot;Braak&quot;,&quot;given&quot;:&quot;E&quot;,&quot;parse-names&quot;:false,&quot;dropping-particle&quot;:&quot;&quot;,&quot;non-dropping-particle&quot;:&quot;&quot;}],&quot;container-title&quot;:&quot;Acta neuropathologica&quot;,&quot;accessed&quot;:{&quot;date-parts&quot;:[[2018,9,22]]},&quot;DOI&quot;:&quot;10.1007/BF00308809&quot;,&quot;ISSN&quot;:&quot;0001-6322&quot;,&quot;PMID&quot;:&quot;1759558&quot;,&quot;issued&quot;:{&quot;date-parts&quot;:[[1991]]},&quot;page&quot;:&quot;239-59&quot;,&quot;abstract&quot;:&quot;Eighty-three brains obtained at autopsy from nondemented and demented individuals were examined for extracellular amyloid deposits and intraneuronal neurofibrillary changes. The distribution pattern and packing density of amyloid deposits turned out to be of limited significance for differentiation of neuropathological stages. Neurofibrillary changes occurred in the form of neuritic plaques, neurofibrillary tangles and neuropil threads. The distribution of neuritic plaques varied widely not only within architectonic units but also from one individual to another. Neurofibrillary tangles and neuropil threads, in contrast, exhibited a characteristic distribution pattern permitting the differentiation of six stages. The first two stages were characterized by an either mild or severe alteration of the transentorhinal layer Pre-alpha (transentorhinal stages I-II). The two forms of limbic stages (stages III-IV) were marked by a conspicuous affection of layer Pre-alpha in both transentorhinal region and proper entorhinal cortex. In addition, there was mild involvement of the first Ammon's horn sector. The hallmark of the two isocortical stages (stages V-VI) was the destruction of virtually all isocortical association areas. The investigation showed that recognition of the six stages required qualitative evaluation of only a few key preparations.&quot;,&quot;issue&quot;:&quot;4&quot;,&quot;volume&quot;:&quot;82&quot;},&quot;isTemporary&quot;:false},{&quot;id&quot;:&quot;96ad079b-c608-3258-b9c8-65759c3db655&quot;,&quot;itemData&quot;:{&quot;type&quot;:&quot;article-journal&quot;,&quot;id&quot;:&quot;96ad079b-c608-3258-b9c8-65759c3db655&quot;,&quot;title&quot;:&quot;Atrophy of the cholinergic basal forebrain over the adult age range and in early stages of Alzheimer's disease&quot;,&quot;author&quot;:[{&quot;family&quot;:&quot;Grothe&quot;,&quot;given&quot;:&quot;Michel&quot;,&quot;parse-names&quot;:false,&quot;dropping-particle&quot;:&quot;&quot;,&quot;non-dropping-particle&quot;:&quot;&quot;},{&quot;family&quot;:&quot;Heinsen&quot;,&quot;given&quot;:&quot;Helmut&quot;,&quot;parse-names&quot;:false,&quot;dropping-particle&quot;:&quot;&quot;,&quot;non-dropping-particle&quot;:&quot;&quot;},{&quot;family&quot;:&quot;Teipel&quot;,&quot;given&quot;:&quot;Stefan J.&quot;,&quot;parse-names&quot;:false,&quot;dropping-particle&quot;:&quot;&quot;,&quot;non-dropping-particle&quot;:&quot;&quot;}],&quot;container-title&quot;:&quot;Biological Psychiatry&quot;,&quot;accessed&quot;:{&quot;date-parts&quot;:[[2021,7,19]]},&quot;DOI&quot;:&quot;10.1016/j.biopsych.2011.06.019&quot;,&quot;ISSN&quot;:&quot;00063223&quot;,&quot;PMID&quot;:&quot;21816388&quot;,&quot;URL&quot;:&quot;https://pubmed.ncbi.nlm.nih.gov/21816388/&quot;,&quot;issued&quot;:{&quot;date-parts&quot;:[[2012,5,1]]},&quot;page&quot;:&quot;805-813&quot;,&quot;abstract&quot;:&quot;Background: The basal forebrain cholinergic system (BFCS) is known to undergo moderate neurodegenerative changes during normal aging as well as severe atrophy in Alzheimer's disease (AD). However, there is a controversy regarding how the cholinergic lesion in AD relates to early and incipient stages of the disease. In vivo imaging studies on the structural integrity of the BFCS in normal and pathologic aging are rare. Methods: We applied automated morphometry techniques in combination with high-dimensional image warping and a cytoarchitectonic map of basal forebrain cholinergic nuclei to a large cross-sectional data set of high-resolution magnetic resonance imaging scans, covering the whole adult age range (20-94 years; n = 211) as well as patients with very mild AD (Clinical Dementia Rating =.5; n = 69) and clinically manifest AD (AD; Clinical Dementia Rating = 1; n = 28). For comparison, we investigated hippocampus volume using automated volumetry. Results: Volume of the BFCS declined from early adulthood on, and atrophy aggravated in advanced age. Volume reductions in very mild AD were most pronounced in posterior parts of the nucleus basalis of Meynert, whereas in AD, atrophy was more extensive and included the whole BFCS. In clinically manifest AD, the diagnostic accuracy of BFCS volume reached the diagnostic accuracy of hippocampus volume. Conclusions: Our findings indicate that cholinergic degeneration in AD occurs against a background of age-related atrophy and that exacerbated atrophy in AD can be detected at earliest stages of cognitive impairment. Automated in vivo morphometry of the BFCS may become a useful tool to assess BF cholinergic degeneration in normal and pathologic aging. © 2012 Society of Biological Psychiatry.&quot;,&quot;publisher&quot;:&quot;Biol Psychiatry&quot;,&quot;issue&quot;:&quot;9&quot;,&quot;volume&quot;:&quot;71&quot;},&quot;isTemporary&quot;:false},{&quot;id&quot;:&quot;6c756dba-b7ff-3ba0-919e-0bccd09dc77a&quot;,&quot;itemData&quot;:{&quot;type&quot;:&quot;article-journal&quot;,&quot;id&quot;:&quot;6c756dba-b7ff-3ba0-919e-0bccd09dc77a&quot;,&quot;title&quot;:&quot;Atrophy of Basal Forebrain Initiates with Tau Pathology in Individuals at Risk for Alzheimer's Disease&quot;,&quot;author&quot;:[{&quot;family&quot;:&quot;Cantero&quot;,&quot;given&quot;:&quot;Jose L.&quot;,&quot;parse-names&quot;:false,&quot;dropping-particle&quot;:&quot;&quot;,&quot;non-dropping-particle&quot;:&quot;&quot;},{&quot;family&quot;:&quot;Atienza&quot;,&quot;given&quot;:&quot;Mercedes&quot;,&quot;parse-names&quot;:false,&quot;dropping-particle&quot;:&quot;&quot;,&quot;non-dropping-particle&quot;:&quot;&quot;},{&quot;family&quot;:&quot;Lage&quot;,&quot;given&quot;:&quot;Carmen&quot;,&quot;parse-names&quot;:false,&quot;dropping-particle&quot;:&quot;&quot;,&quot;non-dropping-particle&quot;:&quot;&quot;},{&quot;family&quot;:&quot;Zaborszky&quot;,&quot;given&quot;:&quot;Laszlo&quot;,&quot;parse-names&quot;:false,&quot;dropping-particle&quot;:&quot;&quot;,&quot;non-dropping-particle&quot;:&quot;&quot;},{&quot;family&quot;:&quot;Vilaplana&quot;,&quot;given&quot;:&quot;Eduard&quot;,&quot;parse-names&quot;:false,&quot;dropping-particle&quot;:&quot;&quot;,&quot;non-dropping-particle&quot;:&quot;&quot;},{&quot;family&quot;:&quot;Lopez-Garcia&quot;,&quot;given&quot;:&quot;Sara&quot;,&quot;parse-names&quot;:false,&quot;dropping-particle&quot;:&quot;&quot;,&quot;non-dropping-particle&quot;:&quot;&quot;},{&quot;family&quot;:&quot;Pozueta&quot;,&quot;given&quot;:&quot;Ana&quot;,&quot;parse-names&quot;:false,&quot;dropping-particle&quot;:&quot;&quot;,&quot;non-dropping-particle&quot;:&quot;&quot;},{&quot;family&quot;:&quot;Rodriguez-Rodriguez&quot;,&quot;given&quot;:&quot;Eloy&quot;,&quot;parse-names&quot;:false,&quot;dropping-particle&quot;:&quot;&quot;,&quot;non-dropping-particle&quot;:&quot;&quot;},{&quot;family&quot;:&quot;Blesa&quot;,&quot;given&quot;:&quot;Rafael&quot;,&quot;parse-names&quot;:false,&quot;dropping-particle&quot;:&quot;&quot;,&quot;non-dropping-particle&quot;:&quot;&quot;},{&quot;family&quot;:&quot;Alcolea&quot;,&quot;given&quot;:&quot;Daniel&quot;,&quot;parse-names&quot;:false,&quot;dropping-particle&quot;:&quot;&quot;,&quot;non-dropping-particle&quot;:&quot;&quot;},{&quot;family&quot;:&quot;Lleo&quot;,&quot;given&quot;:&quot;Alberto&quot;,&quot;parse-names&quot;:false,&quot;dropping-particle&quot;:&quot;&quot;,&quot;non-dropping-particle&quot;:&quot;&quot;},{&quot;family&quot;:&quot;Sanchez-Juan&quot;,&quot;given&quot;:&quot;Pascual&quot;,&quot;parse-names&quot;:false,&quot;dropping-particle&quot;:&quot;&quot;,&quot;non-dropping-particle&quot;:&quot;&quot;},{&quot;family&quot;:&quot;Fortea&quot;,&quot;given&quot;:&quot;Juan&quot;,&quot;parse-names&quot;:false,&quot;dropping-particle&quot;:&quot;&quot;,&quot;non-dropping-particle&quot;:&quot;&quot;}],&quot;container-title&quot;:&quot;Cerebral Cortex&quot;,&quot;accessed&quot;:{&quot;date-parts&quot;:[[2021,7,19]]},&quot;DOI&quot;:&quot;10.1093/cercor/bhz224&quot;,&quot;ISSN&quot;:&quot;14602199&quot;,&quot;PMID&quot;:&quot;31799623&quot;,&quot;URL&quot;:&quot;https://pubmed.ncbi.nlm.nih.gov/31799623/&quot;,&quot;issued&quot;:{&quot;date-parts&quot;:[[2020,4,14]]},&quot;page&quot;:&quot;2083-2098&quot;,&quot;abstract&quot;:&quot;Evidence suggests that the basal forebrain (BF) cholinergic system degenerates early in the course of Alzheimer's disease (AD), likely due to the vulnerability of BF cholinergic neurons to tau pathology. However, it remains unclear whether the presence of tauopathy is the only requirement for initiating the BF degeneration in asymptomatic subjects at risk for AD (AR-AD), and how BF structural deficits evolve from normal aging to preclinical and prodromal AD. Here, we provide human in vivo magnetic resonance imaging evidence supporting that abnormal cerebrospinal fluid levels of phosphorylated tau (T+) are selectively associated with bilateral volume loss of the nucleus basalis of Meynert (nbM, Ch4) in AR-AD individuals. Spreading of atrophy to medial septum and vertical limb of diagonal band Broca (Ch1-Ch2) occurred in both preclinical and prodromal AD. With the exception of A+, all groups revealed significant correlations between volume reduction of BF cholinergic compartments and atrophy of their innervated regions. Overall, these results support the central role played by tauopathy in instigating the nbM degeneration in AR-AD individuals and the necessary coexistence of both AD proteinopathies for spreading damage to larger BF territories, thus affecting the core of the BF cholinergic projection system.&quot;,&quot;publisher&quot;:&quot;Oxford University Press&quot;,&quot;issue&quot;:&quot;4&quot;,&quot;volume&quot;:&quot;30&quot;},&quot;isTemporary&quot;:false},{&quot;id&quot;:&quot;3696f165-52c5-3b31-a36c-6ce1ccc64cad&quot;,&quot;itemData&quot;:{&quot;type&quot;:&quot;article-journal&quot;,&quot;id&quot;:&quot;3696f165-52c5-3b31-a36c-6ce1ccc64cad&quot;,&quot;title&quot;:&quot;Neuropathological alterations in Alzheimer disease&quot;,&quot;author&quot;:[{&quot;family&quot;:&quot;Serrano-Pozo&quot;,&quot;given&quot;:&quot;Alberto&quot;,&quot;parse-names&quot;:false,&quot;dropping-particle&quot;:&quot;&quot;,&quot;non-dropping-particle&quot;:&quot;&quot;},{&quot;family&quot;:&quot;Frosch&quot;,&quot;given&quot;:&quot;Matthew P.&quot;,&quot;parse-names&quot;:false,&quot;dropping-particle&quot;:&quot;&quot;,&quot;non-dropping-particle&quot;:&quot;&quot;},{&quot;family&quot;:&quot;Masliah&quot;,&quot;given&quot;:&quot;Eliezer&quot;,&quot;parse-names&quot;:false,&quot;dropping-particle&quot;:&quot;&quot;,&quot;non-dropping-particle&quot;:&quot;&quot;},{&quot;family&quot;:&quot;Hyman&quot;,&quot;given&quot;:&quot;Bradley T.&quot;,&quot;parse-names&quot;:false,&quot;dropping-particle&quot;:&quot;&quot;,&quot;non-dropping-particle&quot;:&quot;&quot;}],&quot;container-title&quot;:&quot;Cold Spring Harbor Perspectives in Medicine&quot;,&quot;accessed&quot;:{&quot;date-parts&quot;:[[2021,6,30]]},&quot;DOI&quot;:&quot;10.1101/cshperspect.a006189&quot;,&quot;ISSN&quot;:&quot;21571422&quot;,&quot;PMID&quot;:&quot;22229116&quot;,&quot;URL&quot;:&quot;https://pubmed.ncbi.nlm.nih.gov/22229116/&quot;,&quot;issued&quot;:{&quot;date-parts&quot;:[[2011,9]]},&quot;abstract&quot;:&quot;The neuropathological hallmarks of Alzheimer disease (AD) include \&quot;positive\&quot; lesions such as amyloid plaques and cerebral amyloid angiopathy, neurofibrillary tangles, and glial responses, and \&quot;negative\&quot; lesions such as neuronal and synaptic loss. Despite their inherently cross-sectional nature, postmortem studies have enabled the staging of the progression of both amyloid and tangle pathologies, and, consequently, the development of diagnostic criteria that are now used worldwide. In addition, clinicopathological correlation studies have been crucial to generate hypotheses about the pathophysiology of the disease, by establishing that there is a continuum between \&quot;normal\&quot; aging and AD dementia, and that the amyloid plaque build-up occurs primarily before the onset of cognitive deficits, while neurofibrillary tangles, neuron loss, and particularly synaptic loss, parallel the progression of cognitive decline. Importantly, these cross-sectional neuropathological data have been largely validated by longitudinal in vivo studies using modern imaging biomarkers such as amyloid PET and volumetric MRI. © 2011 Cold Spring Harbor Laboratory Press; all rights reserved.&quot;,&quot;publisher&quot;:&quot;Cold Spring Harb Perspect Med&quot;,&quot;issue&quot;:&quot;1&quot;,&quot;volume&quot;:&quot;1&quot;},&quot;isTemporary&quot;:false}],&quot;properties&quot;:{&quot;noteIndex&quot;:0},&quot;isEdited&quot;:false,&quot;manualOverride&quot;:{&quot;isManuallyOverriden&quot;:false,&quot;citeprocText&quot;:&quot;&lt;sup&gt;15–18&lt;/sup&gt;&quot;,&quot;manualOverrideText&quot;:&quot;&quot;},&quot;citationTag&quot;:&quot;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&quot;},{&quot;citationID&quot;:&quot;MENDELEY_CITATION_5a0a07e2-c1be-4ff2-b665-6e16fb85f529&quot;,&quot;citationItems&quot;:[{&quot;id&quot;:&quot;5f4bc36d-1a0d-393d-8caf-9aab623e0b42&quot;,&quot;itemData&quot;:{&quot;type&quot;:&quot;article-journal&quot;,&quot;id&quot;:&quot;5f4bc36d-1a0d-393d-8caf-9aab623e0b42&quot;,&quot;title&quot;:&quot;Neural and Homeostatic Regulation of REM Sleep&quot;,&quot;author&quot;:[{&quot;family&quot;:&quot;Park&quot;,&quot;given&quot;:&quot;Sung Ho&quot;,&quot;parse-names&quot;:false,&quot;dropping-particle&quot;:&quot;&quot;,&quot;non-dropping-particle&quot;:&quot;&quot;},{&quot;family&quot;:&quot;Weber&quot;,&quot;given&quot;:&quot;Franz&quot;,&quot;parse-names&quot;:false,&quot;dropping-particle&quot;:&quot;&quot;,&quot;non-dropping-particle&quot;:&quot;&quot;}],&quot;container-title&quot;:&quot;Frontiers in Psychology&quot;,&quot;accessed&quot;:{&quot;date-parts&quot;:[[2021,7,19]]},&quot;DOI&quot;:&quot;10.3389/fpsyg.2020.01662&quot;,&quot;ISSN&quot;:&quot;16641078&quot;,&quot;URL&quot;:&quot;https://pubmed.ncbi.nlm.nih.gov/32793050/&quot;,&quot;issued&quot;:{&quot;date-parts&quot;:[[2020,7,21]]},&quot;page&quot;:&quot;1662&quot;,&quot;abstract&quot;:&quot;Rapid eye movement (REM) sleep is a distinct, homeostatically controlled brain state characterized by an activated electroencephalogram (EEG) in combination with paralysis of skeletal muscles and is associated with vivid dreaming. Understanding how REM sleep is controlled requires identification of the neural circuits underlying its initiation and maintenance, and delineation of the homeostatic processes regulating its expression on multiple timescales. Soon after its discovery in humans in 1953, the pons was demonstrated to be necessary and sufficient for the generation of REM sleep. But, especially within the last decade, researchers have identified further neural populations in the hypothalamus, midbrain, and medulla that regulate REM sleep by either promoting or suppressing this brain state. The discovery of these populations was greatly facilitated by the availability of novel technologies for the dissection of neural circuits. Recent quantitative models integrate findings about the activity and connectivity of key neurons and knowledge about homeostatic mechanisms to explain the dynamics underlying the recurrence of REM sleep. For the future, combining quantitative with experimental approaches to directly test model predictions and to refine existing models will greatly advance our understanding of the neural and homeostatic processes governing the regulation of REM sleep.&quot;,&quot;publisher&quot;:&quot;Frontiers Media S.A.&quot;,&quot;volume&quot;:&quot;11&quot;},&quot;isTemporary&quot;:false},{&quot;id&quot;:&quot;27aefb44-ac99-37ab-a013-f552d7465125&quot;,&quot;itemData&quot;:{&quot;type&quot;:&quot;article-journal&quot;,&quot;id&quot;:&quot;27aefb44-ac99-37ab-a013-f552d7465125&quot;,&quot;title&quot;:&quot;Neuroscience: A Distributed Neural Network Controls REM Sleep&quot;,&quot;author&quot;:[{&quot;family&quot;:&quot;Peever&quot;,&quot;given&quot;:&quot;John&quot;,&quot;parse-names&quot;:false,&quot;dropping-particle&quot;:&quot;&quot;,&quot;non-dropping-particle&quot;:&quot;&quot;},{&quot;family&quot;:&quot;Fuller&quot;,&quot;given&quot;:&quot;Patrick M.&quot;,&quot;parse-names&quot;:false,&quot;dropping-particle&quot;:&quot;&quot;,&quot;non-dropping-particle&quot;:&quot;&quot;}],&quot;container-title&quot;:&quot;Current Biology&quot;,&quot;accessed&quot;:{&quot;date-parts&quot;:[[2021,7,19]]},&quot;DOI&quot;:&quot;10.1016/j.cub.2015.11.011&quot;,&quot;ISSN&quot;:&quot;09609822&quot;,&quot;PMID&quot;:&quot;26766231&quot;,&quot;URL&quot;:&quot;https://pubmed.ncbi.nlm.nih.gov/26766231/&quot;,&quot;issued&quot;:{&quot;date-parts&quot;:[[2016,1,11]]},&quot;page&quot;:&quot;R34-R35&quot;,&quot;abstract&quot;:&quot;How does the brain control dreams? New science shows that a small node of cells in the medulla - the most primitive part of the brain - may function to control REM sleep, the brain state that underlies dreaming.&quot;,&quot;publisher&quot;:&quot;Cell Press&quot;,&quot;issue&quot;:&quot;1&quot;,&quot;volume&quot;:&quot;26&quot;},&quot;isTemporary&quot;:false}],&quot;properties&quot;:{&quot;noteIndex&quot;:0},&quot;isEdited&quot;:false,&quot;manualOverride&quot;:{&quot;isManuallyOverriden&quot;:false,&quot;citeprocText&quot;:&quot;&lt;sup&gt;19,20&lt;/sup&gt;&quot;,&quot;manualOverrideText&quot;:&quot;&quot;},&quot;citationTag&quot;:&quot;MENDELEY_CITATION_v3_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&quot;},{&quot;citationID&quot;:&quot;MENDELEY_CITATION_f9b7fc17-0bf1-4676-aa56-79c687f0d487&quot;,&quot;citationItems&quot;:[{&quot;id&quot;:&quot;2bfb3010-25f1-3cf2-ac1d-6af43fa94877&quot;,&quot;itemData&quot;:{&quot;type&quot;:&quot;article-journal&quot;,&quot;id&quot;:&quot;2bfb3010-25f1-3cf2-ac1d-6af43fa94877&quot;,&quot;title&quot;:&quot;Age-related cortical signatures of human sleep electroencephalography&quot;,&quot;author&quot;:[{&quot;family&quot;:&quot;Latreille&quot;,&quot;given&quot;:&quot;Véronique&quot;,&quot;parse-names&quot;:false,&quot;dropping-particle&quot;:&quot;&quot;,&quot;non-dropping-particle&quot;:&quot;&quot;},{&quot;family&quot;:&quot;Gaubert&quot;,&quot;given&quot;:&quot;Malo&quot;,&quot;parse-names&quot;:false,&quot;dropping-particle&quot;:&quot;&quot;,&quot;non-dropping-particle&quot;:&quot;&quot;},{&quot;family&quot;:&quot;Dubé&quot;,&quot;given&quot;:&quot;Jonathan&quot;,&quot;parse-names&quot;:false,&quot;dropping-particle&quot;:&quot;&quot;,&quot;non-dropping-particle&quot;:&quot;&quot;},{&quot;family&quot;:&quot;Lina&quot;,&quot;given&quot;:&quot;Jean-Marc&quot;,&quot;parse-names&quot;:false,&quot;dropping-particle&quot;:&quot;&quot;,&quot;non-dropping-particle&quot;:&quot;&quot;},{&quot;family&quot;:&quot;Gagnon&quot;,&quot;given&quot;:&quot;Jean-François&quot;,&quot;parse-names&quot;:false,&quot;dropping-particle&quot;:&quot;&quot;,&quot;non-dropping-particle&quot;:&quot;&quot;},{&quot;family&quot;:&quot;Carrier&quot;,&quot;given&quot;:&quot;Julie&quot;,&quot;parse-names&quot;:false,&quot;dropping-particle&quot;:&quot;&quot;,&quot;non-dropping-particle&quot;:&quot;&quot;}],&quot;container-title&quot;:&quot;Neurobiology of Aging&quot;,&quot;accessed&quot;:{&quot;date-parts&quot;:[[2019,7,28]]},&quot;DOI&quot;:&quot;10.1016/j.neurobiolaging.2018.12.012&quot;,&quot;PMID&quot;:&quot;30710833&quot;,&quot;URL&quot;:&quot;http://www.ncbi.nlm.nih.gov/pubmed/30710833&quot;,&quot;issued&quot;:{&quot;date-parts&quot;:[[2019,4]]},&quot;page&quot;:&quot;106-114&quot;,&quot;abstract&quot;:&quot;Accumulating evidence demonstrates a direct relationship between impaired neural integrity and disrupted sleep physiology in normal and pathological aging. However, previous work has focus almost exclusively on nonrapid eye movement sleep electroencephalography as a proxy of cortical integrity with aging. Whether this relationship holds true for rapid eye movement sleep electroencephalography is unknown. Our results show that age-related reduction in low-frequency delta activity during both rapid eye movement and nonrapid eye movement sleep was statistically mediated by the thinning of the medial frontal and anterior cingulate cortices. These findings (1) support the potential role of the medial frontal and cingulate cortices, major hubs of the human brain, in synchronizing neuronal assemblies during sleep, and (2) suggest that, with age, a reduction in cortical integrity within this frontal network mediates the loss of delta power during sleep. Further work will determine whether cortical thinning and delta loss may interact and contribute to cognitive decline with aging.&quot;,&quot;volume&quot;:&quot;76&quot;},&quot;isTemporary&quot;:false}],&quot;properties&quot;:{&quot;noteIndex&quot;:0},&quot;isEdited&quot;:false,&quot;manualOverride&quot;:{&quot;isManuallyOverriden&quot;:false,&quot;citeprocText&quot;:&quot;&lt;sup&gt;21&lt;/sup&gt;&quot;,&quot;manualOverrideText&quot;:&quot;&quot;},&quot;citationTag&quot;:&quot;MENDELEY_CITATION_v3_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&quot;},{&quot;citationID&quot;:&quot;MENDELEY_CITATION_db9153dd-e5da-41e7-8e05-5ea8af73407f&quot;,&quot;citationItems&quot;:[{&quot;id&quot;:&quot;b5497c2f-aeb7-3631-9e80-6f8d989d6f61&quot;,&quot;itemData&quot;:{&quot;type&quot;:&quot;article-journal&quot;,&quot;id&quot;:&quot;b5497c2f-aeb7-3631-9e80-6f8d989d6f61&quot;,&quot;title&quot;:&quot;NIA-AA Research Framework: Toward a biological definition of Alzheimer's disease.&quot;,&quot;author&quot;:[{&quot;family&quot;:&quot;Jack&quot;,&quot;given&quot;:&quot;Clifford R&quot;,&quot;parse-names&quot;:false,&quot;dropping-particle&quot;:&quot;&quot;,&quot;non-dropping-particle&quot;:&quot;&quot;},{&quot;family&quot;:&quot;Bennett&quot;,&quot;given&quot;:&quot;David A&quot;,&quot;parse-names&quot;:false,&quot;dropping-particle&quot;:&quot;&quot;,&quot;non-dropping-particle&quot;:&quot;&quot;},{&quot;family&quot;:&quot;Blennow&quot;,&quot;given&quot;:&quot;Kaj&quot;,&quot;parse-names&quot;:false,&quot;dropping-particle&quot;:&quot;&quot;,&quot;non-dropping-particle&quot;:&quot;&quot;},{&quot;family&quot;:&quot;Carrillo&quot;,&quot;given&quot;:&quot;Maria C&quot;,&quot;parse-names&quot;:false,&quot;dropping-particle&quot;:&quot;&quot;,&quot;non-dropping-particle&quot;:&quot;&quot;},{&quot;family&quot;:&quot;Dunn&quot;,&quot;given&quot;:&quot;Billy&quot;,&quot;parse-names&quot;:false,&quot;dropping-particle&quot;:&quot;&quot;,&quot;non-dropping-particle&quot;:&quot;&quot;},{&quot;family&quot;:&quot;Haeberlein&quot;,&quot;given&quot;:&quot;Samantha Budd&quot;,&quot;parse-names&quot;:false,&quot;dropping-particle&quot;:&quot;&quot;,&quot;non-dropping-particle&quot;:&quot;&quot;},{&quot;family&quot;:&quot;Holtzman&quot;,&quot;given&quot;:&quot;David M&quot;,&quot;parse-names&quot;:false,&quot;dropping-particle&quot;:&quot;&quot;,&quot;non-dropping-particle&quot;:&quot;&quot;},{&quot;family&quot;:&quot;Jagust&quot;,&quot;given&quot;:&quot;William&quot;,&quot;parse-names&quot;:false,&quot;dropping-particle&quot;:&quot;&quot;,&quot;non-dropping-particle&quot;:&quot;&quot;},{&quot;family&quot;:&quot;Jessen&quot;,&quot;given&quot;:&quot;Frank&quot;,&quot;parse-names&quot;:false,&quot;dropping-particle&quot;:&quot;&quot;,&quot;non-dropping-particle&quot;:&quot;&quot;},{&quot;family&quot;:&quot;Karlawish&quot;,&quot;given&quot;:&quot;Jason&quot;,&quot;parse-names&quot;:false,&quot;dropping-particle&quot;:&quot;&quot;,&quot;non-dropping-particle&quot;:&quot;&quot;},{&quot;family&quot;:&quot;Liu&quot;,&quot;given&quot;:&quot;Enchi&quot;,&quot;parse-names&quot;:false,&quot;dropping-particle&quot;:&quot;&quot;,&quot;non-dropping-particle&quot;:&quot;&quot;},{&quot;family&quot;:&quot;Molinuevo&quot;,&quot;given&quot;:&quot;Jose Luis&quot;,&quot;parse-names&quot;:false,&quot;dropping-particle&quot;:&quot;&quot;,&quot;non-dropping-particle&quot;:&quot;&quot;},{&quot;family&quot;:&quot;Montine&quot;,&quot;given&quot;:&quot;Thomas&quot;,&quot;parse-names&quot;:false,&quot;dropping-particle&quot;:&quot;&quot;,&quot;non-dropping-particle&quot;:&quot;&quot;},{&quot;family&quot;:&quot;Phelps&quot;,&quot;given&quot;:&quot;Creighton&quot;,&quot;parse-names&quot;:false,&quot;dropping-particle&quot;:&quot;&quot;,&quot;non-dropping-particle&quot;:&quot;&quot;},{&quot;family&quot;:&quot;Rankin&quot;,&quot;given&quot;:&quot;Katherine P&quot;,&quot;parse-names&quot;:false,&quot;dropping-particle&quot;:&quot;&quot;,&quot;non-dropping-particle&quot;:&quot;&quot;},{&quot;family&quot;:&quot;Rowe&quot;,&quot;given&quot;:&quot;Christopher C&quot;,&quot;parse-names&quot;:false,&quot;dropping-particle&quot;:&quot;&quot;,&quot;non-dropping-particle&quot;:&quot;&quot;},{&quot;family&quot;:&quot;Scheltens&quot;,&quot;given&quot;:&quot;Philip&quot;,&quot;parse-names&quot;:false,&quot;dropping-particle&quot;:&quot;&quot;,&quot;non-dropping-particle&quot;:&quot;&quot;},{&quot;family&quot;:&quot;Siemers&quot;,&quot;given&quot;:&quot;Eric&quot;,&quot;parse-names&quot;:false,&quot;dropping-particle&quot;:&quot;&quot;,&quot;non-dropping-particle&quot;:&quot;&quot;},{&quot;family&quot;:&quot;Snyder&quot;,&quot;given&quot;:&quot;Heather M&quot;,&quot;parse-names&quot;:false,&quot;dropping-particle&quot;:&quot;&quot;,&quot;non-dropping-particle&quot;:&quot;&quot;},{&quot;family&quot;:&quot;Sperling&quot;,&quot;given&quot;:&quot;Reisa&quot;,&quot;parse-names&quot;:false,&quot;dropping-particle&quot;:&quot;&quot;,&quot;non-dropping-particle&quot;:&quot;&quot;},{&quot;family&quot;:&quot;Contributors&quot;,&quot;given&quot;:&quot;&quot;,&quot;parse-names&quot;:false,&quot;dropping-particle&quot;:&quot;&quot;,&quot;non-dropping-particle&quot;:&quot;&quot;}],&quot;container-title&quot;:&quot;Alzheimer's &amp; dementia : the journal of the Alzheimer's Association&quot;,&quot;accessed&quot;:{&quot;date-parts&quot;:[[2019,6,23]]},&quot;DOI&quot;:&quot;10.1016/j.jalz.2018.02.018&quot;,&quot;ISSN&quot;:&quot;1552-5279&quot;,&quot;PMID&quot;:&quot;29653606&quot;,&quot;URL&quot;:&quot;http://www.ncbi.nlm.nih.gov/pubmed/29653606&quot;,&quot;issued&quot;:{&quot;date-parts&quot;:[[2018]]},&quot;page&quot;:&quot;535-562&quot;,&quot;abstract&quot;:&quot;In 2011, the National Institute on Aging and Alzheimer's Association created separate diagnostic recommendations for the preclinical, mild cognitive impairment, and dementia stages of Alzheimer's disease. Scientific progress in the interim led to an initiative by the National Institute on Aging and Alzheimer's Association to update and unify the 2011 guidelines. This unifying update is labeled a \&quot;research framework\&quot; because its intended use is for observational and interventional research, not routine clinical care. In the National Institute on Aging and Alzheimer's Association Research Framework, Alzheimer's disease (AD) is defined by its underlying pathologic processes that can be documented by postmortem examination or in vivo by biomarkers. The diagnosis is not based on the clinical consequences of the disease (i.e., symptoms/signs) in this research framework, which shifts the definition of AD in living people from a syndromal to a biological construct. The research framework focuses on the diagnosis of AD with biomarkers in living persons. Biomarkers are grouped into those of β amyloid deposition, pathologic tau, and neurodegeneration [AT(N)]. This ATN classification system groups different biomarkers (imaging and biofluids) by the pathologic process each measures. The AT(N) system is flexible in that new biomarkers can be added to the three existing AT(N) groups, and new biomarker groups beyond AT(N) can be added when they become available. We focus on AD as a continuum, and cognitive staging may be accomplished using continuous measures. However, we also outline two different categorical cognitive schemes for staging the severity of cognitive impairment: a scheme using three traditional syndromal categories and a six-stage numeric scheme. It is important to stress that this framework seeks to create a common language with which investigators can generate and test hypotheses about the interactions among different pathologic processes (denoted by biomarkers) and cognitive symptoms. We appreciate the concern that this biomarker-based research framework has the potential to be misused. Therefore, we emphasize, first, it is premature and inappropriate to use this research framework in general medical practice. Second, this research framework should not be used to restrict alternative approaches to hypothesis testing that do not use biomarkers. There will be situations where biomarkers are not available or requiring them would be counterproductive to the specific research goals (discussed in more detail later in the document). Thus, biomarker-based research should not be considered a template for all research into age-related cognitive impairment and dementia; rather, it should be applied when it is fit for the purpose of the specific research goals of a study. Importantly, this framework should be examined in diverse populations. Although it is possible that β-amyloid plaques and neurofibrillary tau deposits are not causal in AD pathogenesis, it is these abnormal protein deposits that define AD as a unique neurodegenerative disease among different disorders that can lead to dementia. We envision that defining AD as a biological construct will enable a more accurate characterization and understanding of the sequence of events that lead to cognitive impairment that is associated with AD, as well as the multifactorial etiology of dementia. This approach also will enable a more precise approach to interventional trials where specific pathways can be targeted in the disease process and in the appropriate people.&quot;,&quot;issue&quot;:&quot;4&quot;,&quot;volume&quot;:&quot;14&quot;},&quot;isTemporary&quot;:false}],&quot;properties&quot;:{&quot;noteIndex&quot;:0},&quot;isEdited&quot;:false,&quot;manualOverride&quot;:{&quot;isManuallyOverriden&quot;:false,&quot;citeprocText&quot;:&quot;&lt;sup&gt;22&lt;/sup&gt;&quot;,&quot;manualOverrideText&quot;:&quot;&quot;},&quot;citationTag&quot;:&quot;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&quot;},{&quot;citationID&quot;:&quot;MENDELEY_CITATION_83ae0e3f-ee20-425e-bd65-64971286d056&quot;,&quot;citationItems&quot;:[{&quot;id&quot;:&quot;f07e0adb-92ea-3746-95dd-431c49cdda1f&quot;,&quot;itemData&quot;:{&quot;type&quot;:&quot;article-journal&quot;,&quot;id&quot;:&quot;f07e0adb-92ea-3746-95dd-431c49cdda1f&quot;,&quot;title&quot;:&quot;β-amyloid disrupts human NREM slow waves and related hippocampus-dependent memory consolidation.&quot;,&quot;author&quot;:[{&quot;family&quot;:&quot;Mander&quot;,&quot;given&quot;:&quot;Bryce A&quot;,&quot;parse-names&quot;:false,&quot;dropping-particle&quot;:&quot;&quot;,&quot;non-dropping-particle&quot;:&quot;&quot;},{&quot;family&quot;:&quot;Marks&quot;,&quot;given&quot;:&quot;Shawn M&quot;,&quot;parse-names&quot;:false,&quot;dropping-particle&quot;:&quot;&quot;,&quot;non-dropping-particle&quot;:&quot;&quot;},{&quot;family&quot;:&quot;Vogel&quot;,&quot;given&quot;:&quot;Jacob W&quot;,&quot;parse-names&quot;:false,&quot;dropping-particle&quot;:&quot;&quot;,&quot;non-dropping-particle&quot;:&quot;&quot;},{&quot;family&quot;:&quot;Rao&quot;,&quot;given&quot;:&quot;Vikram&quot;,&quot;parse-names&quot;:false,&quot;dropping-particle&quot;:&quot;&quot;,&quot;non-dropping-particle&quot;:&quot;&quot;},{&quot;family&quot;:&quot;Lu&quot;,&quot;given&quot;:&quot;Brandon&quot;,&quot;parse-names&quot;:false,&quot;dropping-particle&quot;:&quot;&quot;,&quot;non-dropping-particle&quot;:&quot;&quot;},{&quot;family&quot;:&quot;Saletin&quot;,&quot;given&quot;:&quot;Jared M&quot;,&quot;parse-names&quot;:false,&quot;dropping-particle&quot;:&quot;&quot;,&quot;non-dropping-particle&quot;:&quot;&quot;},{&quot;family&quot;:&quot;Ancoli-Israel&quot;,&quot;given&quot;:&quot;Sonia&quot;,&quot;parse-names&quot;:false,&quot;dropping-particle&quot;:&quot;&quot;,&quot;non-dropping-particle&quot;:&quot;&quot;},{&quot;family&quot;:&quot;Jagust&quot;,&quot;given&quot;:&quot;William J&quot;,&quot;parse-names&quot;:false,&quot;dropping-particle&quot;:&quot;&quot;,&quot;non-dropping-particle&quot;:&quot;&quot;},{&quot;family&quot;:&quot;Walker&quot;,&quot;given&quot;:&quot;Matthew P&quot;,&quot;parse-names&quot;:false,&quot;dropping-particle&quot;:&quot;&quot;,&quot;non-dropping-particle&quot;:&quot;&quot;}],&quot;container-title&quot;:&quot;Nature neuroscience&quot;,&quot;accessed&quot;:{&quot;date-parts&quot;:[[2018,9,22]]},&quot;DOI&quot;:&quot;10.1038/nn.4035&quot;,&quot;ISSN&quot;:&quot;1546-1726&quot;,&quot;PMID&quot;:&quot;26030850&quot;,&quot;URL&quot;:&quot;http://www.nature.com/articles/nn.4035&quot;,&quot;issued&quot;:{&quot;date-parts&quot;:[[2015,7,1]]},&quot;page&quot;:&quot;1051-7&quot;,&quot;abstract&quot;:&quot;Independent evidence associates β-amyloid pathology with both non-rapid eye movement (NREM) sleep disruption and memory impairment in older adults. However, whether the influence of β-amyloid pathology on hippocampus-dependent memory is, in part, driven by impairments of NREM slow wave activity (SWA) and associated overnight memory consolidation is unknown. Here we show that β-amyloid burden in medial prefrontal cortex (mPFC) correlates significantly with the severity of impairment in NREM SWA generation. Moreover, reduced NREM SWA generation was further associated with impaired overnight memory consolidation and impoverished hippocampal-neocortical memory transformation. Furthermore, structural equation models revealed that the association between mPFC β-amyloid pathology and impaired hippocampus-dependent memory consolidation was not direct, but instead statistically depended on the intermediary factor of diminished NREM SWA. By linking β-amyloid pathology with impaired NREM SWA, these data implicate sleep disruption as a mechanistic pathway through which β-amyloid pathology may contribute to hippocampus-dependent cognitive decline in the elderly.&quot;,&quot;issue&quot;:&quot;7&quot;,&quot;volume&quot;:&quot;18&quot;},&quot;isTemporary&quot;:false},{&quot;id&quot;:&quot;7353249a-6ece-347e-b19d-70c021c77922&quot;,&quot;itemData&quot;:{&quot;type&quot;:&quot;article-journal&quot;,&quot;id&quot;:&quot;7353249a-6ece-347e-b19d-70c021c77922&quot;,&quot;title&quot;:&quot;Sleep Disturbance Forecasts β-Amyloid Accumulation across Subsequent Years&quot;,&quot;author&quot;:[{&quot;family&quot;:&quot;Winer&quot;,&quot;given&quot;:&quot;Joseph R.&quot;,&quot;parse-names&quot;:false,&quot;dropping-particle&quot;:&quot;&quot;,&quot;non-dropping-particle&quot;:&quot;&quot;},{&quot;family&quot;:&quot;Mander&quot;,&quot;given&quot;:&quot;Bryce A.&quot;,&quot;parse-names&quot;:false,&quot;dropping-particle&quot;:&quot;&quot;,&quot;non-dropping-particle&quot;:&quot;&quot;},{&quot;family&quot;:&quot;Kumar&quot;,&quot;given&quot;:&quot;Samika&quot;,&quot;parse-names&quot;:false,&quot;dropping-particle&quot;:&quot;&quot;,&quot;non-dropping-particle&quot;:&quot;&quot;},{&quot;family&quot;:&quot;Reed&quot;,&quot;given&quot;:&quot;Mark&quot;,&quot;parse-names&quot;:false,&quot;dropping-particle&quot;:&quot;&quot;,&quot;non-dropping-particle&quot;:&quot;&quot;},{&quot;family&quot;:&quot;Baker&quot;,&quot;given&quot;:&quot;Suzanne L.&quot;,&quot;parse-names&quot;:false,&quot;dropping-particle&quot;:&quot;&quot;,&quot;non-dropping-particle&quot;:&quot;&quot;},{&quot;family&quot;:&quot;Jagust&quot;,&quot;given&quot;:&quot;William J.&quot;,&quot;parse-names&quot;:false,&quot;dropping-particle&quot;:&quot;&quot;,&quot;non-dropping-particle&quot;:&quot;&quot;},{&quot;family&quot;:&quot;Walker&quot;,&quot;given&quot;:&quot;Matthew P.&quot;,&quot;parse-names&quot;:false,&quot;dropping-particle&quot;:&quot;&quot;,&quot;non-dropping-particle&quot;:&quot;&quot;}],&quot;container-title&quot;:&quot;Current Biology&quot;,&quot;accessed&quot;:{&quot;date-parts&quot;:[[2020,12,6]]},&quot;DOI&quot;:&quot;10.1016/j.cub.2020.08.017&quot;,&quot;ISSN&quot;:&quot;18790445&quot;,&quot;PMID&quot;:&quot;32888482&quot;,&quot;URL&quot;:&quot;https://pubmed.ncbi.nlm.nih.gov/32888482/&quot;,&quot;issued&quot;:{&quot;date-parts&quot;:[[2020,11,2]]},&quot;page&quot;:&quot;4291-4298.e3&quot;,&quot;abstract&quot;:&quot;Experimental sleep-wake disruption in rodents and humans causally modulates β-amyloid (Aβ) dynamics (e.g., [1–3]). This leads to the hypothesis that, beyond cross-sectional associations, impaired sleep structure and physiology could represent prospective biomarkers of the speed with which Aβ accumulates over time. Here, we test the hypothesis that initial baseline measures of non-rapid eye movement (NREM) sleep slow-wave activity (SWA) and sleep quality (efficiency) provide future forecasting sensitivity to the rate of Aβ accumulation over subsequent years. A cohort of clinically normal older adults was assessed using objective sleep polysomnography in combination with longitudinal tracking of Aβ accumulation with [11C]PiB positron emission tomography (PET) imaging. Both the proportion of NREM SWA below 1 Hz and the measure of sleep efficiency predicted the speed (slope) of subsequent Aβ deposition over time, and these associations remained robust when taking into account additional cofactors of interest (e.g., age, sex, sleep apnea). Moreover, these measures were specific, such that no other macro- and microphysiological architecture metrics of sleep demonstrated such sensitivity. Our data support the proposal that objective sleep markers could be part of a set of biomarkers that statistically forecast the longitudinal trajectory of cortical Aβ deposition in the human brain. Sleep may therefore represent a potentially affordable, scalable, repeatable, and non-invasive tool for quantifying of Aβ pathological progression, prior to cognitive symptoms of Alzheimer's disease (AD).&quot;,&quot;publisher&quot;:&quot;Cell Press&quot;,&quot;issue&quot;:&quot;21&quot;,&quot;volume&quot;:&quot;30&quot;},&quot;isTemporary&quot;:false},{&quot;id&quot;:&quot;50d6ddc5-ec3a-38a8-bc44-bcb9a6b6a5f3&quot;,&quot;itemData&quot;:{&quot;type&quot;:&quot;article-journal&quot;,&quot;id&quot;:&quot;50d6ddc5-ec3a-38a8-bc44-bcb9a6b6a5f3&quot;,&quot;title&quot;:&quot;Reduced Slow-Wave Sleep Is Associated with High Cerebrospinal Fluid Aβ42 Levels in Cognitively Normal Elderly&quot;,&quot;author&quot;:[{&quot;family&quot;:&quot;Varga&quot;,&quot;given&quot;:&quot;Andrew W.&quot;,&quot;parse-names&quot;:false,&quot;dropping-particle&quot;:&quot;&quot;,&quot;non-dropping-particle&quot;:&quot;&quot;},{&quot;family&quot;:&quot;Wohlleber&quot;,&quot;given&quot;:&quot;Margaret E.&quot;,&quot;parse-names&quot;:false,&quot;dropping-particle&quot;:&quot;&quot;,&quot;non-dropping-particle&quot;:&quot;&quot;},{&quot;family&quot;:&quot;Giménez&quot;,&quot;given&quot;:&quot;Sandra&quot;,&quot;parse-names&quot;:false,&quot;dropping-particle&quot;:&quot;&quot;,&quot;non-dropping-particle&quot;:&quot;&quot;},{&quot;family&quot;:&quot;Romero&quot;,&quot;given&quot;:&quot;Sergio&quot;,&quot;parse-names&quot;:false,&quot;dropping-particle&quot;:&quot;&quot;,&quot;non-dropping-particle&quot;:&quot;&quot;},{&quot;family&quot;:&quot;Alonso&quot;,&quot;given&quot;:&quot;Joan F.&quot;,&quot;parse-names&quot;:false,&quot;dropping-particle&quot;:&quot;&quot;,&quot;non-dropping-particle&quot;:&quot;&quot;},{&quot;family&quot;:&quot;Ducca&quot;,&quot;given&quot;:&quot;Emma L.&quot;,&quot;parse-names&quot;:false,&quot;dropping-particle&quot;:&quot;&quot;,&quot;non-dropping-particle&quot;:&quot;&quot;},{&quot;family&quot;:&quot;Kam&quot;,&quot;given&quot;:&quot;Korey&quot;,&quot;parse-names&quot;:false,&quot;dropping-particle&quot;:&quot;&quot;,&quot;non-dropping-particle&quot;:&quot;&quot;},{&quot;family&quot;:&quot;Lewis&quot;,&quot;given&quot;:&quot;Clifton&quot;,&quot;parse-names&quot;:false,&quot;dropping-particle&quot;:&quot;&quot;,&quot;non-dropping-particle&quot;:&quot;&quot;},{&quot;family&quot;:&quot;Tanzi&quot;,&quot;given&quot;:&quot;Emily B.&quot;,&quot;parse-names&quot;:false,&quot;dropping-particle&quot;:&quot;&quot;,&quot;non-dropping-particle&quot;:&quot;&quot;},{&quot;family&quot;:&quot;Tweardy&quot;,&quot;given&quot;:&quot;Samuel&quot;,&quot;parse-names&quot;:false,&quot;dropping-particle&quot;:&quot;&quot;,&quot;non-dropping-particle&quot;:&quot;&quot;},{&quot;family&quot;:&quot;Kishi&quot;,&quot;given&quot;:&quot;Akifumi&quot;,&quot;parse-names&quot;:false,&quot;dropping-particle&quot;:&quot;&quot;,&quot;non-dropping-particle&quot;:&quot;&quot;},{&quot;family&quot;:&quot;Parekh&quot;,&quot;given&quot;:&quot;Ankit&quot;,&quot;parse-names&quot;:false,&quot;dropping-particle&quot;:&quot;&quot;,&quot;non-dropping-particle&quot;:&quot;&quot;},{&quot;family&quot;:&quot;Fischer&quot;,&quot;given&quot;:&quot;Esther&quot;,&quot;parse-names&quot;:false,&quot;dropping-particle&quot;:&quot;&quot;,&quot;non-dropping-particle&quot;:&quot;&quot;},{&quot;family&quot;:&quot;Gumb&quot;,&quot;given&quot;:&quot;Tyler&quot;,&quot;parse-names&quot;:false,&quot;dropping-particle&quot;:&quot;&quot;,&quot;non-dropping-particle&quot;:&quot;&quot;},{&quot;family&quot;:&quot;Alcolea&quot;,&quot;given&quot;:&quot;Daniel&quot;,&quot;parse-names&quot;:false,&quot;dropping-particle&quot;:&quot;&quot;,&quot;non-dropping-particle&quot;:&quot;&quot;},{&quot;family&quot;:&quot;Fortea&quot;,&quot;given&quot;:&quot;Juan&quot;,&quot;parse-names&quot;:false,&quot;dropping-particle&quot;:&quot;&quot;,&quot;non-dropping-particle&quot;:&quot;&quot;},{&quot;family&quot;:&quot;Lleó&quot;,&quot;given&quot;:&quot;Alberto&quot;,&quot;parse-names&quot;:false,&quot;dropping-particle&quot;:&quot;&quot;,&quot;non-dropping-particle&quot;:&quot;&quot;},{&quot;family&quot;:&quot;Blennow&quot;,&quot;given&quot;:&quot;Kaj&quot;,&quot;parse-names&quot;:false,&quot;dropping-particle&quot;:&quot;&quot;,&quot;non-dropping-particle&quot;:&quot;&quot;},{&quot;family&quot;:&quot;Zetterberg&quot;,&quot;given&quot;:&quot;Henrik&quot;,&quot;parse-names&quot;:false,&quot;dropping-particle&quot;:&quot;&quot;,&quot;non-dropping-particle&quot;:&quot;&quot;},{&quot;family&quot;:&quot;Mosconi&quot;,&quot;given&quot;:&quot;Lisa&quot;,&quot;parse-names&quot;:false,&quot;dropping-particle&quot;:&quot;&quot;,&quot;non-dropping-particle&quot;:&quot;&quot;},{&quot;family&quot;:&quot;Glodzik&quot;,&quot;given&quot;:&quot;Lidia&quot;,&quot;parse-names&quot;:false,&quot;dropping-particle&quot;:&quot;&quot;,&quot;non-dropping-particle&quot;:&quot;&quot;},{&quot;family&quot;:&quot;Pirraglia&quot;,&quot;given&quot;:&quot;Elizabeth&quot;,&quot;parse-names&quot;:false,&quot;dropping-particle&quot;:&quot;&quot;,&quot;non-dropping-particle&quot;:&quot;&quot;},{&quot;family&quot;:&quot;Burschtin&quot;,&quot;given&quot;:&quot;Omar E.&quot;,&quot;parse-names&quot;:false,&quot;dropping-particle&quot;:&quot;&quot;,&quot;non-dropping-particle&quot;:&quot;&quot;},{&quot;family&quot;:&quot;Leon&quot;,&quot;given&quot;:&quot;Mony J.&quot;,&quot;parse-names&quot;:false,&quot;dropping-particle&quot;:&quot;&quot;,&quot;non-dropping-particle&quot;:&quot;de&quot;},{&quot;family&quot;:&quot;Rapoport&quot;,&quot;given&quot;:&quot;David M.&quot;,&quot;parse-names&quot;:false,&quot;dropping-particle&quot;:&quot;&quot;,&quot;non-dropping-particle&quot;:&quot;&quot;},{&quot;family&quot;:&quot;Lu&quot;,&quot;given&quot;:&quot;Shou-en&quot;,&quot;parse-names&quot;:false,&quot;dropping-particle&quot;:&quot;&quot;,&quot;non-dropping-particle&quot;:&quot;&quot;},{&quot;family&quot;:&quot;Ayappa&quot;,&quot;given&quot;:&quot;Indu&quot;,&quot;parse-names&quot;:false,&quot;dropping-particle&quot;:&quot;&quot;,&quot;non-dropping-particle&quot;:&quot;&quot;},{&quot;family&quot;:&quot;Osorio&quot;,&quot;given&quot;:&quot;Ricardo S.&quot;,&quot;parse-names&quot;:false,&quot;dropping-particle&quot;:&quot;&quot;,&quot;non-dropping-particle&quot;:&quot;&quot;}],&quot;container-title&quot;:&quot;Sleep&quot;,&quot;accessed&quot;:{&quot;date-parts&quot;:[[2018,9,22]]},&quot;DOI&quot;:&quot;10.5665/sleep.6240&quot;,&quot;ISSN&quot;:&quot;0161-8105&quot;,&quot;PMID&quot;:&quot;27568802&quot;,&quot;URL&quot;:&quot;http://www.ncbi.nlm.nih.gov/pubmed/27568802&quot;,&quot;issued&quot;:{&quot;date-parts&quot;:[[2016,11,1]]},&quot;page&quot;:&quot;2041-2048&quot;,&quot;abstract&quot;:&quot;STUDY OBJECTIVES Emerging evidence suggests a role for sleep in contributing to the progression of Alzheimer disease (AD). Slow wave sleep (SWS) is the stage during which synaptic activity is minimal and clearance of neuronal metabolites is high, making it an ideal state to regulate levels of amyloid beta (Aβ). We thus aimed to examine relationships between concentrations of Aβ42 in the cerebrospinal fluid (CSF) and measures of SWS in cognitively normal elderly subjects. METHODS Thirty-six subjects underwent a clinical and cognitive assessment, a structural MRI, a morning to early afternoon lumbar puncture, and nocturnal polysomnography. Correlations and linear regression analyses were used to assess for associations between CSF Aβ42 levels and measures of SWS controlling for potential confounders. Resulting models were compared to each other using ordinary least squared linear regression analysis. Additionally, the participant sample was dichotomized into \&quot;high\&quot; and \&quot;low\&quot; Aβ42 groups to compare SWS bout length using survival analyses. RESULTS A significant inverse correlation was found between CSF Aβ42 levels, SWS duration and other SWS characteristics. Collectively, total SWA in the frontal lead was the best predictor of reduced CSF Aβ42 levels when controlling for age and ApoE status. Total sleep time, time spent in NREM1, NREM2, or REM sleep were not correlated with CSF Aβ42. CONCLUSIONS In cognitively normal elderly, reduced and fragmented SWS is associated with increases in CSF Aβ42, suggesting that disturbed sleep might drive an increase in soluble brain Aβ levels prior to amyloid deposition.&quot;,&quot;issue&quot;:&quot;11&quot;,&quot;volume&quot;:&quot;39&quot;},&quot;isTemporary&quot;:false}],&quot;properties&quot;:{&quot;noteIndex&quot;:0},&quot;isEdited&quot;:false,&quot;manualOverride&quot;:{&quot;isManuallyOverriden&quot;:false,&quot;citeprocText&quot;:&quot;&lt;sup&gt;23–25&lt;/sup&gt;&quot;,&quot;manualOverrideText&quot;:&quot;&quot;},&quot;citationTag&quot;:&quot;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&quot;},{&quot;citationID&quot;:&quot;MENDELEY_CITATION_687ba820-28a5-4430-b3bb-45280feee577&quot;,&quot;citationItems&quot;:[{&quot;id&quot;:&quot;c0bd0123-0a10-370c-a058-3bf5b9a44ffd&quot;,&quot;itemData&quot;:{&quot;type&quot;:&quot;article-journal&quot;,&quot;id&quot;:&quot;c0bd0123-0a10-370c-a058-3bf5b9a44ffd&quot;,&quot;title&quot;:&quot;Self‐reported obstructive sleep apnea, amyloid and tau burden, and Alzheimer's disease time‐dependent progression&quot;,&quot;author&quot;:[{&quot;family&quot;:&quot;Bubu&quot;,&quot;given&quot;:&quot;Omonigho M.&quot;,&quot;parse-names&quot;:false,&quot;dropping-particle&quot;:&quot;&quot;,&quot;non-dropping-particle&quot;:&quot;&quot;},{&quot;family&quot;:&quot;Umasabor‐Bubu&quot;,&quot;given&quot;:&quot;Ogie Q.&quot;,&quot;parse-names&quot;:false,&quot;dropping-particle&quot;:&quot;&quot;,&quot;non-dropping-particle&quot;:&quot;&quot;},{&quot;family&quot;:&quot;Turner&quot;,&quot;given&quot;:&quot;Arlener D&quot;,&quot;parse-names&quot;:false,&quot;dropping-particle&quot;:&quot;&quot;,&quot;non-dropping-particle&quot;:&quot;&quot;},{&quot;family&quot;:&quot;Parekh&quot;,&quot;given&quot;:&quot;Ankit&quot;,&quot;parse-names&quot;:false,&quot;dropping-particle&quot;:&quot;&quot;,&quot;non-dropping-particle&quot;:&quot;&quot;},{&quot;family&quot;:&quot;Mullins&quot;,&quot;given&quot;:&quot;Anna E.&quot;,&quot;parse-names&quot;:false,&quot;dropping-particle&quot;:&quot;&quot;,&quot;non-dropping-particle&quot;:&quot;&quot;},{&quot;family&quot;:&quot;Kam&quot;,&quot;given&quot;:&quot;Korey&quot;,&quot;parse-names&quot;:false,&quot;dropping-particle&quot;:&quot;&quot;,&quot;non-dropping-particle&quot;:&quot;&quot;},{&quot;family&quot;:&quot;Birckbichler&quot;,&quot;given&quot;:&quot;Madeline K.&quot;,&quot;parse-names&quot;:false,&quot;dropping-particle&quot;:&quot;&quot;,&quot;non-dropping-particle&quot;:&quot;&quot;},{&quot;family&quot;:&quot;Mukhtar&quot;,&quot;given&quot;:&quot;Fahad&quot;,&quot;parse-names&quot;:false,&quot;dropping-particle&quot;:&quot;&quot;,&quot;non-dropping-particle&quot;:&quot;&quot;},{&quot;family&quot;:&quot;Mbah&quot;,&quot;given&quot;:&quot;Alfred K&quot;,&quot;parse-names&quot;:false,&quot;dropping-particle&quot;:&quot;&quot;,&quot;non-dropping-particle&quot;:&quot;&quot;},{&quot;family&quot;:&quot;Williams&quot;,&quot;given&quot;:&quot;Natasha J.&quot;,&quot;parse-names&quot;:false,&quot;dropping-particle&quot;:&quot;&quot;,&quot;non-dropping-particle&quot;:&quot;&quot;},{&quot;family&quot;:&quot;Rapoport&quot;,&quot;given&quot;:&quot;David M.&quot;,&quot;parse-names&quot;:false,&quot;dropping-particle&quot;:&quot;&quot;,&quot;non-dropping-particle&quot;:&quot;&quot;},{&quot;family&quot;:&quot;Leon&quot;,&quot;given&quot;:&quot;Mony&quot;,&quot;parse-names&quot;:false,&quot;dropping-particle&quot;:&quot;&quot;,&quot;non-dropping-particle&quot;:&quot;&quot;},{&quot;family&quot;:&quot;Jean‐Louis&quot;,&quot;given&quot;:&quot;Girardin&quot;,&quot;parse-names&quot;:false,&quot;dropping-particle&quot;:&quot;&quot;,&quot;non-dropping-particle&quot;:&quot;&quot;},{&quot;family&quot;:&quot;Ayappa&quot;,&quot;given&quot;:&quot;Indu&quot;,&quot;parse-names&quot;:false,&quot;dropping-particle&quot;:&quot;&quot;,&quot;non-dropping-particle&quot;:&quot;&quot;},{&quot;family&quot;:&quot;Varga&quot;,&quot;given&quot;:&quot;Andrew W.&quot;,&quot;parse-names&quot;:false,&quot;dropping-particle&quot;:&quot;&quot;,&quot;non-dropping-particle&quot;:&quot;&quot;},{&quot;family&quot;:&quot;Osorio&quot;,&quot;given&quot;:&quot;Ricardo S.&quot;,&quot;parse-names&quot;:false,&quot;dropping-particle&quot;:&quot;&quot;,&quot;non-dropping-particle&quot;:&quot;&quot;}],&quot;container-title&quot;:&quot;Alzheimer's &amp; Dementia&quot;,&quot;accessed&quot;:{&quot;date-parts&quot;:[[2021,7,19]]},&quot;DOI&quot;:&quot;10.1002/alz.12184&quot;,&quot;ISSN&quot;:&quot;1552-5260&quot;,&quot;URL&quot;:&quot;https://onlinelibrary.wiley.com/doi/10.1002/alz.12184&quot;,&quot;issued&quot;:{&quot;date-parts&quot;:[[2021,2,8]]},&quot;page&quot;:&quot;226-245&quot;,&quot;abstract&quot;:&quot;Introduction: Obstructive sleep apnea (OSA) is associated with Alzheimer's disease (AD) biomarkers in cognitively normal (CN) and mild cognitive impaired (MCI) participants. However, independent and combined effects of OSA, amyloid beta (Aβ) and tau-accumulation on AD time-dependent progression risk is unclear. Methods: Study participants grouped by biomarker profile, as described by the A/T/N scheme, where “A” refers to aggregated Aβ, “T” aggregated tau, and “N” to neurodegeneration, included 258 CN (OSA-positive [OSA+] [A+TN+ n = 10, A+/TN− n = 6, A−/TN+ n = 10, A−/TN− n = 6 and OSA-negative [OSA-] [A+TN+ n = 84, A+/TN− n = 11, A−/TN+ n = 96, A−/TN− n = 36]) and 785 MCI (OSA+ [A+TN+ n = 35, A+/TN− n = 15, A−/TN+ n = 25, A−/TN− n = 16] and OSA− [A+TN+ n = 388, A+/TN− n = 28, A−/TN+ n = 164, A−/TN− n = 114]) older-adults from the Alzheimer's Disease Neuroimaging Initiative cohort. Cox proportional hazards regression models estimated the relative hazard of progression from CN-to-MCI and MCI-to-AD, among baseline OSA CN and MCI patients, respectively. Multi-level logistic mixed-effects models with random intercept and slope investigated the synergistic associations of self-reported OSA, Aβ, and tau burden with prospective cognitive decline. Results: Independent of TN-status (CN and MCI), OSA+/Aβ+ participants were approximately two to four times more likely to progress to MCI/AD (P &lt;.001) and progressed 6 to 18 months earlier (P &lt;.001), compared to other participants combined (ie, OSA+/Aβ−, OSA−/Aβ+, and OSA−/Aβ−). Notably, OSA+/Aβ− versus OSA−/Aβ− (CN and MCI) and OSA+/TN− versus OSA−/TN− (CN) participants showed no difference in the risk and time-to-MCI/AD progression. Mixed effects models demonstrated OSA synergism with Aβ (CN and MCI [β = 1.13, 95% confidence interval (CI), 0.74 to 1.52, and β = 1.18, 95%CI, 0.82 to 1.54]) respectively, and with tau (MCI [β = 1.31, 95% CI, 0.87 to 1.47]), P &lt;.001 for all. Discussion: OSA acts in synergism with Aβ and with tau, and all three acting together result in synergistic neurodegenerative mechanisms especially as Aβ and tau accumulation becomes increasingly abnormal, thus leading to shorter progression time to MCI/AD in CN and MCI-OSA patients, respectively.&quot;,&quot;publisher&quot;:&quot;John Wiley and Sons Inc&quot;,&quot;issue&quot;:&quot;2&quot;,&quot;volume&quot;:&quot;17&quot;},&quot;isTemporary&quot;:false},{&quot;id&quot;:&quot;5ef5df7d-ba9b-35fa-b069-61312327d4b7&quot;,&quot;itemData&quot;:{&quot;type&quot;:&quot;article-journal&quot;,&quot;id&quot;:&quot;5ef5df7d-ba9b-35fa-b069-61312327d4b7&quot;,&quot;title&quot;:&quot;Association of Sleep-Disordered Breathing with Alzheimer Disease Biomarkers in Community-Dwelling Older Adults: A Secondary Analysis of a Randomized Clinical Trial&quot;,&quot;author&quot;:[{&quot;family&quot;:&quot;André&quot;,&quot;given&quot;:&quot;Claire&quot;,&quot;parse-names&quot;:false,&quot;dropping-particle&quot;:&quot;&quot;,&quot;non-dropping-particle&quot;:&quot;&quot;},{&quot;family&quot;:&quot;Rehel&quot;,&quot;given&quot;:&quot;Stéphane&quot;,&quot;parse-names&quot;:false,&quot;dropping-particle&quot;:&quot;&quot;,&quot;non-dropping-particle&quot;:&quot;&quot;},{&quot;family&quot;:&quot;Kuhn&quot;,&quot;given&quot;:&quot;Elizabeth&quot;,&quot;parse-names&quot;:false,&quot;dropping-particle&quot;:&quot;&quot;,&quot;non-dropping-particle&quot;:&quot;&quot;},{&quot;family&quot;:&quot;Landeau&quot;,&quot;given&quot;:&quot;Brigitte&quot;,&quot;parse-names&quot;:false,&quot;dropping-particle&quot;:&quot;&quot;,&quot;non-dropping-particle&quot;:&quot;&quot;},{&quot;family&quot;:&quot;Moulinet&quot;,&quot;given&quot;:&quot;Inès&quot;,&quot;parse-names&quot;:false,&quot;dropping-particle&quot;:&quot;&quot;,&quot;non-dropping-particle&quot;:&quot;&quot;},{&quot;family&quot;:&quot;Touron&quot;,&quot;given&quot;:&quot;Edelweiss&quot;,&quot;parse-names&quot;:false,&quot;dropping-particle&quot;:&quot;&quot;,&quot;non-dropping-particle&quot;:&quot;&quot;},{&quot;family&quot;:&quot;Ourry&quot;,&quot;given&quot;:&quot;Valentin&quot;,&quot;parse-names&quot;:false,&quot;dropping-particle&quot;:&quot;&quot;,&quot;non-dropping-particle&quot;:&quot;&quot;},{&quot;family&quot;:&quot;Du&quot;,&quot;given&quot;:&quot;Gwendoline&quot;,&quot;parse-names&quot;:false,&quot;dropping-particle&quot;:&quot;&quot;,&quot;non-dropping-particle&quot;:&quot;le&quot;},{&quot;family&quot;:&quot;Mézenge&quot;,&quot;given&quot;:&quot;Florence&quot;,&quot;parse-names&quot;:false,&quot;dropping-particle&quot;:&quot;&quot;,&quot;non-dropping-particle&quot;:&quot;&quot;},{&quot;family&quot;:&quot;Tomadesso&quot;,&quot;given&quot;:&quot;Clémence&quot;,&quot;parse-names&quot;:false,&quot;dropping-particle&quot;:&quot;&quot;,&quot;non-dropping-particle&quot;:&quot;&quot;},{&quot;family&quot;:&quot;Flores&quot;,&quot;given&quot;:&quot;Robin&quot;,&quot;parse-names&quot;:false,&quot;dropping-particle&quot;:&quot;&quot;,&quot;non-dropping-particle&quot;:&quot;de&quot;},{&quot;family&quot;:&quot;Bejanin&quot;,&quot;given&quot;:&quot;Alexandre&quot;,&quot;parse-names&quot;:false,&quot;dropping-particle&quot;:&quot;&quot;,&quot;non-dropping-particle&quot;:&quot;&quot;},{&quot;family&quot;:&quot;Sherif&quot;,&quot;given&quot;:&quot;Siya&quot;,&quot;parse-names&quot;:false,&quot;dropping-particle&quot;:&quot;&quot;,&quot;non-dropping-particle&quot;:&quot;&quot;},{&quot;family&quot;:&quot;Delcroix&quot;,&quot;given&quot;:&quot;Nicolas&quot;,&quot;parse-names&quot;:false,&quot;dropping-particle&quot;:&quot;&quot;,&quot;non-dropping-particle&quot;:&quot;&quot;},{&quot;family&quot;:&quot;Manrique&quot;,&quot;given&quot;:&quot;Alain&quot;,&quot;parse-names&quot;:false,&quot;dropping-particle&quot;:&quot;&quot;,&quot;non-dropping-particle&quot;:&quot;&quot;},{&quot;family&quot;:&quot;Abbas&quot;,&quot;given&quot;:&quot;Ahmed&quot;,&quot;parse-names&quot;:false,&quot;dropping-particle&quot;:&quot;&quot;,&quot;non-dropping-particle&quot;:&quot;&quot;},{&quot;family&quot;:&quot;Marchant&quot;,&quot;given&quot;:&quot;Natalie L.&quot;,&quot;parse-names&quot;:false,&quot;dropping-particle&quot;:&quot;&quot;,&quot;non-dropping-particle&quot;:&quot;&quot;},{&quot;family&quot;:&quot;Lutz&quot;,&quot;given&quot;:&quot;Antoine&quot;,&quot;parse-names&quot;:false,&quot;dropping-particle&quot;:&quot;&quot;,&quot;non-dropping-particle&quot;:&quot;&quot;},{&quot;family&quot;:&quot;Klimecki&quot;,&quot;given&quot;:&quot;Olga M.&quot;,&quot;parse-names&quot;:false,&quot;dropping-particle&quot;:&quot;&quot;,&quot;non-dropping-particle&quot;:&quot;&quot;},{&quot;family&quot;:&quot;Collette&quot;,&quot;given&quot;:&quot;Fabienne&quot;,&quot;parse-names&quot;:false,&quot;dropping-particle&quot;:&quot;&quot;,&quot;non-dropping-particle&quot;:&quot;&quot;},{&quot;family&quot;:&quot;Arenaza-Urquijo&quot;,&quot;given&quot;:&quot;Eider M.&quot;,&quot;parse-names&quot;:false,&quot;dropping-particle&quot;:&quot;&quot;,&quot;non-dropping-particle&quot;:&quot;&quot;},{&quot;family&quot;:&quot;Poisnel&quot;,&quot;given&quot;:&quot;Géraldine&quot;,&quot;parse-names&quot;:false,&quot;dropping-particle&quot;:&quot;&quot;,&quot;non-dropping-particle&quot;:&quot;&quot;},{&quot;family&quot;:&quot;Vivien&quot;,&quot;given&quot;:&quot;Denis&quot;,&quot;parse-names&quot;:false,&quot;dropping-particle&quot;:&quot;&quot;,&quot;non-dropping-particle&quot;:&quot;&quot;},{&quot;family&quot;:&quot;Bertran&quot;,&quot;given&quot;:&quot;Françoise&quot;,&quot;parse-names&quot;:false,&quot;dropping-particle&quot;:&quot;&quot;,&quot;non-dropping-particle&quot;:&quot;&quot;},{&quot;family&quot;:&quot;La Sayette&quot;,&quot;given&quot;:&quot;Vincent&quot;,&quot;parse-names&quot;:false,&quot;dropping-particle&quot;:&quot;&quot;,&quot;non-dropping-particle&quot;:&quot;de&quot;},{&quot;family&quot;:&quot;Chételat&quot;,&quot;given&quot;:&quot;Gaël&quot;,&quot;parse-names&quot;:false,&quot;dropping-particle&quot;:&quot;&quot;,&quot;non-dropping-particle&quot;:&quot;&quot;},{&quot;family&quot;:&quot;Rauchs&quot;,&quot;given&quot;:&quot;Géraldine&quot;,&quot;parse-names&quot;:false,&quot;dropping-particle&quot;:&quot;&quot;,&quot;non-dropping-particle&quot;:&quot;&quot;}],&quot;container-title&quot;:&quot;JAMA Neurology&quot;,&quot;accessed&quot;:{&quot;date-parts&quot;:[[2020,3,25]]},&quot;DOI&quot;:&quot;10.1001/jamaneurol.2020.0311&quot;,&quot;ISSN&quot;:&quot;21686157&quot;,&quot;PMID&quot;:&quot;32202593&quot;,&quot;URL&quot;:&quot;https://jamanetwork.com/journals/jamaneurology/fullarticle/2763344&quot;,&quot;issued&quot;:{&quot;date-parts&quot;:[[2020,3,23]]},&quot;page&quot;:&quot;716-724&quot;,&quot;abstract&quot;:&quot;Importance: Increasing evidence suggests that sleep-disordered breathing (SDB) increases the risk of developing Alzheimer clinical syndrome. However, the brain mechanisms underlying the link between SDB and Alzheimer disease are still unclear. Objective: To determine which brain changes are associated with the presence of SDB in older individuals who are cognitively unimpaired, including changes in amyloid deposition, gray matter volume, perfusion, and glucose metabolism. Design, Setting, and Participants: This cross-sectional study was conducted using data from the Age-Well randomized clinical trial of the Medit-Ageing European project, acquired between 2016 and 2018 at Cyceron Center in Caen, France. Community-dwelling older adults were assessed for eligibility and were enrolled in the Age-Well clinical trial if they did not meet medical or cognitive exclusion criteria and were willing to participate. Participants who completed a detailed neuropsychological assessment, polysomnography, a magnetic resonance imaging, and florbetapir and fluorodeoxyglucose positron emission tomography scans were included in the analyses. Main Outcomes and Measures: Based on an apnea-hypopnea index cutoff of 15 events per hour, participants were classified as having SDB or not. Voxelwise between-group comparisons were performed for each neuroimaging modality, and secondary analyses aimed at identifying which SDB parameter (sleep fragmentation, hypoxia severity, or frequency of respiratory disturbances) best explained the observed brain changes and assessing whether SDB severity and/or SDB-associated brain changes are associated with cognitive and behavioral changes. Results: Of 157 participants initially assessed, 137 were enrolled in the Age-Well clinical trial, and 127 were analyzed in this study. The mean (SD) age of the 127 participants was 69.1 (3.9) years, and 80 (63.0%) were women. Participants with SDB showed greater amyloid burden (t114 = 4.51; familywise error-corrected P =.04; Cohen d, 0.83), gray matter volume (t119 = 4.12; familywise error-corrected P =.04; Cohen d, 0.75), perfusion (t116 = 4.62; familywise error-corrected P =.001; Cohen d, 0.86), and metabolism (t79 = 4.63; familywise error-corrected P =.001; Cohen d, 1.04), overlapping mainly over the posterior cingulate cortex and precuneus. No association was found with cognition, self-reported cognitive and sleep difficulties, or excessive daytime sleepiness symptoms. Conclusions and Relevance: The SDB-associated brain changes in older adults who are cognitively unimpaired include greater amyloid deposition and neuronal activity in Alzheimer disease-sensitive brain regions, notably the posterior cingulate cortex and precuneus. These results support the need to screen and treat for SDB, especially in asymptomatic older populations, to reduce Alzheimer disease risk. Trial Registration: ClinicalTrials.gov Identifier: NCT02977819.&quot;,&quot;issue&quot;:&quot;6&quot;,&quot;volume&quot;:&quot;77&quot;},&quot;isTemporary&quot;:false}],&quot;properties&quot;:{&quot;noteIndex&quot;:0},&quot;isEdited&quot;:false,&quot;manualOverride&quot;:{&quot;isManuallyOverriden&quot;:false,&quot;citeprocText&quot;:&quot;&lt;sup&gt;26,27&lt;/sup&gt;&quot;,&quot;manualOverrideText&quot;:&quot;&quot;},&quot;citationTag&quot;:&quot;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&quot;},{&quot;citationID&quot;:&quot;MENDELEY_CITATION_631ed739-fb74-49ed-bf63-bffbc1c0b300&quot;,&quot;citationItems&quot;:[{&quot;id&quot;:&quot;0247f0d1-b047-3b79-a36e-464ffced94e9&quot;,&quot;itemData&quot;:{&quot;type&quot;:&quot;article-journal&quot;,&quot;id&quot;:&quot;0247f0d1-b047-3b79-a36e-464ffced94e9&quot;,&quot;title&quot;:&quot;Association of Excessive Daytime Sleepiness With Longitudinal β-Amyloid Accumulation in Elderly Persons Without Dementia.&quot;,&quot;author&quot;:[{&quot;family&quot;:&quot;Carvalho&quot;,&quot;given&quot;:&quot;Diego Z.&quot;,&quot;parse-names&quot;:false,&quot;dropping-particle&quot;:&quot;&quot;,&quot;non-dropping-particle&quot;:&quot;&quot;},{&quot;family&quot;:&quot;St Louis&quot;,&quot;given&quot;:&quot;Erik K.&quot;,&quot;parse-names&quot;:false,&quot;dropping-particle&quot;:&quot;&quot;,&quot;non-dropping-particle&quot;:&quot;&quot;},{&quot;family&quot;:&quot;Knopman&quot;,&quot;given&quot;:&quot;David S.&quot;,&quot;parse-names&quot;:false,&quot;dropping-particle&quot;:&quot;&quot;,&quot;non-dropping-particle&quot;:&quot;&quot;},{&quot;family&quot;:&quot;Boeve&quot;,&quot;given&quot;:&quot;Bradley F.&quot;,&quot;parse-names&quot;:false,&quot;dropping-particle&quot;:&quot;&quot;,&quot;non-dropping-particle&quot;:&quot;&quot;},{&quot;family&quot;:&quot;Lowe&quot;,&quot;given&quot;:&quot;Val J.&quot;,&quot;parse-names&quot;:false,&quot;dropping-particle&quot;:&quot;&quot;,&quot;non-dropping-particle&quot;:&quot;&quot;},{&quot;family&quot;:&quot;Roberts&quot;,&quot;given&quot;:&quot;Rosebud O.&quot;,&quot;parse-names&quot;:false,&quot;dropping-particle&quot;:&quot;&quot;,&quot;non-dropping-particle&quot;:&quot;&quot;},{&quot;family&quot;:&quot;Mielke&quot;,&quot;given&quot;:&quot;Michelle M.&quot;,&quot;parse-names&quot;:false,&quot;dropping-particle&quot;:&quot;&quot;,&quot;non-dropping-particle&quot;:&quot;&quot;},{&quot;family&quot;:&quot;Przybelski&quot;,&quot;given&quot;:&quot;Scott A.&quot;,&quot;parse-names&quot;:false,&quot;dropping-particle&quot;:&quot;&quot;,&quot;non-dropping-particle&quot;:&quot;&quot;},{&quot;family&quot;:&quot;Machulda&quot;,&quot;given&quot;:&quot;Mary M.&quot;,&quot;parse-names&quot;:false,&quot;dropping-particle&quot;:&quot;&quot;,&quot;non-dropping-particle&quot;:&quot;&quot;},{&quot;family&quot;:&quot;Petersen&quot;,&quot;given&quot;:&quot;Ronald C.&quot;,&quot;parse-names&quot;:false,&quot;dropping-particle&quot;:&quot;&quot;,&quot;non-dropping-particle&quot;:&quot;&quot;},{&quot;family&quot;:&quot;Jack&quot;,&quot;given&quot;:&quot;Clifford R.&quot;,&quot;parse-names&quot;:false,&quot;dropping-particle&quot;:&quot;&quot;,&quot;non-dropping-particle&quot;:&quot;&quot;},{&quot;family&quot;:&quot;Vemuri&quot;,&quot;given&quot;:&quot;Prashanthi&quot;,&quot;parse-names&quot;:false,&quot;dropping-particle&quot;:&quot;&quot;,&quot;non-dropping-particle&quot;:&quot;&quot;}],&quot;container-title&quot;:&quot;JAMA Neurology&quot;,&quot;accessed&quot;:{&quot;date-parts&quot;:[[2019,7,28]]},&quot;DOI&quot;:&quot;10.1001/jamaneurol.2018.0049&quot;,&quot;PMID&quot;:&quot;29532057&quot;,&quot;URL&quot;:&quot;http://archneur.jamanetwork.com/article.aspx?doi=10.1001/jamaneurol.2018.0049&quot;,&quot;issued&quot;:{&quot;date-parts&quot;:[[2018,6,1]]},&quot;page&quot;:&quot;672-680&quot;,&quot;abstract&quot;:&quot;Importance Aging is associated with excessive daytime sleepiness (EDS), which has been linked to cognitive decline in the elderly. However, whether EDS is associated with the pathologic processes of Alzheimer disease remains unclear. Objective To investigate whether EDS at baseline is associated with a longitudinal increase in regional β-amyloid (Aβ) accumulation in a cohort of elderly individuals without dementia. Design, Setting, and Participants This prospective analysis included participants enrolled in the Mayo Clinic Study of Aging, a longitudinal population-based study in Olmsted County, Minnesota. Of 2900 participants, 2172 (74.9%) agreed to undergo carbon 11-labeled Pittsburgh compound B positron emission tomography (PiB-PET). We included 283 participants 70 years or older without dementia who completed surveys assessing sleepiness at baseline and had at least 2 consecutive PiB-PET scans from January 1, 2009, through July 31, 2016, after excluding 45 (13.7%) who had a comorbid neurologic disorder. Main Outcomes and Measures Excessive daytime sleepiness was defined as an Epworth Sleepiness Scale score of at least 10. The difference in Aβ levels between the 2 consecutive scans (ΔPiB) in Aβ-susceptible regions (prefrontal, anterior cingulate, posterior cingulate-precuneus, and parietal) was determined. Multiple linear regression models were fit to explore associations between baseline EDS and ΔPiB while adjusting for baseline age, sex, presence of the apolipoprotein E ε4 allele, educational level, baseline PiB uptake, global PiB positivity (standardized uptake value ratio ≥1.4), physical activity, cardiovascular comorbidities (obesity, hypertension, hyperlipidemia, and diabetes), reduced sleep duration, respiratory symptoms during sleep, depression, and interval between scans. Results Of the initial 283 participants, mean (SD) age was 77.1 (4.8) years; 204 (72.1%) were men and 79 (27.9%) were women. Sixty-three participants (22.3%) had EDS. Baseline EDS was significantly associated with increased regional Aβ accumulation in the anterior cingulate (B coefficient = 0.031; 95% CI, 0.001-0.061; P = .04), posterior cingulate-precuneus (B coefficient = 0.038; 95% CI, 0.006-0.069; P = .02), and parietal (B coefficient = 0.033; 95% CI, 0.001-0.065; P = .04) regions. Association of EDS with longitudinal Aβ accumulation was stronger in participants with baseline global PiB positivity in the anterior cingulate (B coefficient = 0.065; 95% CI, 0.010-0.118; P = .02) and cingulate-precuneus (B coefficient = 0.068; 95% CI, 0.009-0.126; P = .02) regions. Conclusions and Relevance Baseline EDS was associated with increased longitudinal Aβ accumulation in elderly persons without dementia, suggesting that those with EDS may be more vulnerable to pathologic changes associated with Alzheimer disease. Further work is needed to elucidate whether EDS is a clinical marker of greater sleep instability, synaptic or network overload, or neurodegeneration of wakefulness-promoting centers. Early identification of patients with EDS and treatment of underlying sleep disorders could reduce Aβ accumulation in this vulnerable group.&quot;,&quot;issue&quot;:&quot;6&quot;,&quot;volume&quot;:&quot;75&quot;},&quot;isTemporary&quot;:false},{&quot;id&quot;:&quot;436a5e4d-236e-385e-bfcf-a0ff5a7a97b8&quot;,&quot;itemData&quot;:{&quot;type&quot;:&quot;article-journal&quot;,&quot;id&quot;:&quot;436a5e4d-236e-385e-bfcf-a0ff5a7a97b8&quot;,&quot;title&quot;:&quot;Excessive daytime sleepiness and napping in cognitively normal adults: associations with subsequent amyloid deposition measured by PiB PET&quot;,&quot;author&quot;:[{&quot;family&quot;:&quot;Spira&quot;,&quot;given&quot;:&quot;Adam P&quot;,&quot;parse-names&quot;:false,&quot;dropping-particle&quot;:&quot;&quot;,&quot;non-dropping-particle&quot;:&quot;&quot;},{&quot;family&quot;:&quot;An&quot;,&quot;given&quot;:&quot;Yang&quot;,&quot;parse-names&quot;:false,&quot;dropping-particle&quot;:&quot;&quot;,&quot;non-dropping-particle&quot;:&quot;&quot;},{&quot;family&quot;:&quot;Wu&quot;,&quot;given&quot;:&quot;Mark N&quot;,&quot;parse-names&quot;:false,&quot;dropping-particle&quot;:&quot;&quot;,&quot;non-dropping-particle&quot;:&quot;&quot;},{&quot;family&quot;:&quot;Owusu&quot;,&quot;given&quot;:&quot;Jocelynn T&quot;,&quot;parse-names&quot;:false,&quot;dropping-particle&quot;:&quot;&quot;,&quot;non-dropping-particle&quot;:&quot;&quot;},{&quot;family&quot;:&quot;Simonsick&quot;,&quot;given&quot;:&quot;Eleanor M&quot;,&quot;parse-names&quot;:false,&quot;dropping-particle&quot;:&quot;&quot;,&quot;non-dropping-particle&quot;:&quot;&quot;},{&quot;family&quot;:&quot;Bilgel&quot;,&quot;given&quot;:&quot;Murat&quot;,&quot;parse-names&quot;:false,&quot;dropping-particle&quot;:&quot;&quot;,&quot;non-dropping-particle&quot;:&quot;&quot;},{&quot;family&quot;:&quot;Ferrucci&quot;,&quot;given&quot;:&quot;Luigi&quot;,&quot;parse-names&quot;:false,&quot;dropping-particle&quot;:&quot;&quot;,&quot;non-dropping-particle&quot;:&quot;&quot;},{&quot;family&quot;:&quot;Wong&quot;,&quot;given&quot;:&quot;Dean F&quot;,&quot;parse-names&quot;:false,&quot;dropping-particle&quot;:&quot;&quot;,&quot;non-dropping-particle&quot;:&quot;&quot;},{&quot;family&quot;:&quot;Resnick&quot;,&quot;given&quot;:&quot;Susan M&quot;,&quot;parse-names&quot;:false,&quot;dropping-particle&quot;:&quot;&quot;,&quot;non-dropping-particle&quot;:&quot;&quot;}],&quot;container-title&quot;:&quot;Sleep&quot;,&quot;accessed&quot;:{&quot;date-parts&quot;:[[2019,7,28]]},&quot;DOI&quot;:&quot;10.1093/sleep/zsy152&quot;,&quot;ISSN&quot;:&quot;0161-8105&quot;,&quot;PMID&quot;:&quot;30192978&quot;,&quot;URL&quot;:&quot;http://www.ncbi.nlm.nih.gov/pubmed/30192978&quot;,&quot;issued&quot;:{&quot;date-parts&quot;:[[2018,10,1]]},&quot;abstract&quot;:&quot;Study Objectives To determine the association of excessive daytime sleepiness (EDS) and napping with subsequent brain β-amyloid (Aβ) deposition in cognitively normal persons. Methods We studied 124 community-dwelling participants in the Baltimore Longitudinal Study of Aging Neuroimaging Substudy who completed self-report measures of EDS and napping at our study baseline and underwent [11C] Pittsburgh compound B positron emission tomography (PiB PET) scans of the brain, an average ±standard deviation of 15.7 ± 3.4 years later (range 6.9 to 24.6). Scans with a cortical distribution volume ratio of &gt;1.06 were considered Aβ-positive. Results Participants were aged 60.1 ± 9.8 years (range 36.2 to 82.7) at study baseline; 24.4% had EDS and 28.5% napped. In unadjusted analyses, compared with participants without EDS, those with EDS had more than 3 times the odds of being Aβ+ at follow-up (odds ratio [OR] = 3.37, 95% confidence interval [CI]: 1.44, 7.90, p = 0.005), and 2.75 times the odds after adjustment for age, age2, sex, education, and body mass index (OR = 2.75, 95% CI: 1.09, 6.95, p = 0.033). There was a trend-level unadjusted association between napping and Aβ status (OR = 2.01, 95% CI: 0.90, 4.50, p = 0.091) that became nonsignificant after adjustment (OR = 1.86, 95% CI: 0.73, 4.75, p = 0.194). Conclusions EDS is associated with more than 2.5 times the odds of Aβ deposition an average of 15.7 years later. If common EDS causes (e.g., sleep-disordered breathing, insufficient sleep) are associated with temporally distal AD biomarkers, this could have important implications for AD prevention.&quot;,&quot;issue&quot;:&quot;10&quot;,&quot;volume&quot;:&quot;41&quot;},&quot;isTemporary&quot;:false}],&quot;properties&quot;:{&quot;noteIndex&quot;:0},&quot;isEdited&quot;:false,&quot;manualOverride&quot;:{&quot;isManuallyOverriden&quot;:false,&quot;citeprocText&quot;:&quot;&lt;sup&gt;28,29&lt;/sup&gt;&quot;,&quot;manualOverrideText&quot;:&quot;&quot;},&quot;citationTag&quot;:&quot;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&quot;},{&quot;citationID&quot;:&quot;MENDELEY_CITATION_d51c1371-458e-4730-b28c-9160ee3ae57c&quot;,&quot;citationItems&quot;:[{&quot;id&quot;:&quot;c5b02240-5fc3-5daa-8049-05ff90f0ed5a&quot;,&quot;itemData&quot;:{&quot;DOI&quot;:&quot;10.1016/0197-4580(93)90089-T&quot;,&quot;ISSN&quot;:&quot;0197-4580&quot;,&quot;PMID&quot;:&quot;8487916&quot;,&quot;abstract&quot;:&quot;Regional spectral analyses of the EEG during wakefulness and REM sleep was performed in eight patients with mild to moderate Alzheimer's disease and compared to that of healthy age-matched controls. Alzheimer patients presented some EEG slowing in frontal, parieto-occipital and temporal regions in the waking state. However, this EEG slowing was much better revealed in REM sleep, whether expressed by the ratio of slow to fast frequencies or by changes in each of the frequency bands. Moreover, regional differences in EEG slowing, relatively nonexistent in the awake EEG, were a prominent feature of the REM sleep EEG. Importance of cholinergic basal forebrain in the desynchronization of the REM sleep EEG might explain these results because this structure is affected in early Alzheimer's disease.&quot;,&quot;author&quot;:[{&quot;dropping-particle&quot;:&quot;&quot;,&quot;family&quot;:&quot;Petit&quot;,&quot;given&quot;:&quot;D&quot;,&quot;non-dropping-particle&quot;:&quot;&quot;,&quot;parse-names&quot;:false,&quot;suffix&quot;:&quot;&quot;},{&quot;dropping-particle&quot;:&quot;&quot;,&quot;family&quot;:&quot;Lorrain&quot;,&quot;given&quot;:&quot;D&quot;,&quot;non-dropping-particle&quot;:&quot;&quot;,&quot;parse-names&quot;:false,&quot;suffix&quot;:&quot;&quot;},{&quot;dropping-particle&quot;:&quot;&quot;,&quot;family&quot;:&quot;Gauthier&quot;,&quot;given&quot;:&quot;S&quot;,&quot;non-dropping-particle&quot;:&quot;&quot;,&quot;parse-names&quot;:false,&quot;suffix&quot;:&quot;&quot;},{&quot;dropping-particle&quot;:&quot;&quot;,&quot;family&quot;:&quot;Montplaisir&quot;,&quot;given&quot;:&quot;J&quot;,&quot;non-dropping-particle&quot;:&quot;&quot;,&quot;parse-names&quot;:false,&quot;suffix&quot;:&quot;&quot;}],&quot;container-title&quot;:&quot;Neurobiology of aging&quot;,&quot;issue&quot;:&quot;2&quot;,&quot;issued&quot;:{&quot;date-parts&quot;:[[&quot;1993&quot;]]},&quot;page&quot;:&quot;141-5&quot;,&quot;title&quot;:&quot;Regional spectral analysis of the REM sleep EEG in mild to moderate Alzheimer's disease.&quot;,&quot;type&quot;:&quot;article-journal&quot;,&quot;volume&quot;:&quot;14&quot;,&quot;id&quot;:&quot;c5b02240-5fc3-5daa-8049-05ff90f0ed5a&quot;},&quot;uris&quot;:[&quot;http://www.mendeley.com/documents/?uuid=13fd20cc-7718-4e09-abbf-38c435ae9569&quot;],&quot;isTemporary&quot;:false,&quot;legacyDesktopId&quot;:&quot;13fd20cc-7718-4e09-abbf-38c435ae9569&quot;},{&quot;id&quot;:&quot;9bcfe293-86fd-563b-bfbb-f609479f88e0&quot;,&quot;itemData&quot;:{&quot;DOI&quot;:&quot;10.1016/j.jpsychores.2004.02.001&quot;,&quot;ISBN&quot;:&quot;0022-3999 (Print)&quot;,&quot;ISSN&quot;:&quot;00223999&quot;,&quot;PMID&quot;:&quot;15172204&quot;,&quot;abstract&quot;:&quot;This paper reviews current knowledge on sleep problems, sleep architecture changes and quantitative EEG alteration brought on by various neurodegenerative diseases, such as Alzheimer's disease (AD), progressive supranuclear palsy (PSP), REM sleep behavior disorder (RBD), Parkinson's disease (PD), dementia with Lewy bodies (DLB), multiple system atrophy MSA, Huntington's disease and Creutzfeldt-Jakob disease, in comparison to normal aging. The study of sleep variables and that of the spectral composition of the EEG can provide valuable information for understanding the pathophysiology and for assisting the diagnosis of neurodegenerative diseases. © 2004 Elsevier Inc. All rights reserved.&quot;,&quot;author&quot;:[{&quot;dropping-particle&quot;:&quot;&quot;,&quot;family&quot;:&quot;Petit&quot;,&quot;given&quot;:&quot;Dominique&quot;,&quot;non-dropping-particle&quot;:&quot;&quot;,&quot;parse-names&quot;:false,&quot;suffix&quot;:&quot;&quot;},{&quot;dropping-particle&quot;:&quot;&quot;,&quot;family&quot;:&quot;Gagnon&quot;,&quot;given&quot;:&quot;Jean-François François&quot;,&quot;non-dropping-particle&quot;:&quot;&quot;,&quot;parse-names&quot;:false,&quot;suffix&quot;:&quot;&quot;},{&quot;dropping-particle&quot;:&quot;&quot;,&quot;family&quot;:&quot;Fantini&quot;,&quot;given&quot;:&quot;Maria Livia&quot;,&quot;non-dropping-particle&quot;:&quot;&quot;,&quot;parse-names&quot;:false,&quot;suffix&quot;:&quot;&quot;},{&quot;dropping-particle&quot;:&quot;&quot;,&quot;family&quot;:&quot;Ferini-Strambi&quot;,&quot;given&quot;:&quot;Luigi&quot;,&quot;non-dropping-particle&quot;:&quot;&quot;,&quot;parse-names&quot;:false,&quot;suffix&quot;:&quot;&quot;},{&quot;dropping-particle&quot;:&quot;&quot;,&quot;family&quot;:&quot;Montplaisir&quot;,&quot;given&quot;:&quot;Jacques&quot;,&quot;non-dropping-particle&quot;:&quot;&quot;,&quot;parse-names&quot;:false,&quot;suffix&quot;:&quot;&quot;}],&quot;container-title&quot;:&quot;Journal of Psychosomatic Research&quot;,&quot;issue&quot;:&quot;5&quot;,&quot;issued&quot;:{&quot;date-parts&quot;:[[&quot;2004&quot;,&quot;5&quot;]]},&quot;page&quot;:&quot;487-96&quot;,&quot;title&quot;:&quot;Sleep and quantitative EEG in neurodegenerative disorders&quot;,&quot;type&quot;:&quot;article-journal&quot;,&quot;volume&quot;:&quot;56&quot;,&quot;id&quot;:&quot;9bcfe293-86fd-563b-bfbb-f609479f88e0&quot;},&quot;uris&quot;:[&quot;http://www.mendeley.com/documents/?uuid=f7cc9c08-126d-41c9-88be-c4cbcca81b3e&quot;],&quot;isTemporary&quot;:false,&quot;legacyDesktopId&quot;:&quot;f7cc9c08-126d-41c9-88be-c4cbcca81b3e&quot;},{&quot;id&quot;:&quot;43b2dc01-c2ba-5909-ac7b-b162a5e5f168&quot;,&quot;itemData&quot;:{&quot;DOI&quot;:&quot;10.1159/000117446&quot;,&quot;ISSN&quot;:&quot;14219913&quot;,&quot;PMID&quot;:&quot;9208261&quot;,&quot;abstract&quot;:&quot;Statistical probability mapping was used to quantify and localize EEG differences between 27 patients with Alzheimer's disease (AD) and 25 age- and gener-matched controls. Differences in mean activity in four EEG frequency bands (delta, theta, alpha, beta) for wakefulness and for REM sleep were examined, t-statistic maps clearly highlighted common pattern anomalies in AD patients in the two states. More specifically, Alzheimer patients were more affected than control subjects in parieto-temporal and frontal regions. These differences were more prominent in REM sleep and consisted primarily in an increase in absolute delta and theta activities, and a decrease in absolute alpha and beta activities. Discriminant analysis, using a ratio of slow over fast frequencies, yielded a classification rate of 90.4% (sensitivity 81.5%, specificity 100%) for REM sleep. For wakefulness, the same measure allowed correct classification of 80.8% of the subjects (sensitivity 66.7%, specificity 96%).&quot;,&quot;author&quot;:[{&quot;dropping-particle&quot;:&quot;&quot;,&quot;family&quot;:&quot;Hassainia&quot;,&quot;given&quot;:&quot;Farid&quot;,&quot;non-dropping-particle&quot;:&quot;&quot;,&quot;parse-names&quot;:false,&quot;suffix&quot;:&quot;&quot;},{&quot;dropping-particle&quot;:&quot;&quot;,&quot;family&quot;:&quot;Petit&quot;,&quot;given&quot;:&quot;Dominique&quot;,&quot;non-dropping-particle&quot;:&quot;&quot;,&quot;parse-names&quot;:false,&quot;suffix&quot;:&quot;&quot;},{&quot;dropping-particle&quot;:&quot;&quot;,&quot;family&quot;:&quot;Nielsen&quot;,&quot;given&quot;:&quot;Tore&quot;,&quot;non-dropping-particle&quot;:&quot;&quot;,&quot;parse-names&quot;:false,&quot;suffix&quot;:&quot;&quot;},{&quot;dropping-particle&quot;:&quot;&quot;,&quot;family&quot;:&quot;Gauthier&quot;,&quot;given&quot;:&quot;Serge&quot;,&quot;non-dropping-particle&quot;:&quot;&quot;,&quot;parse-names&quot;:false,&quot;suffix&quot;:&quot;&quot;},{&quot;dropping-particle&quot;:&quot;&quot;,&quot;family&quot;:&quot;Montplaisir&quot;,&quot;given&quot;:&quot;Jacques&quot;,&quot;non-dropping-particle&quot;:&quot;&quot;,&quot;parse-names&quot;:false,&quot;suffix&quot;:&quot;&quot;}],&quot;container-title&quot;:&quot;European Neurology&quot;,&quot;issue&quot;:&quot;4&quot;,&quot;issued&quot;:{&quot;date-parts&quot;:[[&quot;1997&quot;]]},&quot;page&quot;:&quot;219-224&quot;,&quot;title&quot;:&quot;Quantitative EEG and Statistical Mapping of Wakefulness and REM Sleep in the Evaluation of Mild to Moderate Alzheimer’s Disease&quot;,&quot;type&quot;:&quot;article-journal&quot;,&quot;volume&quot;:&quot;37&quot;,&quot;id&quot;:&quot;43b2dc01-c2ba-5909-ac7b-b162a5e5f168&quot;},&quot;uris&quot;:[&quot;http://www.mendeley.com/documents/?uuid=2688d7eb-8ae2-417c-8a78-0cc3cbc5cfd4&quot;],&quot;isTemporary&quot;:false,&quot;legacyDesktopId&quot;:&quot;2688d7eb-8ae2-417c-8a78-0cc3cbc5cfd4&quot;}],&quot;properties&quot;:{&quot;noteIndex&quot;:0},&quot;isEdited&quot;:false,&quot;manualOverride&quot;:{&quot;isManuallyOverriden&quot;:false,&quot;manualOverrideText&quot;:&quot;&quot;,&quot;citeprocText&quot;:&quot;&lt;sup&gt;30–32&lt;/sup&gt;&quot;},&quot;citationTag&quot;:&quot;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&quot;},{&quot;citationID&quot;:&quot;MENDELEY_CITATION_0430367e-ee1f-4e3f-8a75-1320a2a7736e&quot;,&quot;citationItems&quot;:[{&quot;id&quot;:&quot;68994aeb-0f3d-56e6-9aa9-84222db093b2&quot;,&quot;itemData&quot;:{&quot;DOI&quot;:&quot;10.5665/sleep.4500&quot;,&quot;ISSN&quot;:&quot;0161-8105&quot;,&quot;PMID&quot;:&quot;25325465&quot;,&quot;abstract&quot;:&quot;STUDY OBJECTIVE To investigate the associations between sleep stage distributions and subsequent decline in cognitive function in older men over time. DESIGN A population-based prospective substudy of the Osteoporotic Fractures in Men Study. SETTINGS Six sites in the United States. PARTICIPANTS Community-dwelling men aged 67 y or older (n = 2,601), who were free of probable dementia at sleep visit. Follow-up averaged 3.4 y. MEASUREMENT AND RESULTS Sleep stages were identified by in-home polysomnography at the initial sleep visit (2003-2005). Cognitive outcomes were assessed with the Trail Making Test Part B and Modified Mini-Mental State Examination (3MS) at sleep visit and two follow-up visits. After adjusting for multiple confounders compared with men in the lowest quartile of percent of sleep time spent in Stage N1, those in the highest quartile had a twofold increase in cognitive decline for both cognitive tests (adjusted annualized percent change/y: Trail Making Test Part B Q1 = 1.06, Q4 = 2.45, P = 0.01; 3MS Q1 = -0.27, Q4 = -0.48, P = 0.03). In addition, compared with men in the highest quartile, men in the lowest quartile of percent of sleep time in Stage R revealed more cognitive decline on the 3MS (adjusted annualized percent change/y: Q1 = -0.49, Q4 = -0.22, P = 0.003). These findings were consistent even after further adjustment of total sleep time and sleep disordered breathing. No significant relationships between other sleep stages (N2, N3) and cognitive change were found. CONCLUSION Increased time in Stage N1 and less time in Stage R are associated with worsening cognitive performance in older men over time.&quot;,&quot;author&quot;:[{&quot;dropping-particle&quot;:&quot;&quot;,&quot;family&quot;:&quot;Song&quot;,&quot;given&quot;:&quot;Yeonsu&quot;,&quot;non-dropping-particle&quot;:&quot;&quot;,&quot;parse-names&quot;:false,&quot;suffix&quot;:&quot;&quot;},{&quot;dropping-particle&quot;:&quot;&quot;,&quot;family&quot;:&quot;Blackwell&quot;,&quot;given&quot;:&quot;Terri&quot;,&quot;non-dropping-particle&quot;:&quot;&quot;,&quot;parse-names&quot;:false,&quot;suffix&quot;:&quot;&quot;},{&quot;dropping-particle&quot;:&quot;&quot;,&quot;family&quot;:&quot;Yaffe&quot;,&quot;given&quot;:&quot;Kristine&quot;,&quot;non-dropping-particle&quot;:&quot;&quot;,&quot;parse-names&quot;:false,&quot;suffix&quot;:&quot;&quot;},{&quot;dropping-particle&quot;:&quot;&quot;,&quot;family&quot;:&quot;Ancoli-Israel&quot;,&quot;given&quot;:&quot;Sonia&quot;,&quot;non-dropping-particle&quot;:&quot;&quot;,&quot;parse-names&quot;:false,&quot;suffix&quot;:&quot;&quot;},{&quot;dropping-particle&quot;:&quot;&quot;,&quot;family&quot;:&quot;Redline&quot;,&quot;given&quot;:&quot;Susan&quot;,&quot;non-dropping-particle&quot;:&quot;&quot;,&quot;parse-names&quot;:false,&quot;suffix&quot;:&quot;&quot;},{&quot;dropping-particle&quot;:&quot;&quot;,&quot;family&quot;:&quot;Stone&quot;,&quot;given&quot;:&quot;Katie L.&quot;,&quot;non-dropping-particle&quot;:&quot;&quot;,&quot;parse-names&quot;:false,&quot;suffix&quot;:&quot;&quot;},{&quot;dropping-particle&quot;:&quot;&quot;,&quot;family&quot;:&quot;Osteoporotic Fractures in Men (MrOS) Study Group&quot;,&quot;given&quot;:&quot;&quot;,&quot;non-dropping-particle&quot;:&quot;&quot;,&quot;parse-names&quot;:false,&quot;suffix&quot;:&quot;&quot;}],&quot;container-title&quot;:&quot;Sleep&quot;,&quot;issue&quot;:&quot;3&quot;,&quot;issued&quot;:{&quot;date-parts&quot;:[[&quot;2015&quot;,&quot;3&quot;,&quot;1&quot;]]},&quot;page&quot;:&quot;411-421&quot;,&quot;title&quot;:&quot;Relationships Between Sleep Stages and Changes in Cognitive Function in Older Men: The MrOS Sleep Study&quot;,&quot;type&quot;:&quot;article-journal&quot;,&quot;volume&quot;:&quot;38&quot;,&quot;id&quot;:&quot;68994aeb-0f3d-56e6-9aa9-84222db093b2&quot;},&quot;uris&quot;:[&quot;http://www.mendeley.com/documents/?uuid=281b5f92-dcf7-3bad-b2cd-bb5835908277&quot;],&quot;isTemporary&quot;:false,&quot;legacyDesktopId&quot;:&quot;281b5f92-dcf7-3bad-b2cd-bb5835908277&quot;},{&quot;id&quot;:&quot;5568c07c-2d78-5cf4-8c24-2eb58bf082e3&quot;,&quot;itemData&quot;:{&quot;DOI&quot;:&quot;10.1212/WNL.0000000000004373&quot;,&quot;ISSN&quot;:&quot;0028-3878&quot;,&quot;PMID&quot;:&quot;28835407&quot;,&quot;abstract&quot;:&quot;OBJECTIVE Sleep disturbance is common in dementia, although it is unclear whether differences in sleep architecture precede dementia onset. We examined the associations between sleep architecture and the prospective risk of incident dementia in the community-based Framingham Heart Study (FHS). METHODS Our sample comprised a subset of 321 FHS Offspring participants who participated in the Sleep Heart Health Study between 1995 and 1998 and who were aged over 60 years at the time of sleep assessment (mean age 67 ± 5 years, 50% male). Stages of sleep were quantified using home-based polysomnography. Participants were followed for a maximum of 19 years for incident dementia (mean follow-up 12 ± 5 years). RESULTS We observed 32 cases of incident dementia; 24 were consistent with Alzheimer disease dementia. After adjustments for age and sex, lower REM sleep percentage and longer REM sleep latency were both associated with a higher risk of incident dementia. Each percentage reduction in REM sleep was associated with approximately a 9% increase in the risk of incident dementia (hazard ratio 0.91; 95% confidence interval 0.86, 0.97). The magnitude of association between REM sleep percentage and dementia was similar following adjustments for multiple covariates including vascular risk factors, depressive symptoms, and medication use, following exclusions for persons with mild cognitive impairment at baseline and following exclusions for early converters to dementia. Stages of non-REM sleep were not associated with dementia risk. CONCLUSIONS Despite contemporary interest in slow-wave sleep and dementia pathology, our findings implicate REM sleep mechanisms as predictors of clinical dementia.&quot;,&quot;author&quot;:[{&quot;dropping-particle&quot;:&quot;&quot;,&quot;family&quot;:&quot;Pase&quot;,&quot;given&quot;:&quot;Matthew P.&quot;,&quot;non-dropping-particle&quot;:&quot;&quot;,&quot;parse-names&quot;:false,&quot;suffix&quot;:&quot;&quot;},{&quot;dropping-particle&quot;:&quot;&quot;,&quot;family&quot;:&quot;Himali&quot;,&quot;given&quot;:&quot;Jayandra J.&quot;,&quot;non-dropping-particle&quot;:&quot;&quot;,&quot;parse-names&quot;:false,&quot;suffix&quot;:&quot;&quot;},{&quot;dropping-particle&quot;:&quot;&quot;,&quot;family&quot;:&quot;Grima&quot;,&quot;given&quot;:&quot;Natalie A.&quot;,&quot;non-dropping-particle&quot;:&quot;&quot;,&quot;parse-names&quot;:false,&quot;suffix&quot;:&quot;&quot;},{&quot;dropping-particle&quot;:&quot;&quot;,&quot;family&quot;:&quot;Beiser&quot;,&quot;given&quot;:&quot;Alexa S.&quot;,&quot;non-dropping-particle&quot;:&quot;&quot;,&quot;parse-names&quot;:false,&quot;suffix&quot;:&quot;&quot;},{&quot;dropping-particle&quot;:&quot;&quot;,&quot;family&quot;:&quot;Satizabal&quot;,&quot;given&quot;:&quot;Claudia L.&quot;,&quot;non-dropping-particle&quot;:&quot;&quot;,&quot;parse-names&quot;:false,&quot;suffix&quot;:&quot;&quot;},{&quot;dropping-particle&quot;:&quot;&quot;,&quot;family&quot;:&quot;Aparicio&quot;,&quot;given&quot;:&quot;Hugo J.&quot;,&quot;non-dropping-particle&quot;:&quot;&quot;,&quot;parse-names&quot;:false,&quot;suffix&quot;:&quot;&quot;},{&quot;dropping-particle&quot;:&quot;&quot;,&quot;family&quot;:&quot;Thomas&quot;,&quot;given&quot;:&quot;Robert J.&quot;,&quot;non-dropping-particle&quot;:&quot;&quot;,&quot;parse-names&quot;:false,&quot;suffix&quot;:&quot;&quot;},{&quot;dropping-particle&quot;:&quot;&quot;,&quot;family&quot;:&quot;Gottlieb&quot;,&quot;given&quot;:&quot;Daniel J.&quot;,&quot;non-dropping-particle&quot;:&quot;&quot;,&quot;parse-names&quot;:false,&quot;suffix&quot;:&quot;&quot;},{&quot;dropping-particle&quot;:&quot;&quot;,&quot;family&quot;:&quot;Auerbach&quot;,&quot;given&quot;:&quot;Sandford H.&quot;,&quot;non-dropping-particle&quot;:&quot;&quot;,&quot;parse-names&quot;:false,&quot;suffix&quot;:&quot;&quot;},{&quot;dropping-particle&quot;:&quot;&quot;,&quot;family&quot;:&quot;Seshadri&quot;,&quot;given&quot;:&quot;Sudha&quot;,&quot;non-dropping-particle&quot;:&quot;&quot;,&quot;parse-names&quot;:false,&quot;suffix&quot;:&quot;&quot;}],&quot;container-title&quot;:&quot;Neurology&quot;,&quot;issue&quot;:&quot;12&quot;,&quot;issued&quot;:{&quot;date-parts&quot;:[[&quot;2017&quot;,&quot;9&quot;,&quot;19&quot;]]},&quot;page&quot;:&quot;1244-1250&quot;,&quot;title&quot;:&quot;Sleep architecture and the risk of incident dementia in the community&quot;,&quot;type&quot;:&quot;article-journal&quot;,&quot;volume&quot;:&quot;89&quot;,&quot;id&quot;:&quot;5568c07c-2d78-5cf4-8c24-2eb58bf082e3&quot;},&quot;uris&quot;:[&quot;http://www.mendeley.com/documents/?uuid=39c905f6-d668-4c25-9d41-5350a1febc51&quot;],&quot;isTemporary&quot;:false,&quot;legacyDesktopId&quot;:&quot;39c905f6-d668-4c25-9d41-5350a1febc51&quot;}],&quot;properties&quot;:{&quot;noteIndex&quot;:0},&quot;isEdited&quot;:false,&quot;manualOverride&quot;:{&quot;isManuallyOverriden&quot;:false,&quot;manualOverrideText&quot;:&quot;&quot;,&quot;citeprocText&quot;:&quot;&lt;sup&gt;13,14&lt;/sup&gt;&quot;},&quot;citationTag&quot;:&quot;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&quot;},{&quot;citationID&quot;:&quot;MENDELEY_CITATION_e2efad7d-22ad-4b7d-9ba1-f6675f83ccc5&quot;,&quot;citationItems&quot;:[{&quot;id&quot;:&quot;110ddc06-737f-553b-b3e3-b1444067ef52&quot;,&quot;itemData&quot;:{&quot;DOI&quot;:&quot;10.1001/jamaneurol.2014.2510&quot;,&quot;ISSN&quot;:&quot;21686149&quot;,&quot;PMID&quot;:&quot;25322206&quot;,&quot;abstract&quot;:&quot;IMPORTANCE Nocturnal sleep disruption develops in Alzheimer disease (AD) owing to the derangement of the sleep-wake cycle regulation pathways. Orexin contributes to the regulation of the sleep-wake cycle by increasing arousal levels and maintaining wakefulness. OBJECTIVES To study cerebrospinal fluid levels of orexin in patients with AD, to evaluate the relationship of orexin cerebrospinal fluid levels with the degree of dementia and the cerebrospinal fluid AD biomarkers (tau proteins and β-amyloid 1-42), and to analyze potentially related sleep architecture changes measured by polysomnography. DESIGN, SETTING, AND PARTICIPANTS We conducted a case-control study from August 1, 2012, through May 31, 2013. We included 48 drug-naive AD patients referred to the Neurological Clinic of the University Hospital of Rome Tor Vergata. Based on the Mini-Mental State Examination score, 21 patients were included in mild AD group (score, ≥21), whereas 27 were included in the moderate to severe AD group (score, &lt;21). The control group consisted of 29 nondemented participants of similar age and sex. EXPOSURE Laboratory assessment of cerebrospinal fluid levels of orexin, tau proteins, and β-amyloid 1-42 and polysomnographic assessment of sleep variables. MAIN OUTCOMES AND MEASURES Levels of orexin, tau proteins, and β-amyloid 1-42; macrostructural variables of nocturnal sleep (total sleep time, sleep efficiency, sleep onset and rapid eye movement [REM] sleep latencies, non-REM and REM sleep stages, and wakefulness after sleep onset); and Mini-Mental State Examination scores. RESULTS Patients with moderate to severe AD presented with higher mean (SD) orexin levels compared with controls (154.36 [28.16] vs 131.03 [26.55]; P &lt; .01) and with more impaired nocturnal sleep with respect to controls and patients with mild AD. On the other hand, in the global AD group, orexin levels were positively correlated with total tau protein levels (r = 0.32; P = .03) and strictly related to sleep impairment. Finally, cognitive impairment, as measured by the Mini-Mental State Examination, was correlated with sleep structure deterioration. CONCLUSIONS AND RELEVANCE Our results demonstrate that, in AD, increased cerebrospinal fluid orexin levels are related to a parallel sleep deterioration, which appears to be associated with cognitive decline. Therefore, the orexinergic system seems to be dysregulated in AD, and its output and function appear to be overexpressed along the progression of the…&quot;,&quot;author&quot;:[{&quot;dropping-particle&quot;:&quot;&quot;,&quot;family&quot;:&quot;Liguori&quot;,&quot;given&quot;:&quot;Claudio&quot;,&quot;non-dropping-particle&quot;:&quot;&quot;,&quot;parse-names&quot;:false,&quot;suffix&quot;:&quot;&quot;},{&quot;dropping-particle&quot;:&quot;&quot;,&quot;family&quot;:&quot;Romigi&quot;,&quot;given&quot;:&quot;Andrea&quot;,&quot;non-dropping-particle&quot;:&quot;&quot;,&quot;parse-names&quot;:false,&quot;suffix&quot;:&quot;&quot;},{&quot;dropping-particle&quot;:&quot;&quot;,&quot;family&quot;:&quot;Nuccetelli&quot;,&quot;given&quot;:&quot;Marzia&quot;,&quot;non-dropping-particle&quot;:&quot;&quot;,&quot;parse-names&quot;:false,&quot;suffix&quot;:&quot;&quot;},{&quot;dropping-particle&quot;:&quot;&quot;,&quot;family&quot;:&quot;Zannino&quot;,&quot;given&quot;:&quot;Silvana&quot;,&quot;non-dropping-particle&quot;:&quot;&quot;,&quot;parse-names&quot;:false,&quot;suffix&quot;:&quot;&quot;},{&quot;dropping-particle&quot;:&quot;&quot;,&quot;family&quot;:&quot;Sancesario&quot;,&quot;given&quot;:&quot;Giuseppe Giulia M.&quot;,&quot;non-dropping-particle&quot;:&quot;&quot;,&quot;parse-names&quot;:false,&quot;suffix&quot;:&quot;&quot;},{&quot;dropping-particle&quot;:&quot;&quot;,&quot;family&quot;:&quot;Martorana&quot;,&quot;given&quot;:&quot;Alessandro&quot;,&quot;non-dropping-particle&quot;:&quot;&quot;,&quot;parse-names&quot;:false,&quot;suffix&quot;:&quot;&quot;},{&quot;dropping-particle&quot;:&quot;&quot;,&quot;family&quot;:&quot;Albanese&quot;,&quot;given&quot;:&quot;Maria&quot;,&quot;non-dropping-particle&quot;:&quot;&quot;,&quot;parse-names&quot;:false,&quot;suffix&quot;:&quot;&quot;},{&quot;dropping-particle&quot;:&quot;&quot;,&quot;family&quot;:&quot;Mercuri&quot;,&quot;given&quot;:&quot;Nicola Biagio&quot;,&quot;non-dropping-particle&quot;:&quot;&quot;,&quot;parse-names&quot;:false,&quot;suffix&quot;:&quot;&quot;},{&quot;dropping-particle&quot;:&quot;&quot;,&quot;family&quot;:&quot;Izzi&quot;,&quot;given&quot;:&quot;Francesca&quot;,&quot;non-dropping-particle&quot;:&quot;&quot;,&quot;parse-names&quot;:false,&quot;suffix&quot;:&quot;&quot;},{&quot;dropping-particle&quot;:&quot;&quot;,&quot;family&quot;:&quot;Bernardini&quot;,&quot;given&quot;:&quot;Sergio&quot;,&quot;non-dropping-particle&quot;:&quot;&quot;,&quot;parse-names&quot;:false,&quot;suffix&quot;:&quot;&quot;},{&quot;dropping-particle&quot;:&quot;&quot;,&quot;family&quot;:&quot;Nitti&quot;,&quot;given&quot;:&quot;Alessandra&quot;,&quot;non-dropping-particle&quot;:&quot;&quot;,&quot;parse-names&quot;:false,&quot;suffix&quot;:&quot;&quot;},{&quot;dropping-particle&quot;:&quot;&quot;,&quot;family&quot;:&quot;Sancesario&quot;,&quot;given&quot;:&quot;Giuseppe Giulia M.&quot;,&quot;non-dropping-particle&quot;:&quot;&quot;,&quot;parse-names&quot;:false,&quot;suffix&quot;:&quot;&quot;},{&quot;dropping-particle&quot;:&quot;&quot;,&quot;family&quot;:&quot;Sica&quot;,&quot;given&quot;:&quot;Francesco&quot;,&quot;non-dropping-particle&quot;:&quot;&quot;,&quot;parse-names&quot;:false,&quot;suffix&quot;:&quot;&quot;},{&quot;dropping-particle&quot;:&quot;&quot;,&quot;family&quot;:&quot;Marciani&quot;,&quot;given&quot;:&quot;Maria G.&quot;,&quot;non-dropping-particle&quot;:&quot;&quot;,&quot;parse-names&quot;:false,&quot;suffix&quot;:&quot;&quot;},{&quot;dropping-particle&quot;:&quot;&quot;,&quot;family&quot;:&quot;Placidi&quot;,&quot;given&quot;:&quot;Fabio&quot;,&quot;non-dropping-particle&quot;:&quot;&quot;,&quot;parse-names&quot;:false,&quot;suffix&quot;:&quot;&quot;}],&quot;container-title&quot;:&quot;JAMA neurology&quot;,&quot;issue&quot;:&quot;12&quot;,&quot;issued&quot;:{&quot;date-parts&quot;:[[&quot;2014&quot;,&quot;12&quot;,&quot;1&quot;]]},&quot;page&quot;:&quot;1498-505&quot;,&quot;title&quot;:&quot;Orexinergic system dysregulation, sleep impairment, and cognitive decline in Alzheimer disease.&quot;,&quot;type&quot;:&quot;article-journal&quot;,&quot;volume&quot;:&quot;71&quot;,&quot;id&quot;:&quot;110ddc06-737f-553b-b3e3-b1444067ef52&quot;},&quot;uris&quot;:[&quot;http://www.mendeley.com/documents/?uuid=15268533-f804-4b6c-a298-eada626f256c&quot;],&quot;isTemporary&quot;:false,&quot;legacyDesktopId&quot;:&quot;15268533-f804-4b6c-a298-eada626f256c&quot;}],&quot;properties&quot;:{&quot;noteIndex&quot;:0},&quot;isEdited&quot;:false,&quot;manualOverride&quot;:{&quot;isManuallyOverriden&quot;:false,&quot;manualOverrideText&quot;:&quot;&quot;,&quot;citeprocText&quot;:&quot;&lt;sup&gt;33&lt;/sup&gt;&quot;},&quot;citationTag&quot;:&quot;MENDELEY_CITATION_v3_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&quot;},{&quot;citationID&quot;:&quot;MENDELEY_CITATION_2072043e-7a90-4b28-ab9b-cd3a24db115d&quot;,&quot;citationItems&quot;:[{&quot;id&quot;:&quot;110ddc06-737f-553b-b3e3-b1444067ef52&quot;,&quot;itemData&quot;:{&quot;DOI&quot;:&quot;10.1001/jamaneurol.2014.2510&quot;,&quot;ISSN&quot;:&quot;21686149&quot;,&quot;PMID&quot;:&quot;25322206&quot;,&quot;abstract&quot;:&quot;IMPORTANCE Nocturnal sleep disruption develops in Alzheimer disease (AD) owing to the derangement of the sleep-wake cycle regulation pathways. Orexin contributes to the regulation of the sleep-wake cycle by increasing arousal levels and maintaining wakefulness. OBJECTIVES To study cerebrospinal fluid levels of orexin in patients with AD, to evaluate the relationship of orexin cerebrospinal fluid levels with the degree of dementia and the cerebrospinal fluid AD biomarkers (tau proteins and β-amyloid 1-42), and to analyze potentially related sleep architecture changes measured by polysomnography. DESIGN, SETTING, AND PARTICIPANTS We conducted a case-control study from August 1, 2012, through May 31, 2013. We included 48 drug-naive AD patients referred to the Neurological Clinic of the University Hospital of Rome Tor Vergata. Based on the Mini-Mental State Examination score, 21 patients were included in mild AD group (score, ≥21), whereas 27 were included in the moderate to severe AD group (score, &lt;21). The control group consisted of 29 nondemented participants of similar age and sex. EXPOSURE Laboratory assessment of cerebrospinal fluid levels of orexin, tau proteins, and β-amyloid 1-42 and polysomnographic assessment of sleep variables. MAIN OUTCOMES AND MEASURES Levels of orexin, tau proteins, and β-amyloid 1-42; macrostructural variables of nocturnal sleep (total sleep time, sleep efficiency, sleep onset and rapid eye movement [REM] sleep latencies, non-REM and REM sleep stages, and wakefulness after sleep onset); and Mini-Mental State Examination scores. RESULTS Patients with moderate to severe AD presented with higher mean (SD) orexin levels compared with controls (154.36 [28.16] vs 131.03 [26.55]; P &lt; .01) and with more impaired nocturnal sleep with respect to controls and patients with mild AD. On the other hand, in the global AD group, orexin levels were positively correlated with total tau protein levels (r = 0.32; P = .03) and strictly related to sleep impairment. Finally, cognitive impairment, as measured by the Mini-Mental State Examination, was correlated with sleep structure deterioration. CONCLUSIONS AND RELEVANCE Our results demonstrate that, in AD, increased cerebrospinal fluid orexin levels are related to a parallel sleep deterioration, which appears to be associated with cognitive decline. Therefore, the orexinergic system seems to be dysregulated in AD, and its output and function appear to be overexpressed along the progression of the…&quot;,&quot;author&quot;:[{&quot;dropping-particle&quot;:&quot;&quot;,&quot;family&quot;:&quot;Liguori&quot;,&quot;given&quot;:&quot;Claudio&quot;,&quot;non-dropping-particle&quot;:&quot;&quot;,&quot;parse-names&quot;:false,&quot;suffix&quot;:&quot;&quot;},{&quot;dropping-particle&quot;:&quot;&quot;,&quot;family&quot;:&quot;Romigi&quot;,&quot;given&quot;:&quot;Andrea&quot;,&quot;non-dropping-particle&quot;:&quot;&quot;,&quot;parse-names&quot;:false,&quot;suffix&quot;:&quot;&quot;},{&quot;dropping-particle&quot;:&quot;&quot;,&quot;family&quot;:&quot;Nuccetelli&quot;,&quot;given&quot;:&quot;Marzia&quot;,&quot;non-dropping-particle&quot;:&quot;&quot;,&quot;parse-names&quot;:false,&quot;suffix&quot;:&quot;&quot;},{&quot;dropping-particle&quot;:&quot;&quot;,&quot;family&quot;:&quot;Zannino&quot;,&quot;given&quot;:&quot;Silvana&quot;,&quot;non-dropping-particle&quot;:&quot;&quot;,&quot;parse-names&quot;:false,&quot;suffix&quot;:&quot;&quot;},{&quot;dropping-particle&quot;:&quot;&quot;,&quot;family&quot;:&quot;Sancesario&quot;,&quot;given&quot;:&quot;Giuseppe Giulia M.&quot;,&quot;non-dropping-particle&quot;:&quot;&quot;,&quot;parse-names&quot;:false,&quot;suffix&quot;:&quot;&quot;},{&quot;dropping-particle&quot;:&quot;&quot;,&quot;family&quot;:&quot;Martorana&quot;,&quot;given&quot;:&quot;Alessandro&quot;,&quot;non-dropping-particle&quot;:&quot;&quot;,&quot;parse-names&quot;:false,&quot;suffix&quot;:&quot;&quot;},{&quot;dropping-particle&quot;:&quot;&quot;,&quot;family&quot;:&quot;Albanese&quot;,&quot;given&quot;:&quot;Maria&quot;,&quot;non-dropping-particle&quot;:&quot;&quot;,&quot;parse-names&quot;:false,&quot;suffix&quot;:&quot;&quot;},{&quot;dropping-particle&quot;:&quot;&quot;,&quot;family&quot;:&quot;Mercuri&quot;,&quot;given&quot;:&quot;Nicola Biagio&quot;,&quot;non-dropping-particle&quot;:&quot;&quot;,&quot;parse-names&quot;:false,&quot;suffix&quot;:&quot;&quot;},{&quot;dropping-particle&quot;:&quot;&quot;,&quot;family&quot;:&quot;Izzi&quot;,&quot;given&quot;:&quot;Francesca&quot;,&quot;non-dropping-particle&quot;:&quot;&quot;,&quot;parse-names&quot;:false,&quot;suffix&quot;:&quot;&quot;},{&quot;dropping-particle&quot;:&quot;&quot;,&quot;family&quot;:&quot;Bernardini&quot;,&quot;given&quot;:&quot;Sergio&quot;,&quot;non-dropping-particle&quot;:&quot;&quot;,&quot;parse-names&quot;:false,&quot;suffix&quot;:&quot;&quot;},{&quot;dropping-particle&quot;:&quot;&quot;,&quot;family&quot;:&quot;Nitti&quot;,&quot;given&quot;:&quot;Alessandra&quot;,&quot;non-dropping-particle&quot;:&quot;&quot;,&quot;parse-names&quot;:false,&quot;suffix&quot;:&quot;&quot;},{&quot;dropping-particle&quot;:&quot;&quot;,&quot;family&quot;:&quot;Sancesario&quot;,&quot;given&quot;:&quot;Giuseppe Giulia M.&quot;,&quot;non-dropping-particle&quot;:&quot;&quot;,&quot;parse-names&quot;:false,&quot;suffix&quot;:&quot;&quot;},{&quot;dropping-particle&quot;:&quot;&quot;,&quot;family&quot;:&quot;Sica&quot;,&quot;given&quot;:&quot;Francesco&quot;,&quot;non-dropping-particle&quot;:&quot;&quot;,&quot;parse-names&quot;:false,&quot;suffix&quot;:&quot;&quot;},{&quot;dropping-particle&quot;:&quot;&quot;,&quot;family&quot;:&quot;Marciani&quot;,&quot;given&quot;:&quot;Maria G.&quot;,&quot;non-dropping-particle&quot;:&quot;&quot;,&quot;parse-names&quot;:false,&quot;suffix&quot;:&quot;&quot;},{&quot;dropping-particle&quot;:&quot;&quot;,&quot;family&quot;:&quot;Placidi&quot;,&quot;given&quot;:&quot;Fabio&quot;,&quot;non-dropping-particle&quot;:&quot;&quot;,&quot;parse-names&quot;:false,&quot;suffix&quot;:&quot;&quot;}],&quot;container-title&quot;:&quot;JAMA neurology&quot;,&quot;issue&quot;:&quot;12&quot;,&quot;issued&quot;:{&quot;date-parts&quot;:[[&quot;2014&quot;,&quot;12&quot;,&quot;1&quot;]]},&quot;page&quot;:&quot;1498-505&quot;,&quot;title&quot;:&quot;Orexinergic system dysregulation, sleep impairment, and cognitive decline in Alzheimer disease.&quot;,&quot;type&quot;:&quot;article-journal&quot;,&quot;volume&quot;:&quot;71&quot;,&quot;id&quot;:&quot;110ddc06-737f-553b-b3e3-b1444067ef52&quot;},&quot;uris&quot;:[&quot;http://www.mendeley.com/documents/?uuid=15268533-f804-4b6c-a298-eada626f256c&quot;],&quot;isTemporary&quot;:false,&quot;legacyDesktopId&quot;:&quot;15268533-f804-4b6c-a298-eada626f256c&quot;}],&quot;properties&quot;:{&quot;noteIndex&quot;:0},&quot;isEdited&quot;:false,&quot;manualOverride&quot;:{&quot;isManuallyOverriden&quot;:false,&quot;manualOverrideText&quot;:&quot;&quot;,&quot;citeprocText&quot;:&quot;&lt;sup&gt;33&lt;/sup&gt;&quot;},&quot;citationTag&quot;:&quot;MENDELEY_CITATION_v3_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&quot;},{&quot;citationID&quot;:&quot;MENDELEY_CITATION_ace86899-514c-444f-947e-4358715cc681&quot;,&quot;citationItems&quot;:[{&quot;id&quot;:&quot;582df22f-4f99-3252-9ffa-580424918bcb&quot;,&quot;itemData&quot;:{&quot;type&quot;:&quot;article-journal&quot;,&quot;id&quot;:&quot;582df22f-4f99-3252-9ffa-580424918bcb&quot;,&quot;title&quot;:&quot;Locus coeruleus volume and cell population changes during Alzheimer's disease progression: A stereological study in human postmortem brains with potential implication for early-stage biomarker discovery&quot;,&quot;author&quot;:[{&quot;family&quot;:&quot;Theofilas&quot;,&quot;given&quot;:&quot;Panos&quot;,&quot;parse-names&quot;:false,&quot;dropping-particle&quot;:&quot;&quot;,&quot;non-dropping-particle&quot;:&quot;&quot;},{&quot;family&quot;:&quot;Ehrenberg&quot;,&quot;given&quot;:&quot;Alexander J.&quot;,&quot;parse-names&quot;:false,&quot;dropping-particle&quot;:&quot;&quot;,&quot;non-dropping-particle&quot;:&quot;&quot;},{&quot;family&quot;:&quot;Dunlop&quot;,&quot;given&quot;:&quot;Sara&quot;,&quot;parse-names&quot;:false,&quot;dropping-particle&quot;:&quot;&quot;,&quot;non-dropping-particle&quot;:&quot;&quot;},{&quot;family&quot;:&quot;Lorenzo Alho&quot;,&quot;given&quot;:&quot;Ana T.&quot;,&quot;parse-names&quot;:false,&quot;dropping-particle&quot;:&quot;&quot;,&quot;non-dropping-particle&quot;:&quot;di&quot;},{&quot;family&quot;:&quot;Nguy&quot;,&quot;given&quot;:&quot;Austin&quot;,&quot;parse-names&quot;:false,&quot;dropping-particle&quot;:&quot;&quot;,&quot;non-dropping-particle&quot;:&quot;&quot;},{&quot;family&quot;:&quot;Leite&quot;,&quot;given&quot;:&quot;Renata Elaine Paraizo&quot;,&quot;parse-names&quot;:false,&quot;dropping-particle&quot;:&quot;&quot;,&quot;non-dropping-particle&quot;:&quot;&quot;},{&quot;family&quot;:&quot;Rodriguez&quot;,&quot;given&quot;:&quot;Roberta Diehl&quot;,&quot;parse-names&quot;:false,&quot;dropping-particle&quot;:&quot;&quot;,&quot;non-dropping-particle&quot;:&quot;&quot;},{&quot;family&quot;:&quot;Mejia&quot;,&quot;given&quot;:&quot;Maria B.&quot;,&quot;parse-names&quot;:false,&quot;dropping-particle&quot;:&quot;&quot;,&quot;non-dropping-particle&quot;:&quot;&quot;},{&quot;family&quot;:&quot;Suemoto&quot;,&quot;given&quot;:&quot;Claudia K.&quot;,&quot;parse-names&quot;:false,&quot;dropping-particle&quot;:&quot;&quot;,&quot;non-dropping-particle&quot;:&quot;&quot;},{&quot;family&quot;:&quot;Ferretti-Rebustini&quot;,&quot;given&quot;:&quot;Renata Eloah De Lucena&quot;,&quot;parse-names&quot;:false,&quot;dropping-particle&quot;:&quot;&quot;,&quot;non-dropping-particle&quot;:&quot;&quot;},{&quot;family&quot;:&quot;Polichiso&quot;,&quot;given&quot;:&quot;Livia&quot;,&quot;parse-names&quot;:false,&quot;dropping-particle&quot;:&quot;&quot;,&quot;non-dropping-particle&quot;:&quot;&quot;},{&quot;family&quot;:&quot;Nascimento&quot;,&quot;given&quot;:&quot;Camila F.&quot;,&quot;parse-names&quot;:false,&quot;dropping-particle&quot;:&quot;&quot;,&quot;non-dropping-particle&quot;:&quot;&quot;},{&quot;family&quot;:&quot;Seeley&quot;,&quot;given&quot;:&quot;William W.&quot;,&quot;parse-names&quot;:false,&quot;dropping-particle&quot;:&quot;&quot;,&quot;non-dropping-particle&quot;:&quot;&quot;},{&quot;family&quot;:&quot;Nitrini&quot;,&quot;given&quot;:&quot;Ricardo&quot;,&quot;parse-names&quot;:false,&quot;dropping-particle&quot;:&quot;&quot;,&quot;non-dropping-particle&quot;:&quot;&quot;},{&quot;family&quot;:&quot;Pasqualucci&quot;,&quot;given&quot;:&quot;Carlos Augusto&quot;,&quot;parse-names&quot;:false,&quot;dropping-particle&quot;:&quot;&quot;,&quot;non-dropping-particle&quot;:&quot;&quot;},{&quot;family&quot;:&quot;Jacob Filho&quot;,&quot;given&quot;:&quot;Wilson&quot;,&quot;parse-names&quot;:false,&quot;dropping-particle&quot;:&quot;&quot;,&quot;non-dropping-particle&quot;:&quot;&quot;},{&quot;family&quot;:&quot;Rueb&quot;,&quot;given&quot;:&quot;Udo&quot;,&quot;parse-names&quot;:false,&quot;dropping-particle&quot;:&quot;&quot;,&quot;non-dropping-particle&quot;:&quot;&quot;},{&quot;family&quot;:&quot;Neuhaus&quot;,&quot;given&quot;:&quot;John&quot;,&quot;parse-names&quot;:false,&quot;dropping-particle&quot;:&quot;&quot;,&quot;non-dropping-particle&quot;:&quot;&quot;},{&quot;family&quot;:&quot;Heinsen&quot;,&quot;given&quot;:&quot;Helmut&quot;,&quot;parse-names&quot;:false,&quot;dropping-particle&quot;:&quot;&quot;,&quot;non-dropping-particle&quot;:&quot;&quot;},{&quot;family&quot;:&quot;Grinberg&quot;,&quot;given&quot;:&quot;Lea T.&quot;,&quot;parse-names&quot;:false,&quot;dropping-particle&quot;:&quot;&quot;,&quot;non-dropping-particle&quot;:&quot;&quot;}],&quot;container-title&quot;:&quot;Alzheimer's and Dementia&quot;,&quot;accessed&quot;:{&quot;date-parts&quot;:[[2021,7,19]]},&quot;DOI&quot;:&quot;10.1016/j.jalz.2016.06.2362&quot;,&quot;ISSN&quot;:&quot;15525279&quot;,&quot;PMID&quot;:&quot;27513978&quot;,&quot;URL&quot;:&quot;https://pubmed.ncbi.nlm.nih.gov/27513978/&quot;,&quot;issued&quot;:{&quot;date-parts&quot;:[[2017,3,1]]},&quot;page&quot;:&quot;236-246&quot;,&quot;abstract&quot;:&quot;Introduction Alzheimer's disease (AD) progression follows a specific spreading pattern, emphasizing the need to characterize those brain areas that degenerate first. The brainstem's locus coeruleus (LC) is the first area to develop neurofibrillary changes (neurofibrillary tangles [NFTs]). Methods The methods include unbiased stereological analyses in human brainstems to estimate LC volume and neuronal population in controls and individuals across all AD stages. Results As the Braak stage increases by 1 unit, the LC volume decreases by 8.4%. Neuronal loss started only midway through AD progression. Age-related changes spare the LC. Discussion The long gap between NFT accumulation and neuronal loss suggests that a second trigger may be necessary to induce neuronal death in AD. Imaging studies should determine whether LC volumetry can replicate the stage-wise atrophy observed here and how these changes are specific to AD. LC volumetry may develop into a screening biomarker for selecting high-yield candidates to undergo expensive and less accessible positron emission tomography scans and to monitor AD progression from presymptomatic stages.&quot;,&quot;publisher&quot;:&quot;Elsevier Inc.&quot;,&quot;issue&quot;:&quot;3&quot;,&quot;volume&quot;:&quot;13&quot;},&quot;isTemporary&quot;:false},{&quot;id&quot;:&quot;deab27e0-4591-3c8c-b99a-e1392e78499b&quot;,&quot;itemData&quot;:{&quot;type&quot;:&quot;article-journal&quot;,&quot;id&quot;:&quot;deab27e0-4591-3c8c-b99a-e1392e78499b&quot;,&quot;title&quot;:&quot;Profound degeneration of wake-promoting neurons in Alzheimer's disease&quot;,&quot;author&quot;:[{&quot;family&quot;:&quot;Oh&quot;,&quot;given&quot;:&quot;Jun&quot;,&quot;parse-names&quot;:false,&quot;dropping-particle&quot;:&quot;&quot;,&quot;non-dropping-particle&quot;:&quot;&quot;},{&quot;family&quot;:&quot;Eser&quot;,&quot;given&quot;:&quot;Rana A.&quot;,&quot;parse-names&quot;:false,&quot;dropping-particle&quot;:&quot;&quot;,&quot;non-dropping-particle&quot;:&quot;&quot;},{&quot;family&quot;:&quot;Ehrenberg&quot;,&quot;given&quot;:&quot;Alexander J.&quot;,&quot;parse-names&quot;:false,&quot;dropping-particle&quot;:&quot;&quot;,&quot;non-dropping-particle&quot;:&quot;&quot;},{&quot;family&quot;:&quot;Morales&quot;,&quot;given&quot;:&quot;Dulce&quot;,&quot;parse-names&quot;:false,&quot;dropping-particle&quot;:&quot;&quot;,&quot;non-dropping-particle&quot;:&quot;&quot;},{&quot;family&quot;:&quot;Petersen&quot;,&quot;given&quot;:&quot;Cathrine&quot;,&quot;parse-names&quot;:false,&quot;dropping-particle&quot;:&quot;&quot;,&quot;non-dropping-particle&quot;:&quot;&quot;},{&quot;family&quot;:&quot;Kudlacek&quot;,&quot;given&quot;:&quot;Jessica&quot;,&quot;parse-names&quot;:false,&quot;dropping-particle&quot;:&quot;&quot;,&quot;non-dropping-particle&quot;:&quot;&quot;},{&quot;family&quot;:&quot;Dunlop&quot;,&quot;given&quot;:&quot;Sara R.&quot;,&quot;parse-names&quot;:false,&quot;dropping-particle&quot;:&quot;&quot;,&quot;non-dropping-particle&quot;:&quot;&quot;},{&quot;family&quot;:&quot;Theofilas&quot;,&quot;given&quot;:&quot;Panos&quot;,&quot;parse-names&quot;:false,&quot;dropping-particle&quot;:&quot;&quot;,&quot;non-dropping-particle&quot;:&quot;&quot;},{&quot;family&quot;:&quot;Resende&quot;,&quot;given&quot;:&quot;Elisa D.P.F.&quot;,&quot;parse-names&quot;:false,&quot;dropping-particle&quot;:&quot;&quot;,&quot;non-dropping-particle&quot;:&quot;&quot;},{&quot;family&quot;:&quot;Cosme&quot;,&quot;given&quot;:&quot;Celica&quot;,&quot;parse-names&quot;:false,&quot;dropping-particle&quot;:&quot;&quot;,&quot;non-dropping-particle&quot;:&quot;&quot;},{&quot;family&quot;:&quot;Alho&quot;,&quot;given&quot;:&quot;Eduardo J.L.&quot;,&quot;parse-names&quot;:false,&quot;dropping-particle&quot;:&quot;&quot;,&quot;non-dropping-particle&quot;:&quot;&quot;},{&quot;family&quot;:&quot;Spina&quot;,&quot;given&quot;:&quot;Salvatore&quot;,&quot;parse-names&quot;:false,&quot;dropping-particle&quot;:&quot;&quot;,&quot;non-dropping-particle&quot;:&quot;&quot;},{&quot;family&quot;:&quot;Walsh&quot;,&quot;given&quot;:&quot;Christine M.&quot;,&quot;parse-names&quot;:false,&quot;dropping-particle&quot;:&quot;&quot;,&quot;non-dropping-particle&quot;:&quot;&quot;},{&quot;family&quot;:&quot;Miller&quot;,&quot;given&quot;:&quot;Bruce L.&quot;,&quot;parse-names&quot;:false,&quot;dropping-particle&quot;:&quot;&quot;,&quot;non-dropping-particle&quot;:&quot;&quot;},{&quot;family&quot;:&quot;Seeley&quot;,&quot;given&quot;:&quot;William W.&quot;,&quot;parse-names&quot;:false,&quot;dropping-particle&quot;:&quot;&quot;,&quot;non-dropping-particle&quot;:&quot;&quot;},{&quot;family&quot;:&quot;Bittencourt&quot;,&quot;given&quot;:&quot;Jackson C.&quot;,&quot;parse-names&quot;:false,&quot;dropping-particle&quot;:&quot;&quot;,&quot;non-dropping-particle&quot;:&quot;&quot;},{&quot;family&quot;:&quot;Neylan&quot;,&quot;given&quot;:&quot;Thomas C.&quot;,&quot;parse-names&quot;:false,&quot;dropping-particle&quot;:&quot;&quot;,&quot;non-dropping-particle&quot;:&quot;&quot;},{&quot;family&quot;:&quot;Heinsen&quot;,&quot;given&quot;:&quot;Helmut&quot;,&quot;parse-names&quot;:false,&quot;dropping-particle&quot;:&quot;&quot;,&quot;non-dropping-particle&quot;:&quot;&quot;},{&quot;family&quot;:&quot;Grinberg&quot;,&quot;given&quot;:&quot;Lea T.&quot;,&quot;parse-names&quot;:false,&quot;dropping-particle&quot;:&quot;&quot;,&quot;non-dropping-particle&quot;:&quot;&quot;}],&quot;container-title&quot;:&quot;Alzheimer's and Dementia&quot;,&quot;accessed&quot;:{&quot;date-parts&quot;:[[2021,7,19]]},&quot;DOI&quot;:&quot;10.1016/j.jalz.2019.06.3916&quot;,&quot;ISSN&quot;:&quot;15525279&quot;,&quot;PMID&quot;:&quot;31416793&quot;,&quot;URL&quot;:&quot;https://pubmed.ncbi.nlm.nih.gov/31416793/&quot;,&quot;issued&quot;:{&quot;date-parts&quot;:[[2019,10,1]]},&quot;page&quot;:&quot;1253-1263&quot;,&quot;abstract&quot;:&quot;Introduction: Sleep-wake disturbances are a common and early feature in Alzheimer's disease (AD). The impact of early tau pathology in wake-promoting neurons (WPNs) remains unclear. Methods: We performed stereology in postmortem brains from AD individuals and healthy controls to identify quantitative differences in morphological metrics in WPNs. Progressive supranuclear palsy (PSP) and corticobasal degeneration were included as disease-specific controls. Results: The three nuclei studied accumulate considerable amounts of tau inclusions and showed a decrease in neurotransmitter-synthetizing neurons in AD, PSP, and corticobasal degeneration. However, substantial neuronal loss was exclusively found in AD. Discussion: WPNs are extremely vulnerable to AD but not to 4 repeat tauopathies. Considering that WPNs are involved early in AD, such degeneration should be included in the models explaining sleep-wake disturbances in AD and considered when designing a clinical intervention. Sparing of WPNs in PSP, a condition featuring hyperinsomnia, suggest that interventions to suppress the arousal system may benefit patients with PSP.&quot;,&quot;publisher&quot;:&quot;Elsevier Inc.&quot;,&quot;issue&quot;:&quot;10&quot;,&quot;volume&quot;:&quot;15&quot;},&quot;isTemporary&quot;:false},{&quot;id&quot;:&quot;96ad079b-c608-3258-b9c8-65759c3db655&quot;,&quot;itemData&quot;:{&quot;type&quot;:&quot;article-journal&quot;,&quot;id&quot;:&quot;96ad079b-c608-3258-b9c8-65759c3db655&quot;,&quot;title&quot;:&quot;Atrophy of the cholinergic basal forebrain over the adult age range and in early stages of Alzheimer's disease&quot;,&quot;author&quot;:[{&quot;family&quot;:&quot;Grothe&quot;,&quot;given&quot;:&quot;Michel&quot;,&quot;parse-names&quot;:false,&quot;dropping-particle&quot;:&quot;&quot;,&quot;non-dropping-particle&quot;:&quot;&quot;},{&quot;family&quot;:&quot;Heinsen&quot;,&quot;given&quot;:&quot;Helmut&quot;,&quot;parse-names&quot;:false,&quot;dropping-particle&quot;:&quot;&quot;,&quot;non-dropping-particle&quot;:&quot;&quot;},{&quot;family&quot;:&quot;Teipel&quot;,&quot;given&quot;:&quot;Stefan J.&quot;,&quot;parse-names&quot;:false,&quot;dropping-particle&quot;:&quot;&quot;,&quot;non-dropping-particle&quot;:&quot;&quot;}],&quot;container-title&quot;:&quot;Biological Psychiatry&quot;,&quot;accessed&quot;:{&quot;date-parts&quot;:[[2021,7,19]]},&quot;DOI&quot;:&quot;10.1016/j.biopsych.2011.06.019&quot;,&quot;ISSN&quot;:&quot;00063223&quot;,&quot;PMID&quot;:&quot;21816388&quot;,&quot;URL&quot;:&quot;https://pubmed.ncbi.nlm.nih.gov/21816388/&quot;,&quot;issued&quot;:{&quot;date-parts&quot;:[[2012,5,1]]},&quot;page&quot;:&quot;805-813&quot;,&quot;abstract&quot;:&quot;Background: The basal forebrain cholinergic system (BFCS) is known to undergo moderate neurodegenerative changes during normal aging as well as severe atrophy in Alzheimer's disease (AD). However, there is a controversy regarding how the cholinergic lesion in AD relates to early and incipient stages of the disease. In vivo imaging studies on the structural integrity of the BFCS in normal and pathologic aging are rare. Methods: We applied automated morphometry techniques in combination with high-dimensional image warping and a cytoarchitectonic map of basal forebrain cholinergic nuclei to a large cross-sectional data set of high-resolution magnetic resonance imaging scans, covering the whole adult age range (20-94 years; n = 211) as well as patients with very mild AD (Clinical Dementia Rating =.5; n = 69) and clinically manifest AD (AD; Clinical Dementia Rating = 1; n = 28). For comparison, we investigated hippocampus volume using automated volumetry. Results: Volume of the BFCS declined from early adulthood on, and atrophy aggravated in advanced age. Volume reductions in very mild AD were most pronounced in posterior parts of the nucleus basalis of Meynert, whereas in AD, atrophy was more extensive and included the whole BFCS. In clinically manifest AD, the diagnostic accuracy of BFCS volume reached the diagnostic accuracy of hippocampus volume. Conclusions: Our findings indicate that cholinergic degeneration in AD occurs against a background of age-related atrophy and that exacerbated atrophy in AD can be detected at earliest stages of cognitive impairment. Automated in vivo morphometry of the BFCS may become a useful tool to assess BF cholinergic degeneration in normal and pathologic aging. © 2012 Society of Biological Psychiatry.&quot;,&quot;publisher&quot;:&quot;Biol Psychiatry&quot;,&quot;issue&quot;:&quot;9&quot;,&quot;volume&quot;:&quot;71&quot;},&quot;isTemporary&quot;:false},{&quot;id&quot;:&quot;5cb23331-9237-318d-b3c5-5c250146c4c8&quot;,&quot;itemData&quot;:{&quot;type&quot;:&quot;article-journal&quot;,&quot;id&quot;:&quot;5cb23331-9237-318d-b3c5-5c250146c4c8&quot;,&quot;title&quot;:&quot;Basal forebrain degeneration precedes and predicts the cortical spread of Alzheimer's pathology&quot;,&quot;author&quot;:[{&quot;family&quot;:&quot;Schmitz&quot;,&quot;given&quot;:&quot;Taylor W.&quot;,&quot;parse-names&quot;:false,&quot;dropping-particle&quot;:&quot;&quot;,&quot;non-dropping-particle&quot;:&quot;&quot;},{&quot;family&quot;:&quot;Nathan Spreng&quot;,&quot;given&quot;:&quot;R.&quot;,&quot;parse-names&quot;:false,&quot;dropping-particle&quot;:&quot;&quot;,&quot;non-dropping-particle&quot;:&quot;&quot;}],&quot;container-title&quot;:&quot;Nature Communications&quot;,&quot;accessed&quot;:{&quot;date-parts&quot;:[[2021,6,30]]},&quot;DOI&quot;:&quot;10.1038/ncomms13249&quot;,&quot;ISSN&quot;:&quot;20411723&quot;,&quot;PMID&quot;:&quot;27811848&quot;,&quot;URL&quot;:&quot;https://pubmed.ncbi.nlm.nih.gov/27811848/&quot;,&quot;issued&quot;:{&quot;date-parts&quot;:[[2016,11,4]]},&quot;abstract&quot;:&quot;There is considerable debate whether Alzheimer's disease (AD) originates in basal forebrain or entorhinal cortex. Here we examined whether longitudinal decreases in basal forebrain and entorhinal cortex grey matter volume were interdependent and sequential. In a large cohort of age-matched older adults ranging from cognitively normal to AD, we demonstrate that basal forebrain volume predicts longitudinal entorhinal degeneration. Models of parallel degeneration or entorhinal origin received negligible support. We then integrated volumetric measures with an amyloid biomarker sensitive to pre-symptomatic AD pathology. Comparison between cognitively matched normal adult subgroups, delineated according to the amyloid biomarker, revealed abnormal degeneration in basal forebrain, but not entorhinal cortex. Abnormal degeneration in both basal forebrain and entorhinal cortex was only observed among prodromal (mildly amnestic) individuals. We provide evidence that basal forebrain pathology precedes and predicts both entorhinal pathology and memory impairment, challenging the widely held belief that AD has a cortical origin.&quot;,&quot;publisher&quot;:&quot;Nature Publishing Group&quot;,&quot;volume&quot;:&quot;7&quot;},&quot;isTemporary&quot;:false}],&quot;properties&quot;:{&quot;noteIndex&quot;:0},&quot;isEdited&quot;:false,&quot;manualOverride&quot;:{&quot;isManuallyOverriden&quot;:false,&quot;citeprocText&quot;:&quot;&lt;sup&gt;16,34–36&lt;/sup&gt;&quot;,&quot;manualOverrideText&quot;:&quot;&quot;},&quot;citationTag&quot;:&quot;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&quot;},{&quot;citationID&quot;:&quot;MENDELEY_CITATION_d5eba668-1b7e-47fe-b0df-06e981a6c5a1&quot;,&quot;citationItems&quot;:[{&quot;id&quot;:&quot;6af2fcab-ec23-31f5-8dae-c31c1d9d3dad&quot;,&quot;itemData&quot;:{&quot;type&quot;:&quot;article-journal&quot;,&quot;id&quot;:&quot;6af2fcab-ec23-31f5-8dae-c31c1d9d3dad&quot;,&quot;title&quot;:&quot;Theta oscillations in the hippocampus&quot;,&quot;author&quot;:[{&quot;family&quot;:&quot;Buzsáki&quot;,&quot;given&quot;:&quot;György&quot;,&quot;parse-names&quot;:false,&quot;dropping-particle&quot;:&quot;&quot;,&quot;non-dropping-particle&quot;:&quot;&quot;}],&quot;container-title&quot;:&quot;Neuron&quot;,&quot;accessed&quot;:{&quot;date-parts&quot;:[[2021,7,19]]},&quot;DOI&quot;:&quot;10.1016/S0896-6273(02)00586-X&quot;,&quot;ISSN&quot;:&quot;08966273&quot;,&quot;PMID&quot;:&quot;11832222&quot;,&quot;URL&quot;:&quot;https://pubmed.ncbi.nlm.nih.gov/11832222/&quot;,&quot;issued&quot;:{&quot;date-parts&quot;:[[2002,1,31]]},&quot;page&quot;:&quot;325-340&quot;,&quot;abstract&quot;:&quot;Theta oscillations represent the \&quot;on-line\&quot; state of the hippocampus. The extracellular currents underlying theta waves are generated mainly by the entorhinal input, CA3 (Schaffer) collaterals, and voltage-dependent Ca2+ currents in pyramidal cell dendrites. The rhythm is believed to be critical for temporal coding/decoding of active neuronal ensembles and the modification of synaptic weights. Nevertheless, numerous critical issues regarding both the generation of theta oscillations and their functional significance remain challenges for future research.&quot;,&quot;publisher&quot;:&quot;Cell Press&quot;,&quot;issue&quot;:&quot;3&quot;,&quot;volume&quot;:&quot;33&quot;},&quot;isTemporary&quot;:false}],&quot;properties&quot;:{&quot;noteIndex&quot;:0},&quot;isEdited&quot;:false,&quot;manualOverride&quot;:{&quot;isManuallyOverriden&quot;:false,&quot;citeprocText&quot;:&quot;&lt;sup&gt;37&lt;/sup&gt;&quot;,&quot;manualOverrideText&quot;:&quot;&quot;},&quot;citationTag&quot;:&quot;MENDELEY_CITATION_v3_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&quot;},{&quot;citationID&quot;:&quot;MENDELEY_CITATION_660b4d2b-221d-47b0-b9e5-79c1f6a62cb6&quot;,&quot;citationItems&quot;:[{&quot;id&quot;:&quot;bf8c7194-da92-339f-980a-5ecd23dbf33b&quot;,&quot;itemData&quot;:{&quot;type&quot;:&quot;article-journal&quot;,&quot;id&quot;:&quot;bf8c7194-da92-339f-980a-5ecd23dbf33b&quot;,&quot;title&quot;:&quot;Brain structures and mechanisms involved in the generation of REM sleep&quot;,&quot;author&quot;:[{&quot;family&quot;:&quot;Reinoso-Suárez&quot;,&quot;given&quot;:&quot;Fernando&quot;,&quot;parse-names&quot;:false,&quot;dropping-particle&quot;:&quot;&quot;,&quot;non-dropping-particle&quot;:&quot;&quot;},{&quot;family&quot;:&quot;Andrés&quot;,&quot;given&quot;:&quot;Isabel&quot;,&quot;parse-names&quot;:false,&quot;dropping-particle&quot;:&quot;&quot;,&quot;non-dropping-particle&quot;:&quot;de&quot;},{&quot;family&quot;:&quot;Rodrigo-Angulo&quot;,&quot;given&quot;:&quot;Margarita L.&quot;,&quot;parse-names&quot;:false,&quot;dropping-particle&quot;:&quot;&quot;,&quot;non-dropping-particle&quot;:&quot;&quot;},{&quot;family&quot;:&quot;Garzón&quot;,&quot;given&quot;:&quot;Miguel&quot;,&quot;parse-names&quot;:false,&quot;dropping-particle&quot;:&quot;&quot;,&quot;non-dropping-particle&quot;:&quot;&quot;}],&quot;container-title&quot;:&quot;Sleep Medicine Reviews&quot;,&quot;accessed&quot;:{&quot;date-parts&quot;:[[2021,6,30]]},&quot;DOI&quot;:&quot;10.1053/smrv.2000.0136&quot;,&quot;ISSN&quot;:&quot;10870792&quot;,&quot;URL&quot;:&quot;https://pubmed.ncbi.nlm.nih.gov/12531045/&quot;,&quot;issued&quot;:{&quot;date-parts&quot;:[[2001]]},&quot;page&quot;:&quot;63-77&quot;,&quot;abstract&quot;:&quot;This article reviews the central nervous mechanisms involved in the broad network that generates and maintains REM sleep. Experimental investigations have identified the pontine tegmentum as the critical substrate for REM sleep mechanisms. Several pontine structures are involved in the generation of each particular polygraphic event that characterizes REM sleep: desynchronization in the electroencephalogram, theta rhythm in the hippocampus, muscle atonia, pontogeniculooccipital waves and rapid eye movements. The pontine tegmentum also holds the region where cholinergic stimulation can trigger all the behavioural and bioelectric signs of REM sleep. The exact location has been investigated and amply discussed over the last few years. Studies in the authors' laboratory, mapping the pontine tegmentum with small volume carbachol (a cholinergic agonist) microinjections, have demonstrated that the executive neurons for REM sleep generation are neither located in the dorsal part of the pontine tegmentum, nor diffusely spread through the medial pontine reticular formation: they are concentrated in a discrete area in the ventral part of the oral pontine reticular nucleus (vRPO). In turn, the vRPO has connections with structures involved in the generation of the other states of the sleep-wake cycle as well as with structures responsible for the generation of each of the different events characterizing REM sleep. This allows us to propose the vRPO as the crucial region for REM sleep generation. Related research, with in-vivo and in-vitro experiments, into the actions of different neurotransmitters on vRPO neurones indicates that not only acetylcholine but other neurotransmitters have an active key role in vRPO REM sleep generation mechanisms. © 2001 Harcourt Publishers Ltd.&quot;,&quot;publisher&quot;:&quot;W.B. Saunders Ltd&quot;,&quot;issue&quot;:&quot;1&quot;,&quot;volume&quot;:&quot;5&quot;},&quot;isTemporary&quot;:false}],&quot;properties&quot;:{&quot;noteIndex&quot;:0},&quot;isEdited&quot;:false,&quot;manualOverride&quot;:{&quot;isManuallyOverriden&quot;:false,&quot;citeprocText&quot;:&quot;&lt;sup&gt;1&lt;/sup&gt;&quot;,&quot;manualOverrideText&quot;:&quot;&quot;},&quot;citationTag&quot;:&quot;MENDELEY_CITATION_v3_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&quot;},{&quot;citationID&quot;:&quot;MENDELEY_CITATION_e83caa8e-87e4-4d65-bbed-5a5dd8afa8c9&quot;,&quot;citationItems&quot;:[{&quot;id&quot;:&quot;f0fa78f3-ff5e-3a81-8e94-8a20bea55ef2&quot;,&quot;itemData&quot;:{&quot;type&quot;:&quot;article-journal&quot;,&quot;id&quot;:&quot;f0fa78f3-ff5e-3a81-8e94-8a20bea55ef2&quot;,&quot;title&quot;:&quot;The cholinergic system in the pathophysiology and treatment of Alzheimer's disease&quot;,&quot;author&quot;:[{&quot;family&quot;:&quot;Hampel&quot;,&quot;given&quot;:&quot;Harald&quot;,&quot;parse-names&quot;:false,&quot;dropping-particle&quot;:&quot;&quot;,&quot;non-dropping-particle&quot;:&quot;&quot;},{&quot;family&quot;:&quot;Mesulam&quot;,&quot;given&quot;:&quot;M. Marsel&quot;,&quot;parse-names&quot;:false,&quot;dropping-particle&quot;:&quot;&quot;,&quot;non-dropping-particle&quot;:&quot;&quot;},{&quot;family&quot;:&quot;Cuello&quot;,&quot;given&quot;:&quot;A. Claudio&quot;,&quot;parse-names&quot;:false,&quot;dropping-particle&quot;:&quot;&quot;,&quot;non-dropping-particle&quot;:&quot;&quot;},{&quot;family&quot;:&quot;Farlow&quot;,&quot;given&quot;:&quot;Martin R.&quot;,&quot;parse-names&quot;:false,&quot;dropping-particle&quot;:&quot;&quot;,&quot;non-dropping-particle&quot;:&quot;&quot;},{&quot;family&quot;:&quot;Giacobini&quot;,&quot;given&quot;:&quot;Ezio&quot;,&quot;parse-names&quot;:false,&quot;dropping-particle&quot;:&quot;&quot;,&quot;non-dropping-particle&quot;:&quot;&quot;},{&quot;family&quot;:&quot;Grossberg&quot;,&quot;given&quot;:&quot;George T.&quot;,&quot;parse-names&quot;:false,&quot;dropping-particle&quot;:&quot;&quot;,&quot;non-dropping-particle&quot;:&quot;&quot;},{&quot;family&quot;:&quot;Khachaturian&quot;,&quot;given&quot;:&quot;Ara S.&quot;,&quot;parse-names&quot;:false,&quot;dropping-particle&quot;:&quot;&quot;,&quot;non-dropping-particle&quot;:&quot;&quot;},{&quot;family&quot;:&quot;Vergallo&quot;,&quot;given&quot;:&quot;Andrea&quot;,&quot;parse-names&quot;:false,&quot;dropping-particle&quot;:&quot;&quot;,&quot;non-dropping-particle&quot;:&quot;&quot;},{&quot;family&quot;:&quot;Cavedo&quot;,&quot;given&quot;:&quot;Enrica&quot;,&quot;parse-names&quot;:false,&quot;dropping-particle&quot;:&quot;&quot;,&quot;non-dropping-particle&quot;:&quot;&quot;},{&quot;family&quot;:&quot;Snyder&quot;,&quot;given&quot;:&quot;Peter J.&quot;,&quot;parse-names&quot;:false,&quot;dropping-particle&quot;:&quot;&quot;,&quot;non-dropping-particle&quot;:&quot;&quot;},{&quot;family&quot;:&quot;Khachaturian&quot;,&quot;given&quot;:&quot;Zaven S.&quot;,&quot;parse-names&quot;:false,&quot;dropping-particle&quot;:&quot;&quot;,&quot;non-dropping-particle&quot;:&quot;&quot;}],&quot;container-title&quot;:&quot;Brain&quot;,&quot;accessed&quot;:{&quot;date-parts&quot;:[[2021,6,30]]},&quot;DOI&quot;:&quot;10.1093/brain/awy132&quot;,&quot;ISSN&quot;:&quot;14602156&quot;,&quot;PMID&quot;:&quot;29850777&quot;,&quot;URL&quot;:&quot;https://pubmed.ncbi.nlm.nih.gov/29850777/&quot;,&quot;issued&quot;:{&quot;date-parts&quot;:[[2018,7,1]]},&quot;page&quot;:&quot;1917-1933&quot;,&quot;abstract&quot;:&quot;Cholinergic synapses are ubiquitous in the human central nervous system. Their high density in the thalamus, striatum, limbic system, and neocortex suggest that cholinergic transmission is likely to be critically important for memory, learning, attention and other higher brain functions. Several lines of research suggest additional roles for cholinergic systems in overall brain homeostasis and plasticity. As such, the brain's cholinergic system occupies a central role in ongoing research related to normal cognition and age-related cognitive decline, including dementias such as Alzheimer's disease. The cholinergic hypothesis of Alzheimer's disease centres on the progressive loss of limbic and neocortical cholinergic innervation. Neurofibrillary degeneration in the basal forebrain is believed to be the primary cause for the dysfunction and death of forebrain cholinergic neurons, giving rise to a widespread presynaptic cholinergic denervation. Cholinesterase inhibitors increase the availability of acetylcholine at synapses in the brain and are one of the few drug therapies that have been proven clinically useful in the treatment of Alzheimer's disease dementia, thus validating the cholinergic system as an important therapeutic target in the disease. This review includes an overview of the role of the cholinergic system in cognition and an updated understanding of how cholinergic deficits in Alzheimer's disease interact with other aspects of disease pathophysiology, including plaques composed of amyloid-β proteins. This review also documents the benefits of cholinergic therapies at various stages of Alzheimer's disease and during long-term follow-up as visualized in novel imaging studies. The weight of the evidence supports the continued value of cholinergic drugs as a standard, cornerstone pharmacological approach in Alzheimer's disease, particularly as we look ahead to future combination therapies that address symptoms as well as disease progression.&quot;,&quot;publisher&quot;:&quot;Oxford University Press&quot;,&quot;issue&quot;:&quot;7&quot;,&quot;volume&quot;:&quot;141&quot;},&quot;isTemporary&quot;:false}],&quot;properties&quot;:{&quot;noteIndex&quot;:0},&quot;isEdited&quot;:false,&quot;manualOverride&quot;:{&quot;isManuallyOverriden&quot;:false,&quot;citeprocText&quot;:&quot;&lt;sup&gt;38&lt;/sup&gt;&quot;,&quot;manualOverrideText&quot;:&quot;&quot;},&quot;citationTag&quot;:&quot;MENDELEY_CITATION_v3_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&quot;},{&quot;citationID&quot;:&quot;MENDELEY_CITATION_9e1a1aaf-5478-4ca3-a6e4-fe8e784bc26e&quot;,&quot;citationItems&quot;:[{&quot;id&quot;:&quot;d6d14ee2-ad58-3d51-b4d1-b721aba392cb&quot;,&quot;itemData&quot;:{&quot;type&quot;:&quot;article-journal&quot;,&quot;id&quot;:&quot;d6d14ee2-ad58-3d51-b4d1-b721aba392cb&quot;,&quot;title&quot;:&quot;Quantitative EEG of Rapid-Eye-Movement Sleep: A Marker of Amnestic Mild Cognitive Impairment&quot;,&quot;author&quot;:[{&quot;family&quot;:&quot;Brayet&quot;,&quot;given&quot;:&quot;Pauline&quot;,&quot;parse-names&quot;:false,&quot;dropping-particle&quot;:&quot;&quot;,&quot;non-dropping-particle&quot;:&quot;&quot;},{&quot;family&quot;:&quot;Petit&quot;,&quot;given&quot;:&quot;Dominique&quot;,&quot;parse-names&quot;:false,&quot;dropping-particle&quot;:&quot;&quot;,&quot;non-dropping-particle&quot;:&quot;&quot;},{&quot;family&quot;:&quot;Frauscher&quot;,&quot;given&quot;:&quot;Birgit&quot;,&quot;parse-names&quot;:false,&quot;dropping-particle&quot;:&quot;&quot;,&quot;non-dropping-particle&quot;:&quot;&quot;},{&quot;family&quot;:&quot;Gagnon&quot;,&quot;given&quot;:&quot;Jean François&quot;,&quot;parse-names&quot;:false,&quot;dropping-particle&quot;:&quot;&quot;,&quot;non-dropping-particle&quot;:&quot;&quot;},{&quot;family&quot;:&quot;Gosselin&quot;,&quot;given&quot;:&quot;Nadia&quot;,&quot;parse-names&quot;:false,&quot;dropping-particle&quot;:&quot;&quot;,&quot;non-dropping-particle&quot;:&quot;&quot;},{&quot;family&quot;:&quot;Gagnon&quot;,&quot;given&quot;:&quot;Katia&quot;,&quot;parse-names&quot;:false,&quot;dropping-particle&quot;:&quot;&quot;,&quot;non-dropping-particle&quot;:&quot;&quot;},{&quot;family&quot;:&quot;Rouleau&quot;,&quot;given&quot;:&quot;Isabelle&quot;,&quot;parse-names&quot;:false,&quot;dropping-particle&quot;:&quot;&quot;,&quot;non-dropping-particle&quot;:&quot;&quot;},{&quot;family&quot;:&quot;Montplaisir&quot;,&quot;given&quot;:&quot;Jacques&quot;,&quot;parse-names&quot;:false,&quot;dropping-particle&quot;:&quot;&quot;,&quot;non-dropping-particle&quot;:&quot;&quot;}],&quot;container-title&quot;:&quot;Clinical EEG and Neuroscience&quot;,&quot;accessed&quot;:{&quot;date-parts&quot;:[[2019,7,28]]},&quot;DOI&quot;:&quot;10.1177/1550059415603050&quot;,&quot;ISSN&quot;:&quot;21695202&quot;,&quot;issued&quot;:{&quot;date-parts&quot;:[[2016]]},&quot;abstract&quot;:&quot;© EEG and Clinical Neuroscience Society. The basal forebrain cholinergic system, which is impaired in early Alzheimer's disease, is more crucial for the activation of rapid-eye-movement (REM) sleep electroencephalogram (EEG) than it is for wakefulness. Quantitative EEG from REM sleep might thus provide an earlier and more accurate marker of the development of Alzheimer's disease in subjects with mild cognitive impairment (MCI) subjects than that from wakefulness. To assess the superiority of the REM sleep EEG as a screening tool for preclinical Alzheimer's disease, 22 subjects with amnestic MCI (a-MCI; 63.9 ± 7.7 years), 10 subjects with nonamnestic MCI (na-MCI; 64.1 ± 4.5 years) and 32 controls (63.7 ± 6.6 years) participated in the study. Spectral analyses of the waking EEG and REM sleep EEG were performed and the [(delta + theta)/(alpha + beta)] ratio was used to assess between-group differences in EEG slowing. The a-MCI subgroup showed EEG slowing in frontal lateral regions compared to both na-MCI and control groups. This EEG slowing was present in wakefulness (compared to controls) but was much more prominent in REM sleep. Moreover, the comparison between amnestic and nonamnestic subjects was found significant only for the REM sleep EEG. There was no difference in EEG power ratio between na-MCI and controls for any of the 7 cortical regions studied. These findings demonstrate the superiority of the REM sleep EEG in the discrimination between a-MCI and both na-MCI and control subjects.&quot;},&quot;isTemporary&quot;:false},{&quot;id&quot;:&quot;e1c89dac-a2fa-33b1-ae54-4d4fd8d9e34e&quot;,&quot;itemData&quot;:{&quot;type&quot;:&quot;article-journal&quot;,&quot;id&quot;:&quot;e1c89dac-a2fa-33b1-ae54-4d4fd8d9e34e&quot;,&quot;title&quot;:&quot;Regional spectral analysis of the REM sleep EEG in mild to moderate Alzheimer's disease.&quot;,&quot;author&quot;:[{&quot;family&quot;:&quot;Petit&quot;,&quot;given&quot;:&quot;D&quot;,&quot;parse-names&quot;:false,&quot;dropping-particle&quot;:&quot;&quot;,&quot;non-dropping-particle&quot;:&quot;&quot;},{&quot;family&quot;:&quot;Lorrain&quot;,&quot;given&quot;:&quot;D&quot;,&quot;parse-names&quot;:false,&quot;dropping-particle&quot;:&quot;&quot;,&quot;non-dropping-particle&quot;:&quot;&quot;},{&quot;family&quot;:&quot;Gauthier&quot;,&quot;given&quot;:&quot;S&quot;,&quot;parse-names&quot;:false,&quot;dropping-particle&quot;:&quot;&quot;,&quot;non-dropping-particle&quot;:&quot;&quot;},{&quot;family&quot;:&quot;Montplaisir&quot;,&quot;given&quot;:&quot;J&quot;,&quot;parse-names&quot;:false,&quot;dropping-particle&quot;:&quot;&quot;,&quot;non-dropping-particle&quot;:&quot;&quot;}],&quot;container-title&quot;:&quot;Neurobiology of aging&quot;,&quot;DOI&quot;:&quot;10.1016/0197-4580(93)90089-T&quot;,&quot;ISSN&quot;:&quot;0197-4580&quot;,&quot;PMID&quot;:&quot;8487916&quot;,&quot;issued&quot;:{&quot;date-parts&quot;:[[1993]]},&quot;page&quot;:&quot;141-5&quot;,&quot;abstract&quot;:&quot;Regional spectral analyses of the EEG during wakefulness and REM sleep was performed in eight patients with mild to moderate Alzheimer's disease and compared to that of healthy age-matched controls. Alzheimer patients presented some EEG slowing in frontal, parieto-occipital and temporal regions in the waking state. However, this EEG slowing was much better revealed in REM sleep, whether expressed by the ratio of slow to fast frequencies or by changes in each of the frequency bands. Moreover, regional differences in EEG slowing, relatively nonexistent in the awake EEG, were a prominent feature of the REM sleep EEG. Importance of cholinergic basal forebrain in the desynchronization of the REM sleep EEG might explain these results because this structure is affected in early Alzheimer's disease.&quot;,&quot;issue&quot;:&quot;2&quot;,&quot;volume&quot;:&quot;14&quot;},&quot;isTemporary&quot;:false}],&quot;properties&quot;:{&quot;noteIndex&quot;:0},&quot;isEdited&quot;:false,&quot;manualOverride&quot;:{&quot;isManuallyOverriden&quot;:false,&quot;citeprocText&quot;:&quot;&lt;sup&gt;5,12&lt;/sup&gt;&quot;,&quot;manualOverrideText&quot;:&quot;&quot;},&quot;citationTag&quot;:&quot;MENDELEY_CITATION_v3_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&quot;},{&quot;citationID&quot;:&quot;MENDELEY_CITATION_6b24e116-184a-4476-b4a2-4fd15cb170df&quot;,&quot;citationItems&quot;:[{&quot;id&quot;:&quot;903c33f8-d93a-3889-b705-ddc1cb1ff2bb&quot;,&quot;itemData&quot;:{&quot;type&quot;:&quot;article-journal&quot;,&quot;id&quot;:&quot;903c33f8-d93a-3889-b705-ddc1cb1ff2bb&quot;,&quot;title&quot;:&quot;The effect of donepezil on sleep and REM sleep EEG in patients with Alzheimer disease: A double-blind placebo-controlled study&quot;,&quot;author&quot;:[{&quot;family&quot;:&quot;Santos Moraes&quot;,&quot;given&quot;:&quot;Walter André&quot;,&quot;parse-names&quot;:false,&quot;dropping-particle&quot;:&quot;&quot;,&quot;non-dropping-particle&quot;:&quot;dos&quot;},{&quot;family&quot;:&quot;Poyares&quot;,&quot;given&quot;:&quot;Dalva Rollemberg&quot;,&quot;parse-names&quot;:false,&quot;dropping-particle&quot;:&quot;&quot;,&quot;non-dropping-particle&quot;:&quot;&quot;},{&quot;family&quot;:&quot;Guilleminault&quot;,&quot;given&quot;:&quot;Christian&quot;,&quot;parse-names&quot;:false,&quot;dropping-particle&quot;:&quot;&quot;,&quot;non-dropping-particle&quot;:&quot;&quot;},{&quot;family&quot;:&quot;Ramos&quot;,&quot;given&quot;:&quot;Luiz Roberto&quot;,&quot;parse-names&quot;:false,&quot;dropping-particle&quot;:&quot;&quot;,&quot;non-dropping-particle&quot;:&quot;&quot;},{&quot;family&quot;:&quot;Ferreira Bertolucci&quot;,&quot;given&quot;:&quot;Paulo Henrique&quot;,&quot;parse-names&quot;:false,&quot;dropping-particle&quot;:&quot;&quot;,&quot;non-dropping-particle&quot;:&quot;&quot;},{&quot;family&quot;:&quot;Tufik&quot;,&quot;given&quot;:&quot;Sergio&quot;,&quot;parse-names&quot;:false,&quot;dropping-particle&quot;:&quot;&quot;,&quot;non-dropping-particle&quot;:&quot;&quot;}],&quot;container-title&quot;:&quot;Sleep&quot;,&quot;accessed&quot;:{&quot;date-parts&quot;:[[2021,7,19]]},&quot;DOI&quot;:&quot;10.1093/sleep/29.2.199&quot;,&quot;ISSN&quot;:&quot;01618105&quot;,&quot;PMID&quot;:&quot;16494088&quot;,&quot;URL&quot;:&quot;https://pubmed.ncbi.nlm.nih.gov/16494088/&quot;,&quot;issued&quot;:{&quot;date-parts&quot;:[[2006,2,1]]},&quot;page&quot;:&quot;199-205&quot;,&quot;abstract&quot;:&quot;Study Objective: Examine the effects of donepezil on sleep and rapid eye movement (REM) sleep electroencephalogram (EEG) in patients with Alzheimer disease, using polysomnography, and the correlation between REM sleep EEG parameters and cognitive scores. Design: Randomized, double-blind, placebo-controlled design. Settings: Two sleep research centers, University Hospital. Participants: Thirty-five patients with mild to moderate Alzheimer disease, allocated to 2 groups: donepezil treated (n=17) and placebo treated (n=18). Intervention: Patients were administered donepezil or placebo. Outcome Measures: Polysomnography with REM sleep EEG spectral analysis and cognitive evaluation using the Alzheimer Disease Assessment Scale, cognitive subscale, were performed at baseline and after 3 and 6 months. Slowing ratio was the ratio between slow and fast EEG frequency bands. Cognitive and sleep data were analyzed using analysis of variance. Correlations between cognitive improvement and REM sleep EEG were also calculated. Results: REM sleep increased significantly after 3 and 6 months of donepezil treatment compared with baseline and placebo (p &lt; .01). Overall theta (p = .04), frontal theta (p &lt; .01) and frontal delta (p = .03) absolute power during REM sleep decreased after 6 months of donepezil treatment. The occipital slowing ratio decreased during treatment (p = .04). REM sleep overall and frontal and centroparietal alpha absolute power significantly correlated with the cognitive improvement rate on the Alzheimer Disease Assessment Scale, cognitive subscale (r = 0.75, r = 0.71, r = 0.78); p &lt;.01). Conclusions: Donepezil treatment enhanced REM sleep and reduced slow frequencies of REM sleep EEG, suggesting a possible action upon REM sleep-related cholinergic neurons in patients with Alzheimer disease. Furthermore, REM sleep alpha power may predict the cognitive response to donepezil.&quot;,&quot;publisher&quot;:&quot;American Academy of Sleep Medicine&quot;,&quot;issue&quot;:&quot;2&quot;,&quot;volume&quot;:&quot;29&quot;},&quot;isTemporary&quot;:false}],&quot;properties&quot;:{&quot;noteIndex&quot;:0},&quot;isEdited&quot;:false,&quot;manualOverride&quot;:{&quot;isManuallyOverriden&quot;:false,&quot;citeprocText&quot;:&quot;&lt;sup&gt;39&lt;/sup&gt;&quot;,&quot;manualOverrideText&quot;:&quot;&quot;},&quot;citationTag&quot;:&quot;MENDELEY_CITATION_v3_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&quot;},{&quot;citationID&quot;:&quot;MENDELEY_CITATION_abad0e40-53ef-4e6f-a11c-2649be1c6146&quot;,&quot;citationItems&quot;:[{&quot;id&quot;:&quot;9489188f-245d-3bc6-b407-150c712069fc&quot;,&quot;itemData&quot;:{&quot;type&quot;:&quot;article-journal&quot;,&quot;id&quot;:&quot;9489188f-245d-3bc6-b407-150c712069fc&quot;,&quot;title&quot;:&quot;Upregulation of choline acetyltransferase activity in hippocampus and frontal cortex of elderly subjects with mild cognitive impairment&quot;,&quot;author&quot;:[{&quot;family&quot;:&quot;DeKosky&quot;,&quot;given&quot;:&quot;Steven T.&quot;,&quot;parse-names&quot;:false,&quot;dropping-particle&quot;:&quot;&quot;,&quot;non-dropping-particle&quot;:&quot;&quot;},{&quot;family&quot;:&quot;Ikonomovic&quot;,&quot;given&quot;:&quot;Milos D.&quot;,&quot;parse-names&quot;:false,&quot;dropping-particle&quot;:&quot;&quot;,&quot;non-dropping-particle&quot;:&quot;&quot;},{&quot;family&quot;:&quot;Styren&quot;,&quot;given&quot;:&quot;Scot D.&quot;,&quot;parse-names&quot;:false,&quot;dropping-particle&quot;:&quot;&quot;,&quot;non-dropping-particle&quot;:&quot;&quot;},{&quot;family&quot;:&quot;Beckett&quot;,&quot;given&quot;:&quot;Laurel&quot;,&quot;parse-names&quot;:false,&quot;dropping-particle&quot;:&quot;&quot;,&quot;non-dropping-particle&quot;:&quot;&quot;},{&quot;family&quot;:&quot;Wisniewski&quot;,&quot;given&quot;:&quot;Stephen&quot;,&quot;parse-names&quot;:false,&quot;dropping-particle&quot;:&quot;&quot;,&quot;non-dropping-particle&quot;:&quot;&quot;},{&quot;family&quot;:&quot;Bennett&quot;,&quot;given&quot;:&quot;David A.&quot;,&quot;parse-names&quot;:false,&quot;dropping-particle&quot;:&quot;&quot;,&quot;non-dropping-particle&quot;:&quot;&quot;},{&quot;family&quot;:&quot;Cochran&quot;,&quot;given&quot;:&quot;Elizabeth J.&quot;,&quot;parse-names&quot;:false,&quot;dropping-particle&quot;:&quot;&quot;,&quot;non-dropping-particle&quot;:&quot;&quot;},{&quot;family&quot;:&quot;Kordower&quot;,&quot;given&quot;:&quot;Jeffrey H.&quot;,&quot;parse-names&quot;:false,&quot;dropping-particle&quot;:&quot;&quot;,&quot;non-dropping-particle&quot;:&quot;&quot;},{&quot;family&quot;:&quot;Mufson&quot;,&quot;given&quot;:&quot;Elliott J.&quot;,&quot;parse-names&quot;:false,&quot;dropping-particle&quot;:&quot;&quot;,&quot;non-dropping-particle&quot;:&quot;&quot;}],&quot;container-title&quot;:&quot;Annals of Neurology&quot;,&quot;accessed&quot;:{&quot;date-parts&quot;:[[2021,7,19]]},&quot;DOI&quot;:&quot;10.1002/ana.10069&quot;,&quot;ISSN&quot;:&quot;03645134&quot;,&quot;PMID&quot;:&quot;11835370&quot;,&quot;URL&quot;:&quot;https://pubmed.ncbi.nlm.nih.gov/11835370/&quot;,&quot;issued&quot;:{&quot;date-parts&quot;:[[2002]]},&quot;page&quot;:&quot;145-155&quot;,&quot;abstract&quot;:&quot;In Alzheimer's disease (AD), loss of cortical and hippocampal choline acetyltransferase (ChAT) activity has been correlated with dementia severity and disease duration, and it forms the basis for current therapies. However, the extent to which reductions in ChAT activity are associated with early cognitive decline has not been well established. We quantified ChAT activity in the hippocampus and four cortical regions (superior frontal, inferior parietal, superior temporal, and anterior cingulate) of 58 individuals diagnosed with no cognitive impairment (NCI; n = 26; mean age 81.4 ± 7.3 years), mild cognitive impairment (MCI; n = 18; mean age 84.5 ± 5.7), or mild AD (n = 14; mean age 86.3 ± 6.6). Inferior parietal cortex ChAT activity was also assessed in 12 subjects with end-stage AD (mean age 81.4 ± 4.3 years) and compared to inferior parietal cortex ChAT levels of the other three groups. Only the end-stage AD group had ChAT levels reduced below normal. In individuals with MCI and mild AD, ChAT activity was unchanged in the inferior parietal, superior temporal, and anterior cingulate cortices compared to NCI. In contrast, ChAT activity in the superior frontal cortex was significantly elevated above normal controls in MCI subjects, whereas the mild AD group was not different from NCI or MCI. Hippocampal ChAT activity was significantly higher in MCI subjects than in either NCI or AD. Our results suggest that cognitive deficits in MCI and early AD are not associated with the loss of ChAT and occur despite regionally specific upregulation. Thus, the earliest cognitive deficits in AD involve brain changes other than simply cholinergic system loss. Of importance, the cholinergic system is capable of compensatory responses during the early stage of dementia. The upregulation in frontal cortex and hippocampal ChAT activity could be an important factor in preventing the transition of MCI subjects to AD.&quot;,&quot;publisher&quot;:&quot;Ann Neurol&quot;,&quot;issue&quot;:&quot;2&quot;,&quot;volume&quot;:&quot;51&quot;},&quot;isTemporary&quot;:false},{&quot;id&quot;:&quot;40951d0b-4bee-3390-bb18-673c9edd070a&quot;,&quot;itemData&quot;:{&quot;type&quot;:&quot;article-journal&quot;,&quot;id&quot;:&quot;40951d0b-4bee-3390-bb18-673c9edd070a&quot;,&quot;title&quot;:&quot;Cholinergic plasticity in hippocampus of individuals with mild cognitive impairment: Correlation with Alzheimer's neuropathology&quot;,&quot;author&quot;:[{&quot;family&quot;:&quot;Ikonomovic&quot;,&quot;given&quot;:&quot;Milos D.&quot;,&quot;parse-names&quot;:false,&quot;dropping-particle&quot;:&quot;&quot;,&quot;non-dropping-particle&quot;:&quot;&quot;},{&quot;family&quot;:&quot;Mufson&quot;,&quot;given&quot;:&quot;Elliott J.&quot;,&quot;parse-names&quot;:false,&quot;dropping-particle&quot;:&quot;&quot;,&quot;non-dropping-particle&quot;:&quot;&quot;},{&quot;family&quot;:&quot;Wuu&quot;,&quot;given&quot;:&quot;Joanne&quot;,&quot;parse-names&quot;:false,&quot;dropping-particle&quot;:&quot;&quot;,&quot;non-dropping-particle&quot;:&quot;&quot;},{&quot;family&quot;:&quot;Cochran&quot;,&quot;given&quot;:&quot;Elizabeth J.&quot;,&quot;parse-names&quot;:false,&quot;dropping-particle&quot;:&quot;&quot;,&quot;non-dropping-particle&quot;:&quot;&quot;},{&quot;family&quot;:&quot;Bennett&quot;,&quot;given&quot;:&quot;David A.&quot;,&quot;parse-names&quot;:false,&quot;dropping-particle&quot;:&quot;&quot;,&quot;non-dropping-particle&quot;:&quot;&quot;},{&quot;family&quot;:&quot;DeKosky&quot;,&quot;given&quot;:&quot;Steven T.&quot;,&quot;parse-names&quot;:false,&quot;dropping-particle&quot;:&quot;&quot;,&quot;non-dropping-particle&quot;:&quot;&quot;}],&quot;container-title&quot;:&quot;Journal of Alzheimer's Disease&quot;,&quot;accessed&quot;:{&quot;date-parts&quot;:[[2021,7,19]]},&quot;DOI&quot;:&quot;10.3233/JAD-2003-5106&quot;,&quot;ISSN&quot;:&quot;13872877&quot;,&quot;PMID&quot;:&quot;12590165&quot;,&quot;URL&quot;:&quot;https://pubmed.ncbi.nlm.nih.gov/12590165/&quot;,&quot;issued&quot;:{&quot;date-parts&quot;:[[2003]]},&quot;page&quot;:&quot;39-48&quot;,&quot;abstract&quot;:&quot;Several recent studies indicate that activity of cholinergic enzymes in the cortex of people with mild cognitive impairment (MCI) and early Alzheimer's disease (AD) are preserved. We correlated levels of hippocampal choline acetyltransferase (ChAT) activity with the extent of AD lesions in subjects from the Religious Order Study, including cases with no cognitive impairment (NCI), MCI, and with mild to moderate AD. Hippocampal ChAT activity levels were also determined in a group of end-stage AD patients who were enrolled in the University of Pittsburgh Alzheimer's Disease Research Center. MCI subjects were characterized with increased hippocampal ChAT activity. This elevation was no longer present in mild AD cases, which were not different from NCI subjects. Severe AD cases showed markedly depleted hippocampal ChAT levels. In NCI, MCI, and mild-moderate AD, there was a positive correlation between hippocampal ChAT activity levels and progression of neuritic plaque pathology in entorhinal cortex and hippocampus. A significant elevation of hippocampal ChAT in the MCI group was found selectively in the limbic (i.e., entorhinal-hippocampal, III/IV) Braak stages. We hypothesize that cholinergic changes in the hippocampus of MCI subjects reflect a compensatory response to the progressive denervation of the hippocampus by lost entorhinal cortex input. Moreover, the present findings suggest that the short-term memory loss observed in MCI is not caused by cholinergic deficits; it more likely relates to disrupted entorhinal-hippocampal connectivity.&quot;,&quot;publisher&quot;:&quot;IOS Press&quot;,&quot;issue&quot;:&quot;1&quot;,&quot;volume&quot;:&quot;5&quot;},&quot;isTemporary&quot;:false}],&quot;properties&quot;:{&quot;noteIndex&quot;:0},&quot;isEdited&quot;:false,&quot;manualOverride&quot;:{&quot;isManuallyOverriden&quot;:false,&quot;citeprocText&quot;:&quot;&lt;sup&gt;40,41&lt;/sup&gt;&quot;,&quot;manualOverrideText&quot;:&quot;&quot;},&quot;citationTag&quot;:&quot;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&quot;},{&quot;citationID&quot;:&quot;MENDELEY_CITATION_eb418dae-1e7b-4f18-902c-1d02ae220652&quot;,&quot;citationItems&quot;:[{&quot;id&quot;:&quot;e7199510-b129-3a0d-9d34-9a33d3923a4e&quot;,&quot;itemData&quot;:{&quot;type&quot;:&quot;article-journal&quot;,&quot;id&quot;:&quot;e7199510-b129-3a0d-9d34-9a33d3923a4e&quot;,&quot;title&quot;:&quot;Concurrent impairments in sleep and memory in amnestic mild cognitive impairment&quot;,&quot;author&quot;:[{&quot;family&quot;:&quot;Westerberg&quot;,&quot;given&quot;:&quot;Carmen E.&quot;,&quot;parse-names&quot;:false,&quot;dropping-particle&quot;:&quot;&quot;,&quot;non-dropping-particle&quot;:&quot;&quot;},{&quot;family&quot;:&quot;Mander&quot;,&quot;given&quot;:&quot;Bryce A.&quot;,&quot;parse-names&quot;:false,&quot;dropping-particle&quot;:&quot;&quot;,&quot;non-dropping-particle&quot;:&quot;&quot;},{&quot;family&quot;:&quot;Florczak&quot;,&quot;given&quot;:&quot;Susan M.&quot;,&quot;parse-names&quot;:false,&quot;dropping-particle&quot;:&quot;&quot;,&quot;non-dropping-particle&quot;:&quot;&quot;},{&quot;family&quot;:&quot;Weintraub&quot;,&quot;given&quot;:&quot;Sandra&quot;,&quot;parse-names&quot;:false,&quot;dropping-particle&quot;:&quot;&quot;,&quot;non-dropping-particle&quot;:&quot;&quot;},{&quot;family&quot;:&quot;Mesulam&quot;,&quot;given&quot;:&quot;M. Marsel&quot;,&quot;parse-names&quot;:false,&quot;dropping-particle&quot;:&quot;&quot;,&quot;non-dropping-particle&quot;:&quot;&quot;},{&quot;family&quot;:&quot;Zee&quot;,&quot;given&quot;:&quot;Phyllis C.&quot;,&quot;parse-names&quot;:false,&quot;dropping-particle&quot;:&quot;&quot;,&quot;non-dropping-particle&quot;:&quot;&quot;},{&quot;family&quot;:&quot;Paller&quot;,&quot;given&quot;:&quot;Ken A.&quot;,&quot;parse-names&quot;:false,&quot;dropping-particle&quot;:&quot;&quot;,&quot;non-dropping-particle&quot;:&quot;&quot;}],&quot;container-title&quot;:&quot;Journal of the International Neuropsychological Society&quot;,&quot;accessed&quot;:{&quot;date-parts&quot;:[[2019,7,28]]},&quot;DOI&quot;:&quot;10.1017/S135561771200001X&quot;,&quot;ISSN&quot;:&quot;14697661&quot;,&quot;issued&quot;:{&quot;date-parts&quot;:[[2012]]},&quot;abstract&quot;:&quot;Whereas patients with Alzheimer's disease (AD) experience difficulties forming and retrieving memories, their memory impairments may also partially reflect an unrecognized dysfunction in sleep-dependent consolidation that normally stabilizes declarative memory storage across cortical areas. Patients with amnestic mild cognitive impairment (aMCI) exhibit circumscribed declarative memory deficits, and many eventually progress to an AD diagnosis. Whether sleep is disrupted in aMCI and whether sleep disruptions contribute to memory impairment is unknown. We measured sleep physiology and memory for two nights and found that aMCI patients had fewer stage-2 spindles than age-matched healthy adults. Furthermore, aMCI patients spent less time in slow-wave sleep and showed lower delta and theta power during sleep compared to controls. Slow-wave and theta activity during sleep appear to reflect important aspects of memory processing, as evening-to-morning change in declarative memory correlated with delta and theta power during intervening sleep in both groups. These results suggest that sleep changes in aMCI patients contribute to memory impairments by interfering with sleep-dependent memory consolidation. © Copyright The International Neuropsychological Society 2012.&quot;},&quot;isTemporary&quot;:false},{&quot;id&quot;:&quot;12c95a21-ab15-3309-9eda-09c2902916ef&quot;,&quot;itemData&quot;:{&quot;type&quot;:&quot;article-journal&quot;,&quot;id&quot;:&quot;12c95a21-ab15-3309-9eda-09c2902916ef&quot;,&quot;title&quot;:&quot;Oscillatory EEG Activity During REM Sleep in Elderly People Predicts Subsequent Dream Recall After Awakenings&quot;,&quot;author&quot;:[{&quot;family&quot;:&quot;Scarpelli&quot;,&quot;given&quot;:&quot;Serena&quot;,&quot;parse-names&quot;:false,&quot;dropping-particle&quot;:&quot;&quot;,&quot;non-dropping-particle&quot;:&quot;&quot;},{&quot;family&quot;:&quot;D'Atri&quot;,&quot;given&quot;:&quot;Aurora&quot;,&quot;parse-names&quot;:false,&quot;dropping-particle&quot;:&quot;&quot;,&quot;non-dropping-particle&quot;:&quot;&quot;},{&quot;family&quot;:&quot;Bartolacci&quot;,&quot;given&quot;:&quot;Chiara&quot;,&quot;parse-names&quot;:false,&quot;dropping-particle&quot;:&quot;&quot;,&quot;non-dropping-particle&quot;:&quot;&quot;},{&quot;family&quot;:&quot;Mangiaruga&quot;,&quot;given&quot;:&quot;Anastasia&quot;,&quot;parse-names&quot;:false,&quot;dropping-particle&quot;:&quot;&quot;,&quot;non-dropping-particle&quot;:&quot;&quot;},{&quot;family&quot;:&quot;Gorgoni&quot;,&quot;given&quot;:&quot;Maurizio&quot;,&quot;parse-names&quot;:false,&quot;dropping-particle&quot;:&quot;&quot;,&quot;non-dropping-particle&quot;:&quot;&quot;},{&quot;family&quot;:&quot;Gennaro&quot;,&quot;given&quot;:&quot;Luigi&quot;,&quot;parse-names&quot;:false,&quot;dropping-particle&quot;:&quot;&quot;,&quot;non-dropping-particle&quot;:&quot;de&quot;}],&quot;container-title&quot;:&quot;Frontiers in Neurology&quot;,&quot;accessed&quot;:{&quot;date-parts&quot;:[[2021,7,19]]},&quot;DOI&quot;:&quot;10.3389/fneur.2019.00985&quot;,&quot;ISSN&quot;:&quot;16642295&quot;,&quot;URL&quot;:&quot;https://pubmed.ncbi.nlm.nih.gov/31620069/&quot;,&quot;issued&quot;:{&quot;date-parts&quot;:[[2019,9,20]]},&quot;page&quot;:&quot;985&quot;,&quot;abstract&quot;:&quot;Several findings underlined that the electrophysiological (EEG) background of the last segment of sleep before awakenings may predict the presence/absence of dream recall (DR) in young subjects. However, little is known about the EEG correlates of DR in elderly people. Only an investigation found differences between recall and non-recall conditions during NREM sleep EEG in older adults, while—surprisingly—no EEG predictor of DR was found for what concerns REM sleep. Considering REM sleep as a privileged scenario to produce mental sleep activity related to cognitive processes, our study aimed to investigate whether specific EEG topography and frequency changes during REM sleep in elderly people may predict a subsequent recall of mental sleep activity. Twenty-one healthy older volunteers (mean age 69.2 ± 6.07 SD) and 20 young adults (mean age 23.4 ± 2.76 SD) were recorded for one night from 19 scalp derivations. Dreams were collected upon morning awakenings from REM sleep. EEG signals of the last 5 min were analyzed by the Better OSCillation algorithm to detect the peaks of oscillatory activity in both groups. Statistical comparisons revealed that older as well as young individuals recall their dream experience when the last segment of REM sleep is characterized by frontal theta oscillations. No Recall (Recall vs. Non-Recall) × Age (Young vs. Older) interaction was found. This result replicated the previous evidence in healthy young subjects, as shown in within- and between-subjects design. The findings are completely original for older individuals, demonstrating that theta oscillations are crucial for the retrieval of dreaming also in this population. Furthermore, our results did not confirm a greater presence of the theta activity in healthy aging. Conversely, we found a greater amount of rhythmic theta and alpha activity in young than older participants. It is worth noting that the theta oscillations detected are related to cognitive functioning. We emphasize the notion that the oscillatory theta activity should be distinguished from the non-rhythmic theta activity identified in relation to other phenomena such as (a) sleepiness and hypoarousal conditions during the waking state and (b) cortical slowing, considered as an EEG alteration in clinical samples.&quot;,&quot;publisher&quot;:&quot;Frontiers Media S.A.&quot;,&quot;volume&quot;:&quot;10&quot;},&quot;isTemporary&quot;:false},{&quot;id&quot;:&quot;b3cad6e0-fa61-3b7b-b1e3-0a16e8fc88ae&quot;,&quot;itemData&quot;:{&quot;type&quot;:&quot;article-journal&quot;,&quot;id&quot;:&quot;b3cad6e0-fa61-3b7b-b1e3-0a16e8fc88ae&quot;,&quot;title&quot;:&quot;Age-dependent changes in sleep EEG topography.&quot;,&quot;author&quot;:[{&quot;family&quot;:&quot;Landolt&quot;,&quot;given&quot;:&quot;H P&quot;,&quot;parse-names&quot;:false,&quot;dropping-particle&quot;:&quot;&quot;,&quot;non-dropping-particle&quot;:&quot;&quot;},{&quot;family&quot;:&quot;Borbély&quot;,&quot;given&quot;:&quot;A A&quot;,&quot;parse-names&quot;:false,&quot;dropping-particle&quot;:&quot;&quot;,&quot;non-dropping-particle&quot;:&quot;&quot;}],&quot;container-title&quot;:&quot;Clinical neurophysiology : official journal of the International Federation of Clinical Neurophysiology&quot;,&quot;DOI&quot;:&quot;10.1016/S1388-2457(00)00542-3&quot;,&quot;ISSN&quot;:&quot;1388-2457&quot;,&quot;PMID&quot;:&quot;11165543&quot;,&quot;issued&quot;:{&quot;date-parts&quot;:[[2001]]},&quot;page&quot;:&quot;369-77&quot;,&quot;abstract&quot;:&quot;OBJECTIVE To assess age-related topographic changes in the sleep electroencephalogram (EEG). METHODS The sleep EEG records of young (mean age, 22.3 years) and middle-aged (mean age, 62.0 years) healthy men were compared. The EEG was obtained from 3 bipolar derivations (frontal-central (FC), central-parietal (CP), and parietal-occipital (PO)) along the antero-posterior axis. RESULTS The total sleep time, sleep efficiency, stage 2 and slow wave sleep (SWS) were lower in the middle-aged group, while sleep latency, stage 1 and wakefulness after sleep onset were higher. Spectral analysis documented the age-related reduction of EEG power in non-REM sleep (0.25-14 Hz), and REM sleep (0.75-10 Hz). However, the reduction was not uniform over the 3 derivations, but was most pronounced in the anterior derivation (FC) in the theta (both sleep states) and high-alpha/low-sigma bands (non-REM sleep). CONCLUSIONS These changes can be interpreted as age-related shifts of power from the anterior (FC) towards the middle derivation (CP). Aging not only reduces power in the sleep EEG, but causes frequency-specific changes in the brain topography. The results are consistent with the notion of sleep as a local process.&quot;,&quot;issue&quot;:&quot;2&quot;,&quot;volume&quot;:&quot;112&quot;},&quot;isTemporary&quot;:false}],&quot;properties&quot;:{&quot;noteIndex&quot;:0},&quot;isEdited&quot;:false,&quot;manualOverride&quot;:{&quot;isManuallyOverriden&quot;:false,&quot;citeprocText&quot;:&quot;&lt;sup&gt;42–44&lt;/sup&gt;&quot;,&quot;manualOverrideText&quot;:&quot;&quot;},&quot;citationTag&quot;:&quot;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&quot;},{&quot;citationID&quot;:&quot;MENDELEY_CITATION_293b65dc-4ee8-47ee-8254-62f61040882a&quot;,&quot;citationItems&quot;:[{&quot;id&quot;:&quot;76aaf20f-94aa-34f7-9eec-3236bbd077ff&quot;,&quot;itemData&quot;:{&quot;type&quot;:&quot;article-journal&quot;,&quot;id&quot;:&quot;76aaf20f-94aa-34f7-9eec-3236bbd077ff&quot;,&quot;title&quot;:&quot;Neuronal activity regulates the regional vulnerability to amyloid-β deposition&quot;,&quot;author&quot;:[{&quot;family&quot;:&quot;Bero&quot;,&quot;given&quot;:&quot;Adam W&quot;,&quot;parse-names&quot;:false,&quot;dropping-particle&quot;:&quot;&quot;,&quot;non-dropping-particle&quot;:&quot;&quot;},{&quot;family&quot;:&quot;Yan&quot;,&quot;given&quot;:&quot;Ping&quot;,&quot;parse-names&quot;:false,&quot;dropping-particle&quot;:&quot;&quot;,&quot;non-dropping-particle&quot;:&quot;&quot;},{&quot;family&quot;:&quot;Roh&quot;,&quot;given&quot;:&quot;Jee Hoon&quot;,&quot;parse-names&quot;:false,&quot;dropping-particle&quot;:&quot;&quot;,&quot;non-dropping-particle&quot;:&quot;&quot;},{&quot;family&quot;:&quot;Cirrito&quot;,&quot;given&quot;:&quot;John R&quot;,&quot;parse-names&quot;:false,&quot;dropping-particle&quot;:&quot;&quot;,&quot;non-dropping-particle&quot;:&quot;&quot;},{&quot;family&quot;:&quot;Stewart&quot;,&quot;given&quot;:&quot;Floy R&quot;,&quot;parse-names&quot;:false,&quot;dropping-particle&quot;:&quot;&quot;,&quot;non-dropping-particle&quot;:&quot;&quot;},{&quot;family&quot;:&quot;Raichle&quot;,&quot;given&quot;:&quot;Marcus E&quot;,&quot;parse-names&quot;:false,&quot;dropping-particle&quot;:&quot;&quot;,&quot;non-dropping-particle&quot;:&quot;&quot;},{&quot;family&quot;:&quot;Lee&quot;,&quot;given&quot;:&quot;Jin-Moo&quot;,&quot;parse-names&quot;:false,&quot;dropping-particle&quot;:&quot;&quot;,&quot;non-dropping-particle&quot;:&quot;&quot;},{&quot;family&quot;:&quot;Holtzman&quot;,&quot;given&quot;:&quot;David M&quot;,&quot;parse-names&quot;:false,&quot;dropping-particle&quot;:&quot;&quot;,&quot;non-dropping-particle&quot;:&quot;&quot;}],&quot;container-title&quot;:&quot;Nature Neuroscience&quot;,&quot;accessed&quot;:{&quot;date-parts&quot;:[[2019,7,28]]},&quot;DOI&quot;:&quot;10.1038/nn.2801&quot;,&quot;ISSN&quot;:&quot;1546-1726&quot;,&quot;PMID&quot;:&quot;21532579&quot;,&quot;URL&quot;:&quot;http://www.nature.com/articles/nn.2801&quot;,&quot;issued&quot;:{&quot;date-parts&quot;:[[2011,6,1]]},&quot;page&quot;:&quot;750-756&quot;,&quot;abstract&quot;:&quot;Amyloid-β (Aβ) plaque deposition in specific brain regions is a pathological hallmark of Alzheimer's disease. However, the mechanism underlying the regional vulnerability to Aβ deposition in Alzheimer's disease is unknown. Herein, we provide evidence that endogenous neuronal activity regulates the regional concentration of interstitial fluid (ISF) Aβ, which drives local Aβ aggregation. Using in vivo microdialysis, we show that ISF Aβ concentrations in several brain regions of APP transgenic mice before plaque deposition were commensurate with the degree of subsequent plaque deposition and with the concentration of lactate, a marker of neuronal activity. Furthermore, unilateral vibrissal stimulation increased ISF Aβ, and unilateral vibrissal deprivation decreased ISF Aβ and lactate, in contralateral barrel cortex. Long-term unilateral vibrissal deprivation decreased amyloid plaque formation and growth. Our results suggest a mechanism to account for the vulnerability of specific brain regions to Aβ deposition in Alzheimer's disease.&quot;,&quot;issue&quot;:&quot;6&quot;,&quot;volume&quot;:&quot;14&quot;},&quot;isTemporary&quot;:false},{&quot;id&quot;:&quot;4cf3b008-31a4-3c76-a509-a366d9974803&quot;,&quot;itemData&quot;:{&quot;type&quot;:&quot;article-journal&quot;,&quot;id&quot;:&quot;4cf3b008-31a4-3c76-a509-a366d9974803&quot;,&quot;title&quot;:&quot;Synaptic Activity Regulates Interstitial Fluid Amyloid-β Levels In Vivo&quot;,&quot;author&quot;:[{&quot;family&quot;:&quot;Cirrito&quot;,&quot;given&quot;:&quot;John R.&quot;,&quot;parse-names&quot;:false,&quot;dropping-particle&quot;:&quot;&quot;,&quot;non-dropping-particle&quot;:&quot;&quot;},{&quot;family&quot;:&quot;Yamada&quot;,&quot;given&quot;:&quot;Kelvin A.&quot;,&quot;parse-names&quot;:false,&quot;dropping-particle&quot;:&quot;&quot;,&quot;non-dropping-particle&quot;:&quot;&quot;},{&quot;family&quot;:&quot;Finn&quot;,&quot;given&quot;:&quot;Mary Beth&quot;,&quot;parse-names&quot;:false,&quot;dropping-particle&quot;:&quot;&quot;,&quot;non-dropping-particle&quot;:&quot;&quot;},{&quot;family&quot;:&quot;Sloviter&quot;,&quot;given&quot;:&quot;Robert S.&quot;,&quot;parse-names&quot;:false,&quot;dropping-particle&quot;:&quot;&quot;,&quot;non-dropping-particle&quot;:&quot;&quot;},{&quot;family&quot;:&quot;Bales&quot;,&quot;given&quot;:&quot;Kelly R.&quot;,&quot;parse-names&quot;:false,&quot;dropping-particle&quot;:&quot;&quot;,&quot;non-dropping-particle&quot;:&quot;&quot;},{&quot;family&quot;:&quot;May&quot;,&quot;given&quot;:&quot;Patrick C.&quot;,&quot;parse-names&quot;:false,&quot;dropping-particle&quot;:&quot;&quot;,&quot;non-dropping-particle&quot;:&quot;&quot;},{&quot;family&quot;:&quot;Schoepp&quot;,&quot;given&quot;:&quot;Darryle D.&quot;,&quot;parse-names&quot;:false,&quot;dropping-particle&quot;:&quot;&quot;,&quot;non-dropping-particle&quot;:&quot;&quot;},{&quot;family&quot;:&quot;Paul&quot;,&quot;given&quot;:&quot;Steven M.&quot;,&quot;parse-names&quot;:false,&quot;dropping-particle&quot;:&quot;&quot;,&quot;non-dropping-particle&quot;:&quot;&quot;},{&quot;family&quot;:&quot;Mennerick&quot;,&quot;given&quot;:&quot;Steven&quot;,&quot;parse-names&quot;:false,&quot;dropping-particle&quot;:&quot;&quot;,&quot;non-dropping-particle&quot;:&quot;&quot;},{&quot;family&quot;:&quot;Holtzman&quot;,&quot;given&quot;:&quot;David M.&quot;,&quot;parse-names&quot;:false,&quot;dropping-particle&quot;:&quot;&quot;,&quot;non-dropping-particle&quot;:&quot;&quot;}],&quot;container-title&quot;:&quot;Neuron&quot;,&quot;accessed&quot;:{&quot;date-parts&quot;:[[2019,7,28]]},&quot;DOI&quot;:&quot;10.1016/j.neuron.2005.10.028&quot;,&quot;ISSN&quot;:&quot;08966273&quot;,&quot;PMID&quot;:&quot;16364896&quot;,&quot;URL&quot;:&quot;https://linkinghub.elsevier.com/retrieve/pii/S0896627305009396&quot;,&quot;issued&quot;:{&quot;date-parts&quot;:[[2005,12,22]]},&quot;page&quot;:&quot;913-922&quot;,&quot;abstract&quot;:&quot;Aggregation of the amyloid-beta (Abeta) peptide in the extracellular space of the brain is central to Alzheimer's disease pathogenesis. Abeta aggregation is concentration dependent and brain region specific. Utilizing in vivo microdialysis concurrently with field potential recordings, we demonstrate that Abeta levels in the brain interstitial fluid are dynamically and directly influenced by synaptic activity on a timescale of minutes to hours. Using an acute brain slice model, we show that the rapid effects of synaptic activity on Abeta levels are primarily related to synaptic vesicle exocytosis. These results suggest that synaptic activity may modulate a neurodegenerative disease process, in this case by influencing Abeta metabolism and ultimately region-specific Abeta deposition. The findings also have important implications for treatment development.&quot;,&quot;issue&quot;:&quot;6&quot;,&quot;volume&quot;:&quot;48&quot;},&quot;isTemporary&quot;:false}],&quot;properties&quot;:{&quot;noteIndex&quot;:0},&quot;isEdited&quot;:false,&quot;manualOverride&quot;:{&quot;isManuallyOverriden&quot;:false,&quot;citeprocText&quot;:&quot;&lt;sup&gt;45,46&lt;/sup&gt;&quot;,&quot;manualOverrideText&quot;:&quot;&quot;},&quot;citationTag&quot;:&quot;MENDELEY_CITATION_v3_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&quot;},{&quot;citationID&quot;:&quot;MENDELEY_CITATION_a07acefc-66c9-40c0-a033-438d7d496500&quot;,&quot;citationItems&quot;:[{&quot;id&quot;:&quot;7666595a-d045-32fd-8e20-18c85de5139d&quot;,&quot;itemData&quot;:{&quot;type&quot;:&quot;article-journal&quot;,&quot;id&quot;:&quot;7666595a-d045-32fd-8e20-18c85de5139d&quot;,&quot;title&quot;:&quot;EEG spectral profile to stage Alzheimer's disease&quot;,&quot;author&quot;:[{&quot;family&quot;:&quot;Rodriguez&quot;,&quot;given&quot;:&quot;Guido&quot;,&quot;parse-names&quot;:false,&quot;dropping-particle&quot;:&quot;&quot;,&quot;non-dropping-particle&quot;:&quot;&quot;},{&quot;family&quot;:&quot;Copello&quot;,&quot;given&quot;:&quot;Francesco&quot;,&quot;parse-names&quot;:false,&quot;dropping-particle&quot;:&quot;&quot;,&quot;non-dropping-particle&quot;:&quot;&quot;},{&quot;family&quot;:&quot;Vitali&quot;,&quot;given&quot;:&quot;Paolo&quot;,&quot;parse-names&quot;:false,&quot;dropping-particle&quot;:&quot;&quot;,&quot;non-dropping-particle&quot;:&quot;&quot;},{&quot;family&quot;:&quot;Perego&quot;,&quot;given&quot;:&quot;Germana&quot;,&quot;parse-names&quot;:false,&quot;dropping-particle&quot;:&quot;&quot;,&quot;non-dropping-particle&quot;:&quot;&quot;},{&quot;family&quot;:&quot;Nobili&quot;,&quot;given&quot;:&quot;Flavio&quot;,&quot;parse-names&quot;:false,&quot;dropping-particle&quot;:&quot;&quot;,&quot;non-dropping-particle&quot;:&quot;&quot;}],&quot;container-title&quot;:&quot;Clinical Neurophysiology&quot;,&quot;accessed&quot;:{&quot;date-parts&quot;:[[2021,7,19]]},&quot;DOI&quot;:&quot;10.1016/S1388-2457(99)00123-6&quot;,&quot;ISSN&quot;:&quot;13882457&quot;,&quot;PMID&quot;:&quot;10574298&quot;,&quot;URL&quot;:&quot;https://pubmed.ncbi.nlm.nih.gov/10574298/&quot;,&quot;issued&quot;:{&quot;date-parts&quot;:[[1999,10,1]]},&quot;page&quot;:&quot;1831-1837&quot;,&quot;abstract&quot;:&quot;Objective: The present study was undertaken to investigate whether a synoptic parameter of quantitative EEG (qEEG), such as the power spectral profile, may be used as a simple marker to stage Alzheimer's disease (AD) in the clinical setting. Methods: To this purpose, the qEEG spectral profile was examined in 48 patients (mean age: 73 years) with probable (NINCDS-ADRDA criteria) AD, who were divided into 4 groups, according to the Global Deterioration Scale (GDS; score: 3-6). The spectral profile of each patient was expressed by the relative power of seven frequency bands (2-3.5, 4-5.5, 6-7.5, 8-9.5, 10-11.5, 12-13.5, 14-22.5 Hz). Mean values in each of the four GDS groups as well as in a control group of 18 healthy elderly subjects underwent multivariate analysis of variance. Results: A normally shaped but shifted-to-the left spectral profile was found in GDS 3 group, whereas a reduced background rhythm with various increase in slow activity power characterized both GDS 4 and 5 groups. Finally, an 'exponential asymptotic' profile with the highest power in the lowest frequencies was the hallmark of GDS 6 group. Overall, the 4-5.5 Hz and the 10-11.5 Hz band powers showed the highest statistical significance in differentiating the patient groups between one another and from controls (P &lt; 0.0001). Conclusions: These data show that spectral profile is a very simple parameter which can be used to stage the disease on a pathophysiological basis.&quot;,&quot;publisher&quot;:&quot;Clin Neurophysiol&quot;,&quot;issue&quot;:&quot;10&quot;,&quot;volume&quot;:&quot;110&quot;},&quot;isTemporary&quot;:false},{&quot;id&quot;:&quot;baa56270-c5eb-36a8-ab1c-7e0e5bc1b3b2&quot;,&quot;itemData&quot;:{&quot;type&quot;:&quot;article-journal&quot;,&quot;id&quot;:&quot;baa56270-c5eb-36a8-ab1c-7e0e5bc1b3b2&quot;,&quot;title&quot;:&quot;Quantitative EEG mapping and PET in Alzheimer's disease&quot;,&quot;author&quot;:[{&quot;family&quot;:&quot;Szelies&quot;,&quot;given&quot;:&quot;B.&quot;,&quot;parse-names&quot;:false,&quot;dropping-particle&quot;:&quot;&quot;,&quot;non-dropping-particle&quot;:&quot;&quot;},{&quot;family&quot;:&quot;Grond&quot;,&quot;given&quot;:&quot;M.&quot;,&quot;parse-names&quot;:false,&quot;dropping-particle&quot;:&quot;&quot;,&quot;non-dropping-particle&quot;:&quot;&quot;},{&quot;family&quot;:&quot;Herholz&quot;,&quot;given&quot;:&quot;K.&quot;,&quot;parse-names&quot;:false,&quot;dropping-particle&quot;:&quot;&quot;,&quot;non-dropping-particle&quot;:&quot;&quot;},{&quot;family&quot;:&quot;Kessler&quot;,&quot;given&quot;:&quot;J.&quot;,&quot;parse-names&quot;:false,&quot;dropping-particle&quot;:&quot;&quot;,&quot;non-dropping-particle&quot;:&quot;&quot;},{&quot;family&quot;:&quot;Wullen&quot;,&quot;given&quot;:&quot;T.&quot;,&quot;parse-names&quot;:false,&quot;dropping-particle&quot;:&quot;&quot;,&quot;non-dropping-particle&quot;:&quot;&quot;},{&quot;family&quot;:&quot;Heiss&quot;,&quot;given&quot;:&quot;W. D.&quot;,&quot;parse-names&quot;:false,&quot;dropping-particle&quot;:&quot;&quot;,&quot;non-dropping-particle&quot;:&quot;&quot;}],&quot;container-title&quot;:&quot;Journal of the Neurological Sciences&quot;,&quot;accessed&quot;:{&quot;date-parts&quot;:[[2021,7,19]]},&quot;DOI&quot;:&quot;10.1016/0022-510X(92)90008-9&quot;,&quot;ISSN&quot;:&quot;0022510X&quot;,&quot;PMID&quot;:&quot;1506868&quot;,&quot;URL&quot;:&quot;https://pubmed.ncbi.nlm.nih.gov/1506868/&quot;,&quot;issued&quot;:{&quot;date-parts&quot;:[[1992]]},&quot;page&quot;:&quot;46-56&quot;,&quot;abstract&quot;:&quot;Quantitative analysis of topographical EEG was studied in comparison with measurement of regional glucose metabolism by PET in 42 patients with clinical diagnosis of probable dementia of Alzheimer type (AD) and in 15 age-matched normal controls. Measures analyzed included global and regional data from areas typically affected and not affected by AD pathology. While disturbance of metabolism followed a typical regional pattern, relative alpha, theta and delta power were more globally altered without selectivity for specific regions. Separation between AD and age matched controls by relative theta power was correct in 86% and was close to that by temporo-parietal glucose metabolism (correct classification 87%). Relative theta power as well as temporo-parietal glucose metabolism were significantly correlated (τB = 0.54 and -0.53, respectively) to severity of AD assessed by the global deterioration scale. These results indicate that EEG measures may be used with an accuracy close to metabolic values from PET for the assessment of severity of AD. © 1992.&quot;,&quot;publisher&quot;:&quot;J Neurol Sci&quot;,&quot;issue&quot;:&quot;1-2&quot;,&quot;volume&quot;:&quot;110&quot;},&quot;isTemporary&quot;:false}],&quot;properties&quot;:{&quot;noteIndex&quot;:0},&quot;isEdited&quot;:false,&quot;manualOverride&quot;:{&quot;isManuallyOverriden&quot;:false,&quot;citeprocText&quot;:&quot;&lt;sup&gt;47,48&lt;/sup&gt;&quot;,&quot;manualOverrideText&quot;:&quot;&quot;},&quot;citationTag&quot;:&quot;MENDELEY_CITATION_v3_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&quot;},{&quot;citationID&quot;:&quot;MENDELEY_CITATION_87febdb3-fb55-488d-b6e8-2b3bba6a5ff5&quot;,&quot;citationItems&quot;:[{&quot;id&quot;:&quot;50e27775-22ed-3adf-a35b-6e7f1886818a&quot;,&quot;itemData&quot;:{&quot;type&quot;:&quot;article-journal&quot;,&quot;id&quot;:&quot;50e27775-22ed-3adf-a35b-6e7f1886818a&quot;,&quot;title&quot;:&quot;The Age-Well randomized controlled trial of the Medit-Ageing European project: Effect of meditation or foreign language training on brain and mental health in older adults&quot;,&quot;author&quot;:[{&quot;family&quot;:&quot;Poisnel&quot;,&quot;given&quot;:&quot;Géraldine&quot;,&quot;parse-names&quot;:false,&quot;dropping-particle&quot;:&quot;&quot;,&quot;non-dropping-particle&quot;:&quot;&quot;},{&quot;family&quot;:&quot;Arenaza-Urquijo&quot;,&quot;given&quot;:&quot;Eider&quot;,&quot;parse-names&quot;:false,&quot;dropping-particle&quot;:&quot;&quot;,&quot;non-dropping-particle&quot;:&quot;&quot;},{&quot;family&quot;:&quot;Collette&quot;,&quot;given&quot;:&quot;Fabienne&quot;,&quot;parse-names&quot;:false,&quot;dropping-particle&quot;:&quot;&quot;,&quot;non-dropping-particle&quot;:&quot;&quot;},{&quot;family&quot;:&quot;Klimecki&quot;,&quot;given&quot;:&quot;Olga M.&quot;,&quot;parse-names&quot;:false,&quot;dropping-particle&quot;:&quot;&quot;,&quot;non-dropping-particle&quot;:&quot;&quot;},{&quot;family&quot;:&quot;Marchant&quot;,&quot;given&quot;:&quot;Natalie L.&quot;,&quot;parse-names&quot;:false,&quot;dropping-particle&quot;:&quot;&quot;,&quot;non-dropping-particle&quot;:&quot;&quot;},{&quot;family&quot;:&quot;Wirth&quot;,&quot;given&quot;:&quot;Miranka&quot;,&quot;parse-names&quot;:false,&quot;dropping-particle&quot;:&quot;&quot;,&quot;non-dropping-particle&quot;:&quot;&quot;},{&quot;family&quot;:&quot;La Sayette&quot;,&quot;given&quot;:&quot;Vincent&quot;,&quot;parse-names&quot;:false,&quot;dropping-particle&quot;:&quot;&quot;,&quot;non-dropping-particle&quot;:&quot;de&quot;},{&quot;family&quot;:&quot;Rauchs&quot;,&quot;given&quot;:&quot;Géraldine&quot;,&quot;parse-names&quot;:false,&quot;dropping-particle&quot;:&quot;&quot;,&quot;non-dropping-particle&quot;:&quot;&quot;},{&quot;family&quot;:&quot;Salmon&quot;,&quot;given&quot;:&quot;Eric&quot;,&quot;parse-names&quot;:false,&quot;dropping-particle&quot;:&quot;&quot;,&quot;non-dropping-particle&quot;:&quot;&quot;},{&quot;family&quot;:&quot;Vuilleumier&quot;,&quot;given&quot;:&quot;Patrik&quot;,&quot;parse-names&quot;:false,&quot;dropping-particle&quot;:&quot;&quot;,&quot;non-dropping-particle&quot;:&quot;&quot;},{&quot;family&quot;:&quot;Frison&quot;,&quot;given&quot;:&quot;Eric&quot;,&quot;parse-names&quot;:false,&quot;dropping-particle&quot;:&quot;&quot;,&quot;non-dropping-particle&quot;:&quot;&quot;},{&quot;family&quot;:&quot;Maillard&quot;,&quot;given&quot;:&quot;Aline&quot;,&quot;parse-names&quot;:false,&quot;dropping-particle&quot;:&quot;&quot;,&quot;non-dropping-particle&quot;:&quot;&quot;},{&quot;family&quot;:&quot;Vivien&quot;,&quot;given&quot;:&quot;Denis&quot;,&quot;parse-names&quot;:false,&quot;dropping-particle&quot;:&quot;&quot;,&quot;non-dropping-particle&quot;:&quot;&quot;},{&quot;family&quot;:&quot;Lutz&quot;,&quot;given&quot;:&quot;Antoine&quot;,&quot;parse-names&quot;:false,&quot;dropping-particle&quot;:&quot;&quot;,&quot;non-dropping-particle&quot;:&quot;&quot;},{&quot;family&quot;:&quot;Chételat&quot;,&quot;given&quot;:&quot;Gaël&quot;,&quot;parse-names&quot;:false,&quot;dropping-particle&quot;:&quot;&quot;,&quot;non-dropping-particle&quot;:&quot;&quot;},{&quot;family&quot;:&quot;Medit-Ageing Research Group&quot;,&quot;given&quot;:&quot;&quot;,&quot;parse-names&quot;:false,&quot;dropping-particle&quot;:&quot;&quot;,&quot;non-dropping-particle&quot;:&quot;&quot;}],&quot;container-title&quot;:&quot;Alzheimer's &amp; Dementia: Translational Research &amp; Clinical Interventions&quot;,&quot;DOI&quot;:&quot;10.1016/j.trci.2018.10.011&quot;,&quot;ISSN&quot;:&quot;23528737&quot;,&quot;PMID&quot;:&quot;30581977&quot;,&quot;URL&quot;:&quot;http://www.ncbi.nlm.nih.gov/pubmed/30581977&quot;,&quot;issued&quot;:{&quot;date-parts&quot;:[[2018]]},&quot;page&quot;:&quot;714-723&quot;,&quot;abstract&quot;:&quot;Introduction The Age-Well clinical trial is an ongoing monocentric, randomized, controlled trial aiming to assess an 18-month preventive meditation-based intervention directly targeting the attentional and emotional dimensions of aging to promote mental health and well-being in elderly people. Methods One hundred thirty-seven cognitively unimpaired older adults are randomized to either an 18-month meditation-based intervention, a structurally matched foreign language training, or a passive control arm. The impact of the intervention and underlying mechanisms are assessed with detailed cognitive, behavioral, biological, neuroimaging and sleep examinations. Results Recruitment began in late 2016 and ended in May 2018. The interventions are ongoing and will be completed by early 2020. Discussion This is the first trial addressing the emotional and cognitive dimension of aging with a long-term nonpharmacological approach and using comprehensive assessments to investigate the mechanisms. Results are expected to foster the development of preventive strategies reducing the negative impact of mental conditions and disorders.&quot;,&quot;volume&quot;:&quot;4&quot;},&quot;isTemporary&quot;:false}],&quot;properties&quot;:{&quot;noteIndex&quot;:0},&quot;isEdited&quot;:false,&quot;manualOverride&quot;:{&quot;isManuallyOverriden&quot;:false,&quot;citeprocText&quot;:&quot;&lt;sup&gt;49&lt;/sup&gt;&quot;,&quot;manualOverrideText&quot;:&quot;&quot;},&quot;citationTag&quot;:&quot;MENDELEY_CITATION_v3_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&quot;},{&quot;citationID&quot;:&quot;MENDELEY_CITATION_8b9cf216-1824-4840-a8eb-6c26a5a52c3b&quot;,&quot;citationItems&quot;:[{&quot;id&quot;:&quot;780944db-205d-54b7-abe9-9a0aae62475c&quot;,&quot;itemData&quot;:{&quot;DOI&quot;:&quot;10.5664/jcsm.6576&quot;,&quot;ISSN&quot;:&quot;1550-9389&quot;,&quot;PMID&quot;:&quot;28416048&quot;,&quot;abstract&quot;:&quot;SERPINB3 (SB3) is a serine protease inhibitor overexpressed in several malignancies of epithelial origin, including primary liver cancer, where it inhibits apoptosis through poorly defined mechanisms. In the present study we analyze the effect of SB3 on hepatoma cell death elicited by a panel of chemotherapeutic agents. We report that SB3 shields cells from the toxicity of drugs with a pro-oxidant action such as doxorubicin, cisplatin and EM20-25. The rapid rise in ROS levels prompted by these compounds causes opening of the mitochondrial permeability transition pore (PTP), irreversibly committing cells to death. We find that a fraction of SB3 locates in mitochondrial inner compartments, and that this mitochondrial fraction increases under conditions of oxidative stress. Mitochondrial SB3 inhibits ROS generation and the ensuing PTP induction and cell death through an inhibitory interaction with respiratory Complex I. These findings identify a novel mechanism of action of SB3 that contributes to tumor cell resistance to anti-neoplastic drugs.&quot;,&quot;author&quot;:[{&quot;dropping-particle&quot;:&quot;&quot;,&quot;family&quot;:&quot;Berry&quot;,&quot;given&quot;:&quot;Richard B.&quot;,&quot;non-dropping-particle&quot;:&quot;&quot;,&quot;parse-names&quot;:false,&quot;suffix&quot;:&quot;&quot;},{&quot;dropping-particle&quot;:&quot;&quot;,&quot;family&quot;:&quot;Brooks&quot;,&quot;given&quot;:&quot;Rita&quot;,&quot;non-dropping-particle&quot;:&quot;&quot;,&quot;parse-names&quot;:false,&quot;suffix&quot;:&quot;&quot;},{&quot;dropping-particle&quot;:&quot;&quot;,&quot;family&quot;:&quot;Gamaldo&quot;,&quot;given&quot;:&quot;Charlene&quot;,&quot;non-dropping-particle&quot;:&quot;&quot;,&quot;parse-names&quot;:false,&quot;suffix&quot;:&quot;&quot;},{&quot;dropping-particle&quot;:&quot;&quot;,&quot;family&quot;:&quot;Harding&quot;,&quot;given&quot;:&quot;Susan M.&quot;,&quot;non-dropping-particle&quot;:&quot;&quot;,&quot;parse-names&quot;:false,&quot;suffix&quot;:&quot;&quot;},{&quot;dropping-particle&quot;:&quot;&quot;,&quot;family&quot;:&quot;Lloyd&quot;,&quot;given&quot;:&quot;Robin M.&quot;,&quot;non-dropping-particle&quot;:&quot;&quot;,&quot;parse-names&quot;:false,&quot;suffix&quot;:&quot;&quot;},{&quot;dropping-particle&quot;:&quot;&quot;,&quot;family&quot;:&quot;Quan&quot;,&quot;given&quot;:&quot;Stuart F.&quot;,&quot;non-dropping-particle&quot;:&quot;&quot;,&quot;parse-names&quot;:false,&quot;suffix&quot;:&quot;&quot;},{&quot;dropping-particle&quot;:&quot;&quot;,&quot;family&quot;:&quot;Troester&quot;,&quot;given&quot;:&quot;Matthew T.&quot;,&quot;non-dropping-particle&quot;:&quot;&quot;,&quot;parse-names&quot;:false,&quot;suffix&quot;:&quot;&quot;},{&quot;dropping-particle&quot;:&quot;V.&quot;,&quot;family&quot;:&quot;Vaughn&quot;,&quot;given&quot;:&quot;Bradley&quot;,&quot;non-dropping-particle&quot;:&quot;&quot;,&quot;parse-names&quot;:false,&quot;suffix&quot;:&quot;&quot;}],&quot;container-title&quot;:&quot;Journal of Clinical Sleep Medicine&quot;,&quot;issue&quot;:&quot;05&quot;,&quot;issued&quot;:{&quot;date-parts&quot;:[[&quot;2017&quot;]]},&quot;page&quot;:&quot;665-666&quot;,&quot;title&quot;:&quot;AASM Scoring Manual Updates for 2017 (Version 2.4)&quot;,&quot;type&quot;:&quot;article-journal&quot;,&quot;volume&quot;:&quot;13&quot;,&quot;id&quot;:&quot;780944db-205d-54b7-abe9-9a0aae62475c&quot;},&quot;uris&quot;:[&quot;http://www.mendeley.com/documents/?uuid=99795323-9d41-4397-a504-199bc8325deb&quot;],&quot;isTemporary&quot;:false,&quot;legacyDesktopId&quot;:&quot;99795323-9d41-4397-a504-199bc8325deb&quot;}],&quot;properties&quot;:{&quot;noteIndex&quot;:0},&quot;isEdited&quot;:false,&quot;manualOverride&quot;:{&quot;isManuallyOverriden&quot;:false,&quot;manualOverrideText&quot;:&quot;&quot;,&quot;citeprocText&quot;:&quot;&lt;sup&gt;50&lt;/sup&gt;&quot;},&quot;citationTag&quot;:&quot;MENDELEY_CITATION_v3_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&quot;},{&quot;citationID&quot;:&quot;MENDELEY_CITATION_039dda7f-f934-4f23-97b9-a1437f6426a7&quot;,&quot;citationItems&quot;:[{&quot;id&quot;:&quot;3eccde16-3042-33d9-854e-f14e3f0e00e2&quot;,&quot;itemData&quot;:{&quot;type&quot;:&quot;article-journal&quot;,&quot;id&quot;:&quot;3eccde16-3042-33d9-854e-f14e3f0e00e2&quot;,&quot;title&quot;:&quot;Automatic analysis of single-channel sleep EEG: validation in healthy individuals.&quot;,&quot;author&quot;:[{&quot;family&quot;:&quot;Berthomier&quot;,&quot;given&quot;:&quot;Christian&quot;,&quot;parse-names&quot;:false,&quot;dropping-particle&quot;:&quot;&quot;,&quot;non-dropping-particle&quot;:&quot;&quot;},{&quot;family&quot;:&quot;Drouot&quot;,&quot;given&quot;:&quot;Xavier&quot;,&quot;parse-names&quot;:false,&quot;dropping-particle&quot;:&quot;&quot;,&quot;non-dropping-particle&quot;:&quot;&quot;},{&quot;family&quot;:&quot;Herman-Stoïca&quot;,&quot;given&quot;:&quot;Maria&quot;,&quot;parse-names&quot;:false,&quot;dropping-particle&quot;:&quot;&quot;,&quot;non-dropping-particle&quot;:&quot;&quot;},{&quot;family&quot;:&quot;Berthomier&quot;,&quot;given&quot;:&quot;Pierre&quot;,&quot;parse-names&quot;:false,&quot;dropping-particle&quot;:&quot;&quot;,&quot;non-dropping-particle&quot;:&quot;&quot;},{&quot;family&quot;:&quot;Prado&quot;,&quot;given&quot;:&quot;Jacques&quot;,&quot;parse-names&quot;:false,&quot;dropping-particle&quot;:&quot;&quot;,&quot;non-dropping-particle&quot;:&quot;&quot;},{&quot;family&quot;:&quot;Bokar-Thire&quot;,&quot;given&quot;:&quot;Djibril&quot;,&quot;parse-names&quot;:false,&quot;dropping-particle&quot;:&quot;&quot;,&quot;non-dropping-particle&quot;:&quot;&quot;},{&quot;family&quot;:&quot;Benoit&quot;,&quot;given&quot;:&quot;Odile&quot;,&quot;parse-names&quot;:false,&quot;dropping-particle&quot;:&quot;&quot;,&quot;non-dropping-particle&quot;:&quot;&quot;},{&quot;family&quot;:&quot;Mattout&quot;,&quot;given&quot;:&quot;Jérémie&quot;,&quot;parse-names&quot;:false,&quot;dropping-particle&quot;:&quot;&quot;,&quot;non-dropping-particle&quot;:&quot;&quot;},{&quot;family&quot;:&quot;d'Ortho&quot;,&quot;given&quot;:&quot;Marie-Pia&quot;,&quot;parse-names&quot;:false,&quot;dropping-particle&quot;:&quot;&quot;,&quot;non-dropping-particle&quot;:&quot;&quot;}],&quot;container-title&quot;:&quot;Sleep&quot;,&quot;accessed&quot;:{&quot;date-parts&quot;:[[2019,8,1]]},&quot;DOI&quot;:&quot;10.1093/sleep/30.11.1587&quot;,&quot;ISSN&quot;:&quot;0161-8105&quot;,&quot;PMID&quot;:&quot;18041491&quot;,&quot;URL&quot;:&quot;http://www.ncbi.nlm.nih.gov/pubmed/18041491&quot;,&quot;issued&quot;:{&quot;date-parts&quot;:[[2007,11]]},&quot;page&quot;:&quot;1587-95&quot;,&quot;abstract&quot;:&quot;STUDY OBJECTIVE To assess the performance of automatic sleep scoring software (ASEEGA) based on a single EEG channel comparatively with manual scoring (2 experts) of conventional full polysomnograms. DESIGN Polysomnograms from 15 healthy individuals were scored by 2 independent experts using conventional R&amp;K rules. The results were compared to those of ASEEGA scoring on an epoch-by-epoch basis. SETTING Sleep laboratory in the physiology department of a teaching hospital. PARTICIPANTS Fifteen healthy volunteers. MEASUREMENTS AND RESULTS The epoch-by-epoch comparison was based on classifying into 2 states (wake/sleep), 3 states (wake/REM/ NREM), 4 states (wake/REM/stages 1-2/SWS), or 5 states (wake/REM/ stage 1/stage 2/SWS). The obtained overall agreements, as quantified by the kappa coefficient, were 0.82, 0.81, 0.75, and 0.72, respectively. Furthermore, obtained agreements between ASEEGA and the expert consensual scoring were 96.0%, 92.1%, 84.9%, and 82.9%, respectively. Finally, when classifying into 5 states, the sensitivity and positive predictive value of ASEEGA regarding wakefulness were 82.5% and 89.7%, respectively. Similarly, sensitivity and positive predictive value regarding REM state were 83.0% and 89.1%. CONCLUSIONS Our results establish the face validity and convergent validity of ASEEGA for single-channel sleep analysis in healthy individuals. ASEEGA appears as a good candidate for diagnostic aid and automatic ambulant scoring.&quot;,&quot;issue&quot;:&quot;11&quot;,&quot;volume&quot;:&quot;30&quot;},&quot;isTemporary&quot;:false}],&quot;properties&quot;:{&quot;noteIndex&quot;:0},&quot;isEdited&quot;:false,&quot;manualOverride&quot;:{&quot;isManuallyOverriden&quot;:false,&quot;citeprocText&quot;:&quot;&lt;sup&gt;51&lt;/sup&gt;&quot;,&quot;manualOverrideText&quot;:&quot;&quot;},&quot;citationTag&quot;:&quot;MENDELEY_CITATION_v3_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&quot;},{&quot;citationID&quot;:&quot;MENDELEY_CITATION_61c4a5ca-e221-4681-a09a-78a2977f4ef9&quot;,&quot;citationItems&quot;:[{&quot;id&quot;:&quot;d6d14ee2-ad58-3d51-b4d1-b721aba392cb&quot;,&quot;itemData&quot;:{&quot;type&quot;:&quot;article-journal&quot;,&quot;id&quot;:&quot;d6d14ee2-ad58-3d51-b4d1-b721aba392cb&quot;,&quot;title&quot;:&quot;Quantitative EEG of Rapid-Eye-Movement Sleep: A Marker of Amnestic Mild Cognitive Impairment&quot;,&quot;author&quot;:[{&quot;family&quot;:&quot;Brayet&quot;,&quot;given&quot;:&quot;Pauline&quot;,&quot;parse-names&quot;:false,&quot;dropping-particle&quot;:&quot;&quot;,&quot;non-dropping-particle&quot;:&quot;&quot;},{&quot;family&quot;:&quot;Petit&quot;,&quot;given&quot;:&quot;Dominique&quot;,&quot;parse-names&quot;:false,&quot;dropping-particle&quot;:&quot;&quot;,&quot;non-dropping-particle&quot;:&quot;&quot;},{&quot;family&quot;:&quot;Frauscher&quot;,&quot;given&quot;:&quot;Birgit&quot;,&quot;parse-names&quot;:false,&quot;dropping-particle&quot;:&quot;&quot;,&quot;non-dropping-particle&quot;:&quot;&quot;},{&quot;family&quot;:&quot;Gagnon&quot;,&quot;given&quot;:&quot;Jean François&quot;,&quot;parse-names&quot;:false,&quot;dropping-particle&quot;:&quot;&quot;,&quot;non-dropping-particle&quot;:&quot;&quot;},{&quot;family&quot;:&quot;Gosselin&quot;,&quot;given&quot;:&quot;Nadia&quot;,&quot;parse-names&quot;:false,&quot;dropping-particle&quot;:&quot;&quot;,&quot;non-dropping-particle&quot;:&quot;&quot;},{&quot;family&quot;:&quot;Gagnon&quot;,&quot;given&quot;:&quot;Katia&quot;,&quot;parse-names&quot;:false,&quot;dropping-particle&quot;:&quot;&quot;,&quot;non-dropping-particle&quot;:&quot;&quot;},{&quot;family&quot;:&quot;Rouleau&quot;,&quot;given&quot;:&quot;Isabelle&quot;,&quot;parse-names&quot;:false,&quot;dropping-particle&quot;:&quot;&quot;,&quot;non-dropping-particle&quot;:&quot;&quot;},{&quot;family&quot;:&quot;Montplaisir&quot;,&quot;given&quot;:&quot;Jacques&quot;,&quot;parse-names&quot;:false,&quot;dropping-particle&quot;:&quot;&quot;,&quot;non-dropping-particle&quot;:&quot;&quot;}],&quot;container-title&quot;:&quot;Clinical EEG and Neuroscience&quot;,&quot;accessed&quot;:{&quot;date-parts&quot;:[[2019,7,28]]},&quot;DOI&quot;:&quot;10.1177/1550059415603050&quot;,&quot;ISSN&quot;:&quot;21695202&quot;,&quot;issued&quot;:{&quot;date-parts&quot;:[[2016]]},&quot;abstract&quot;:&quot;© EEG and Clinical Neuroscience Society. The basal forebrain cholinergic system, which is impaired in early Alzheimer's disease, is more crucial for the activation of rapid-eye-movement (REM) sleep electroencephalogram (EEG) than it is for wakefulness. Quantitative EEG from REM sleep might thus provide an earlier and more accurate marker of the development of Alzheimer's disease in subjects with mild cognitive impairment (MCI) subjects than that from wakefulness. To assess the superiority of the REM sleep EEG as a screening tool for preclinical Alzheimer's disease, 22 subjects with amnestic MCI (a-MCI; 63.9 ± 7.7 years), 10 subjects with nonamnestic MCI (na-MCI; 64.1 ± 4.5 years) and 32 controls (63.7 ± 6.6 years) participated in the study. Spectral analyses of the waking EEG and REM sleep EEG were performed and the [(delta + theta)/(alpha + beta)] ratio was used to assess between-group differences in EEG slowing. The a-MCI subgroup showed EEG slowing in frontal lateral regions compared to both na-MCI and control groups. This EEG slowing was present in wakefulness (compared to controls) but was much more prominent in REM sleep. Moreover, the comparison between amnestic and nonamnestic subjects was found significant only for the REM sleep EEG. There was no difference in EEG power ratio between na-MCI and controls for any of the 7 cortical regions studied. These findings demonstrate the superiority of the REM sleep EEG in the discrimination between a-MCI and both na-MCI and control subjects.&quot;},&quot;isTemporary&quot;:false}],&quot;properties&quot;:{&quot;noteIndex&quot;:0},&quot;isEdited&quot;:false,&quot;manualOverride&quot;:{&quot;isManuallyOverriden&quot;:false,&quot;citeprocText&quot;:&quot;&lt;sup&gt;12&lt;/sup&gt;&quot;,&quot;manualOverrideText&quot;:&quot;&quot;},&quot;citationTag&quot;:&quot;MENDELEY_CITATION_v3_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&quot;},{&quot;citationID&quot;:&quot;MENDELEY_CITATION_fb0a52d2-f039-4daa-ae62-1015877b1e6c&quot;,&quot;citationItems&quot;:[{&quot;id&quot;:&quot;ade4e776-2b9c-3cb7-a193-ed59849ceee6&quot;,&quot;itemData&quot;:{&quot;type&quot;:&quot;article-journal&quot;,&quot;id&quot;:&quot;ade4e776-2b9c-3cb7-a193-ed59849ceee6&quot;,&quot;title&quot;:&quot;Hippocampal subfield volumetry in mild cognitive impairment, Alzheimer's disease and semantic dementia&quot;,&quot;author&quot;:[{&quot;family&quot;:&quot;Joie&quot;,&quot;given&quot;:&quot;Renaud&quot;,&quot;parse-names&quot;:false,&quot;dropping-particle&quot;:&quot;&quot;,&quot;non-dropping-particle&quot;:&quot;la&quot;},{&quot;family&quot;:&quot;Perrotin&quot;,&quot;given&quot;:&quot;Audrey&quot;,&quot;parse-names&quot;:false,&quot;dropping-particle&quot;:&quot;&quot;,&quot;non-dropping-particle&quot;:&quot;&quot;},{&quot;family&quot;:&quot;La Sayette&quot;,&quot;given&quot;:&quot;Vincent&quot;,&quot;parse-names&quot;:false,&quot;dropping-particle&quot;:&quot;&quot;,&quot;non-dropping-particle&quot;:&quot;de&quot;},{&quot;family&quot;:&quot;Egret&quot;,&quot;given&quot;:&quot;Stéphanie&quot;,&quot;parse-names&quot;:false,&quot;dropping-particle&quot;:&quot;&quot;,&quot;non-dropping-particle&quot;:&quot;&quot;},{&quot;family&quot;:&quot;Doeuvre&quot;,&quot;given&quot;:&quot;Loïc&quot;,&quot;parse-names&quot;:false,&quot;dropping-particle&quot;:&quot;&quot;,&quot;non-dropping-particle&quot;:&quot;&quot;},{&quot;family&quot;:&quot;Belliard&quot;,&quot;given&quot;:&quot;Serge&quot;,&quot;parse-names&quot;:false,&quot;dropping-particle&quot;:&quot;&quot;,&quot;non-dropping-particle&quot;:&quot;&quot;},{&quot;family&quot;:&quot;Eustache&quot;,&quot;given&quot;:&quot;Francis&quot;,&quot;parse-names&quot;:false,&quot;dropping-particle&quot;:&quot;&quot;,&quot;non-dropping-particle&quot;:&quot;&quot;},{&quot;family&quot;:&quot;Desgranges&quot;,&quot;given&quot;:&quot;Béatrice&quot;,&quot;parse-names&quot;:false,&quot;dropping-particle&quot;:&quot;&quot;,&quot;non-dropping-particle&quot;:&quot;&quot;},{&quot;family&quot;:&quot;Chételat&quot;,&quot;given&quot;:&quot;Gaël&quot;,&quot;parse-names&quot;:false,&quot;dropping-particle&quot;:&quot;&quot;,&quot;non-dropping-particle&quot;:&quot;&quot;}],&quot;container-title&quot;:&quot;NeuroImage: Clinical&quot;,&quot;accessed&quot;:{&quot;date-parts&quot;:[[2018,9,22]]},&quot;DOI&quot;:&quot;10.1016/j.nicl.2013.08.007&quot;,&quot;ISSN&quot;:&quot;22131582&quot;,&quot;PMID&quot;:&quot;24179859&quot;,&quot;URL&quot;:&quot;http://www.ncbi.nlm.nih.gov/pubmed/24179859&quot;,&quot;issued&quot;:{&quot;date-parts&quot;:[[2013]]},&quot;page&quot;:&quot;155-162&quot;,&quot;abstract&quot;:&quot;BACKGROUND Hippocampal atrophy is a well-known feature of Alzheimer's disease (AD), but sensitivity and specificity of hippocampal volumetry are limited. Neuropathological studies have shown that hippocampal subfields are differentially vulnerable to AD; hippocampal subfield volumetry may thus prove to be more accurate than global hippocampal volumetry to detect AD. METHODS CA1, subiculum and other subfields were manually delineated from 40 healthy controls, 18 AD, 17 amnestic Mild Cognitive Impairment (aMCI), and 8 semantic dementia (SD) patients using a previously developed high resolution MRI procedure. Non-parametric group comparisons and receiver operating characteristic (ROC) analyses were conducted. Complementary analyses were conducted to evaluate differences of hemispheric asymmetry and anterior-predominance between AD and SD patients and to distinguish aMCI patients with or without β-amyloid deposition as assessed by Florbetapir-TEP. RESULTS Global hippocampi were atrophied in all three patient groups and volume decreases were maximal in the CA1 subfield (22% loss in aMCI, 27% in both AD and SD; all p &lt; 0.001). In aMCI, CA1 volumetry was more accurate than global hippocampal measurement to distinguish patients from controls (areas under the ROC curve = 0.88 and 0.76, respectively; p = 0.05) and preliminary analyses suggest that it was independent from the presence of β-amyloid deposition. In patients with SD, whereas the degree of CA1 and subiculum atrophy was similar to that found in AD patients, hemispheric and anterior-posterior asymmetry were significantly more marked than in AD with greater involvement of the left and anterior hippocampal subfields. CONCLUSIONS The findings suggest that CA1 measurement is more sensitive than global hippocampal volumetry to detect structural changes at the pre-dementia stage, although the predominance of CA1 atrophy does not appear to be specific to AD pathophysiological processes.&quot;,&quot;volume&quot;:&quot;3&quot;},&quot;isTemporary&quot;:false},{&quot;id&quot;:&quot;5ef5df7d-ba9b-35fa-b069-61312327d4b7&quot;,&quot;itemData&quot;:{&quot;type&quot;:&quot;article-journal&quot;,&quot;id&quot;:&quot;5ef5df7d-ba9b-35fa-b069-61312327d4b7&quot;,&quot;title&quot;:&quot;Association of Sleep-Disordered Breathing with Alzheimer Disease Biomarkers in Community-Dwelling Older Adults: A Secondary Analysis of a Randomized Clinical Trial&quot;,&quot;author&quot;:[{&quot;family&quot;:&quot;André&quot;,&quot;given&quot;:&quot;Claire&quot;,&quot;parse-names&quot;:false,&quot;dropping-particle&quot;:&quot;&quot;,&quot;non-dropping-particle&quot;:&quot;&quot;},{&quot;family&quot;:&quot;Rehel&quot;,&quot;given&quot;:&quot;Stéphane&quot;,&quot;parse-names&quot;:false,&quot;dropping-particle&quot;:&quot;&quot;,&quot;non-dropping-particle&quot;:&quot;&quot;},{&quot;family&quot;:&quot;Kuhn&quot;,&quot;given&quot;:&quot;Elizabeth&quot;,&quot;parse-names&quot;:false,&quot;dropping-particle&quot;:&quot;&quot;,&quot;non-dropping-particle&quot;:&quot;&quot;},{&quot;family&quot;:&quot;Landeau&quot;,&quot;given&quot;:&quot;Brigitte&quot;,&quot;parse-names&quot;:false,&quot;dropping-particle&quot;:&quot;&quot;,&quot;non-dropping-particle&quot;:&quot;&quot;},{&quot;family&quot;:&quot;Moulinet&quot;,&quot;given&quot;:&quot;Inès&quot;,&quot;parse-names&quot;:false,&quot;dropping-particle&quot;:&quot;&quot;,&quot;non-dropping-particle&quot;:&quot;&quot;},{&quot;family&quot;:&quot;Touron&quot;,&quot;given&quot;:&quot;Edelweiss&quot;,&quot;parse-names&quot;:false,&quot;dropping-particle&quot;:&quot;&quot;,&quot;non-dropping-particle&quot;:&quot;&quot;},{&quot;family&quot;:&quot;Ourry&quot;,&quot;given&quot;:&quot;Valentin&quot;,&quot;parse-names&quot;:false,&quot;dropping-particle&quot;:&quot;&quot;,&quot;non-dropping-particle&quot;:&quot;&quot;},{&quot;family&quot;:&quot;Du&quot;,&quot;given&quot;:&quot;Gwendoline&quot;,&quot;parse-names&quot;:false,&quot;dropping-particle&quot;:&quot;&quot;,&quot;non-dropping-particle&quot;:&quot;le&quot;},{&quot;family&quot;:&quot;Mézenge&quot;,&quot;given&quot;:&quot;Florence&quot;,&quot;parse-names&quot;:false,&quot;dropping-particle&quot;:&quot;&quot;,&quot;non-dropping-particle&quot;:&quot;&quot;},{&quot;family&quot;:&quot;Tomadesso&quot;,&quot;given&quot;:&quot;Clémence&quot;,&quot;parse-names&quot;:false,&quot;dropping-particle&quot;:&quot;&quot;,&quot;non-dropping-particle&quot;:&quot;&quot;},{&quot;family&quot;:&quot;Flores&quot;,&quot;given&quot;:&quot;Robin&quot;,&quot;parse-names&quot;:false,&quot;dropping-particle&quot;:&quot;&quot;,&quot;non-dropping-particle&quot;:&quot;de&quot;},{&quot;family&quot;:&quot;Bejanin&quot;,&quot;given&quot;:&quot;Alexandre&quot;,&quot;parse-names&quot;:false,&quot;dropping-particle&quot;:&quot;&quot;,&quot;non-dropping-particle&quot;:&quot;&quot;},{&quot;family&quot;:&quot;Sherif&quot;,&quot;given&quot;:&quot;Siya&quot;,&quot;parse-names&quot;:false,&quot;dropping-particle&quot;:&quot;&quot;,&quot;non-dropping-particle&quot;:&quot;&quot;},{&quot;family&quot;:&quot;Delcroix&quot;,&quot;given&quot;:&quot;Nicolas&quot;,&quot;parse-names&quot;:false,&quot;dropping-particle&quot;:&quot;&quot;,&quot;non-dropping-particle&quot;:&quot;&quot;},{&quot;family&quot;:&quot;Manrique&quot;,&quot;given&quot;:&quot;Alain&quot;,&quot;parse-names&quot;:false,&quot;dropping-particle&quot;:&quot;&quot;,&quot;non-dropping-particle&quot;:&quot;&quot;},{&quot;family&quot;:&quot;Abbas&quot;,&quot;given&quot;:&quot;Ahmed&quot;,&quot;parse-names&quot;:false,&quot;dropping-particle&quot;:&quot;&quot;,&quot;non-dropping-particle&quot;:&quot;&quot;},{&quot;family&quot;:&quot;Marchant&quot;,&quot;given&quot;:&quot;Natalie L.&quot;,&quot;parse-names&quot;:false,&quot;dropping-particle&quot;:&quot;&quot;,&quot;non-dropping-particle&quot;:&quot;&quot;},{&quot;family&quot;:&quot;Lutz&quot;,&quot;given&quot;:&quot;Antoine&quot;,&quot;parse-names&quot;:false,&quot;dropping-particle&quot;:&quot;&quot;,&quot;non-dropping-particle&quot;:&quot;&quot;},{&quot;family&quot;:&quot;Klimecki&quot;,&quot;given&quot;:&quot;Olga M.&quot;,&quot;parse-names&quot;:false,&quot;dropping-particle&quot;:&quot;&quot;,&quot;non-dropping-particle&quot;:&quot;&quot;},{&quot;family&quot;:&quot;Collette&quot;,&quot;given&quot;:&quot;Fabienne&quot;,&quot;parse-names&quot;:false,&quot;dropping-particle&quot;:&quot;&quot;,&quot;non-dropping-particle&quot;:&quot;&quot;},{&quot;family&quot;:&quot;Arenaza-Urquijo&quot;,&quot;given&quot;:&quot;Eider M.&quot;,&quot;parse-names&quot;:false,&quot;dropping-particle&quot;:&quot;&quot;,&quot;non-dropping-particle&quot;:&quot;&quot;},{&quot;family&quot;:&quot;Poisnel&quot;,&quot;given&quot;:&quot;Géraldine&quot;,&quot;parse-names&quot;:false,&quot;dropping-particle&quot;:&quot;&quot;,&quot;non-dropping-particle&quot;:&quot;&quot;},{&quot;family&quot;:&quot;Vivien&quot;,&quot;given&quot;:&quot;Denis&quot;,&quot;parse-names&quot;:false,&quot;dropping-particle&quot;:&quot;&quot;,&quot;non-dropping-particle&quot;:&quot;&quot;},{&quot;family&quot;:&quot;Bertran&quot;,&quot;given&quot;:&quot;Françoise&quot;,&quot;parse-names&quot;:false,&quot;dropping-particle&quot;:&quot;&quot;,&quot;non-dropping-particle&quot;:&quot;&quot;},{&quot;family&quot;:&quot;La Sayette&quot;,&quot;given&quot;:&quot;Vincent&quot;,&quot;parse-names&quot;:false,&quot;dropping-particle&quot;:&quot;&quot;,&quot;non-dropping-particle&quot;:&quot;de&quot;},{&quot;family&quot;:&quot;Chételat&quot;,&quot;given&quot;:&quot;Gaël&quot;,&quot;parse-names&quot;:false,&quot;dropping-particle&quot;:&quot;&quot;,&quot;non-dropping-particle&quot;:&quot;&quot;},{&quot;family&quot;:&quot;Rauchs&quot;,&quot;given&quot;:&quot;Géraldine&quot;,&quot;parse-names&quot;:false,&quot;dropping-particle&quot;:&quot;&quot;,&quot;non-dropping-particle&quot;:&quot;&quot;}],&quot;container-title&quot;:&quot;JAMA Neurology&quot;,&quot;accessed&quot;:{&quot;date-parts&quot;:[[2020,3,25]]},&quot;DOI&quot;:&quot;10.1001/jamaneurol.2020.0311&quot;,&quot;ISSN&quot;:&quot;21686157&quot;,&quot;PMID&quot;:&quot;32202593&quot;,&quot;URL&quot;:&quot;https://jamanetwork.com/journals/jamaneurology/fullarticle/2763344&quot;,&quot;issued&quot;:{&quot;date-parts&quot;:[[2020,3,23]]},&quot;page&quot;:&quot;716-724&quot;,&quot;abstract&quot;:&quot;Importance: Increasing evidence suggests that sleep-disordered breathing (SDB) increases the risk of developing Alzheimer clinical syndrome. However, the brain mechanisms underlying the link between SDB and Alzheimer disease are still unclear. Objective: To determine which brain changes are associated with the presence of SDB in older individuals who are cognitively unimpaired, including changes in amyloid deposition, gray matter volume, perfusion, and glucose metabolism. Design, Setting, and Participants: This cross-sectional study was conducted using data from the Age-Well randomized clinical trial of the Medit-Ageing European project, acquired between 2016 and 2018 at Cyceron Center in Caen, France. Community-dwelling older adults were assessed for eligibility and were enrolled in the Age-Well clinical trial if they did not meet medical or cognitive exclusion criteria and were willing to participate. Participants who completed a detailed neuropsychological assessment, polysomnography, a magnetic resonance imaging, and florbetapir and fluorodeoxyglucose positron emission tomography scans were included in the analyses. Main Outcomes and Measures: Based on an apnea-hypopnea index cutoff of 15 events per hour, participants were classified as having SDB or not. Voxelwise between-group comparisons were performed for each neuroimaging modality, and secondary analyses aimed at identifying which SDB parameter (sleep fragmentation, hypoxia severity, or frequency of respiratory disturbances) best explained the observed brain changes and assessing whether SDB severity and/or SDB-associated brain changes are associated with cognitive and behavioral changes. Results: Of 157 participants initially assessed, 137 were enrolled in the Age-Well clinical trial, and 127 were analyzed in this study. The mean (SD) age of the 127 participants was 69.1 (3.9) years, and 80 (63.0%) were women. Participants with SDB showed greater amyloid burden (t114 = 4.51; familywise error-corrected P =.04; Cohen d, 0.83), gray matter volume (t119 = 4.12; familywise error-corrected P =.04; Cohen d, 0.75), perfusion (t116 = 4.62; familywise error-corrected P =.001; Cohen d, 0.86), and metabolism (t79 = 4.63; familywise error-corrected P =.001; Cohen d, 1.04), overlapping mainly over the posterior cingulate cortex and precuneus. No association was found with cognition, self-reported cognitive and sleep difficulties, or excessive daytime sleepiness symptoms. Conclusions and Relevance: The SDB-associated brain changes in older adults who are cognitively unimpaired include greater amyloid deposition and neuronal activity in Alzheimer disease-sensitive brain regions, notably the posterior cingulate cortex and precuneus. These results support the need to screen and treat for SDB, especially in asymptomatic older populations, to reduce Alzheimer disease risk. Trial Registration: ClinicalTrials.gov Identifier: NCT02977819.&quot;,&quot;issue&quot;:&quot;6&quot;,&quot;volume&quot;:&quot;77&quot;},&quot;isTemporary&quot;:false}],&quot;properties&quot;:{&quot;noteIndex&quot;:0},&quot;isEdited&quot;:false,&quot;manualOverride&quot;:{&quot;isManuallyOverriden&quot;:false,&quot;citeprocText&quot;:&quot;&lt;sup&gt;27,52&lt;/sup&gt;&quot;,&quot;manualOverrideText&quot;:&quot;&quot;},&quot;citationTag&quot;:&quot;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&quot;},{&quot;citationID&quot;:&quot;MENDELEY_CITATION_88d745b6-16ab-469b-9170-ce7aaff0e986&quot;,&quot;citationItems&quot;:[{&quot;id&quot;:&quot;5ef5df7d-ba9b-35fa-b069-61312327d4b7&quot;,&quot;itemData&quot;:{&quot;type&quot;:&quot;article-journal&quot;,&quot;id&quot;:&quot;5ef5df7d-ba9b-35fa-b069-61312327d4b7&quot;,&quot;title&quot;:&quot;Association of Sleep-Disordered Breathing with Alzheimer Disease Biomarkers in Community-Dwelling Older Adults: A Secondary Analysis of a Randomized Clinical Trial&quot;,&quot;author&quot;:[{&quot;family&quot;:&quot;André&quot;,&quot;given&quot;:&quot;Claire&quot;,&quot;parse-names&quot;:false,&quot;dropping-particle&quot;:&quot;&quot;,&quot;non-dropping-particle&quot;:&quot;&quot;},{&quot;family&quot;:&quot;Rehel&quot;,&quot;given&quot;:&quot;Stéphane&quot;,&quot;parse-names&quot;:false,&quot;dropping-particle&quot;:&quot;&quot;,&quot;non-dropping-particle&quot;:&quot;&quot;},{&quot;family&quot;:&quot;Kuhn&quot;,&quot;given&quot;:&quot;Elizabeth&quot;,&quot;parse-names&quot;:false,&quot;dropping-particle&quot;:&quot;&quot;,&quot;non-dropping-particle&quot;:&quot;&quot;},{&quot;family&quot;:&quot;Landeau&quot;,&quot;given&quot;:&quot;Brigitte&quot;,&quot;parse-names&quot;:false,&quot;dropping-particle&quot;:&quot;&quot;,&quot;non-dropping-particle&quot;:&quot;&quot;},{&quot;family&quot;:&quot;Moulinet&quot;,&quot;given&quot;:&quot;Inès&quot;,&quot;parse-names&quot;:false,&quot;dropping-particle&quot;:&quot;&quot;,&quot;non-dropping-particle&quot;:&quot;&quot;},{&quot;family&quot;:&quot;Touron&quot;,&quot;given&quot;:&quot;Edelweiss&quot;,&quot;parse-names&quot;:false,&quot;dropping-particle&quot;:&quot;&quot;,&quot;non-dropping-particle&quot;:&quot;&quot;},{&quot;family&quot;:&quot;Ourry&quot;,&quot;given&quot;:&quot;Valentin&quot;,&quot;parse-names&quot;:false,&quot;dropping-particle&quot;:&quot;&quot;,&quot;non-dropping-particle&quot;:&quot;&quot;},{&quot;family&quot;:&quot;Du&quot;,&quot;given&quot;:&quot;Gwendoline&quot;,&quot;parse-names&quot;:false,&quot;dropping-particle&quot;:&quot;&quot;,&quot;non-dropping-particle&quot;:&quot;le&quot;},{&quot;family&quot;:&quot;Mézenge&quot;,&quot;given&quot;:&quot;Florence&quot;,&quot;parse-names&quot;:false,&quot;dropping-particle&quot;:&quot;&quot;,&quot;non-dropping-particle&quot;:&quot;&quot;},{&quot;family&quot;:&quot;Tomadesso&quot;,&quot;given&quot;:&quot;Clémence&quot;,&quot;parse-names&quot;:false,&quot;dropping-particle&quot;:&quot;&quot;,&quot;non-dropping-particle&quot;:&quot;&quot;},{&quot;family&quot;:&quot;Flores&quot;,&quot;given&quot;:&quot;Robin&quot;,&quot;parse-names&quot;:false,&quot;dropping-particle&quot;:&quot;&quot;,&quot;non-dropping-particle&quot;:&quot;de&quot;},{&quot;family&quot;:&quot;Bejanin&quot;,&quot;given&quot;:&quot;Alexandre&quot;,&quot;parse-names&quot;:false,&quot;dropping-particle&quot;:&quot;&quot;,&quot;non-dropping-particle&quot;:&quot;&quot;},{&quot;family&quot;:&quot;Sherif&quot;,&quot;given&quot;:&quot;Siya&quot;,&quot;parse-names&quot;:false,&quot;dropping-particle&quot;:&quot;&quot;,&quot;non-dropping-particle&quot;:&quot;&quot;},{&quot;family&quot;:&quot;Delcroix&quot;,&quot;given&quot;:&quot;Nicolas&quot;,&quot;parse-names&quot;:false,&quot;dropping-particle&quot;:&quot;&quot;,&quot;non-dropping-particle&quot;:&quot;&quot;},{&quot;family&quot;:&quot;Manrique&quot;,&quot;given&quot;:&quot;Alain&quot;,&quot;parse-names&quot;:false,&quot;dropping-particle&quot;:&quot;&quot;,&quot;non-dropping-particle&quot;:&quot;&quot;},{&quot;family&quot;:&quot;Abbas&quot;,&quot;given&quot;:&quot;Ahmed&quot;,&quot;parse-names&quot;:false,&quot;dropping-particle&quot;:&quot;&quot;,&quot;non-dropping-particle&quot;:&quot;&quot;},{&quot;family&quot;:&quot;Marchant&quot;,&quot;given&quot;:&quot;Natalie L.&quot;,&quot;parse-names&quot;:false,&quot;dropping-particle&quot;:&quot;&quot;,&quot;non-dropping-particle&quot;:&quot;&quot;},{&quot;family&quot;:&quot;Lutz&quot;,&quot;given&quot;:&quot;Antoine&quot;,&quot;parse-names&quot;:false,&quot;dropping-particle&quot;:&quot;&quot;,&quot;non-dropping-particle&quot;:&quot;&quot;},{&quot;family&quot;:&quot;Klimecki&quot;,&quot;given&quot;:&quot;Olga M.&quot;,&quot;parse-names&quot;:false,&quot;dropping-particle&quot;:&quot;&quot;,&quot;non-dropping-particle&quot;:&quot;&quot;},{&quot;family&quot;:&quot;Collette&quot;,&quot;given&quot;:&quot;Fabienne&quot;,&quot;parse-names&quot;:false,&quot;dropping-particle&quot;:&quot;&quot;,&quot;non-dropping-particle&quot;:&quot;&quot;},{&quot;family&quot;:&quot;Arenaza-Urquijo&quot;,&quot;given&quot;:&quot;Eider M.&quot;,&quot;parse-names&quot;:false,&quot;dropping-particle&quot;:&quot;&quot;,&quot;non-dropping-particle&quot;:&quot;&quot;},{&quot;family&quot;:&quot;Poisnel&quot;,&quot;given&quot;:&quot;Géraldine&quot;,&quot;parse-names&quot;:false,&quot;dropping-particle&quot;:&quot;&quot;,&quot;non-dropping-particle&quot;:&quot;&quot;},{&quot;family&quot;:&quot;Vivien&quot;,&quot;given&quot;:&quot;Denis&quot;,&quot;parse-names&quot;:false,&quot;dropping-particle&quot;:&quot;&quot;,&quot;non-dropping-particle&quot;:&quot;&quot;},{&quot;family&quot;:&quot;Bertran&quot;,&quot;given&quot;:&quot;Françoise&quot;,&quot;parse-names&quot;:false,&quot;dropping-particle&quot;:&quot;&quot;,&quot;non-dropping-particle&quot;:&quot;&quot;},{&quot;family&quot;:&quot;La Sayette&quot;,&quot;given&quot;:&quot;Vincent&quot;,&quot;parse-names&quot;:false,&quot;dropping-particle&quot;:&quot;&quot;,&quot;non-dropping-particle&quot;:&quot;de&quot;},{&quot;family&quot;:&quot;Chételat&quot;,&quot;given&quot;:&quot;Gaël&quot;,&quot;parse-names&quot;:false,&quot;dropping-particle&quot;:&quot;&quot;,&quot;non-dropping-particle&quot;:&quot;&quot;},{&quot;family&quot;:&quot;Rauchs&quot;,&quot;given&quot;:&quot;Géraldine&quot;,&quot;parse-names&quot;:false,&quot;dropping-particle&quot;:&quot;&quot;,&quot;non-dropping-particle&quot;:&quot;&quot;}],&quot;container-title&quot;:&quot;JAMA Neurology&quot;,&quot;accessed&quot;:{&quot;date-parts&quot;:[[2020,3,25]]},&quot;DOI&quot;:&quot;10.1001/jamaneurol.2020.0311&quot;,&quot;ISSN&quot;:&quot;21686157&quot;,&quot;PMID&quot;:&quot;32202593&quot;,&quot;URL&quot;:&quot;https://jamanetwork.com/journals/jamaneurology/fullarticle/2763344&quot;,&quot;issued&quot;:{&quot;date-parts&quot;:[[2020,3,23]]},&quot;page&quot;:&quot;716-724&quot;,&quot;abstract&quot;:&quot;Importance: Increasing evidence suggests that sleep-disordered breathing (SDB) increases the risk of developing Alzheimer clinical syndrome. However, the brain mechanisms underlying the link between SDB and Alzheimer disease are still unclear. Objective: To determine which brain changes are associated with the presence of SDB in older individuals who are cognitively unimpaired, including changes in amyloid deposition, gray matter volume, perfusion, and glucose metabolism. Design, Setting, and Participants: This cross-sectional study was conducted using data from the Age-Well randomized clinical trial of the Medit-Ageing European project, acquired between 2016 and 2018 at Cyceron Center in Caen, France. Community-dwelling older adults were assessed for eligibility and were enrolled in the Age-Well clinical trial if they did not meet medical or cognitive exclusion criteria and were willing to participate. Participants who completed a detailed neuropsychological assessment, polysomnography, a magnetic resonance imaging, and florbetapir and fluorodeoxyglucose positron emission tomography scans were included in the analyses. Main Outcomes and Measures: Based on an apnea-hypopnea index cutoff of 15 events per hour, participants were classified as having SDB or not. Voxelwise between-group comparisons were performed for each neuroimaging modality, and secondary analyses aimed at identifying which SDB parameter (sleep fragmentation, hypoxia severity, or frequency of respiratory disturbances) best explained the observed brain changes and assessing whether SDB severity and/or SDB-associated brain changes are associated with cognitive and behavioral changes. Results: Of 157 participants initially assessed, 137 were enrolled in the Age-Well clinical trial, and 127 were analyzed in this study. The mean (SD) age of the 127 participants was 69.1 (3.9) years, and 80 (63.0%) were women. Participants with SDB showed greater amyloid burden (t114 = 4.51; familywise error-corrected P =.04; Cohen d, 0.83), gray matter volume (t119 = 4.12; familywise error-corrected P =.04; Cohen d, 0.75), perfusion (t116 = 4.62; familywise error-corrected P =.001; Cohen d, 0.86), and metabolism (t79 = 4.63; familywise error-corrected P =.001; Cohen d, 1.04), overlapping mainly over the posterior cingulate cortex and precuneus. No association was found with cognition, self-reported cognitive and sleep difficulties, or excessive daytime sleepiness symptoms. Conclusions and Relevance: The SDB-associated brain changes in older adults who are cognitively unimpaired include greater amyloid deposition and neuronal activity in Alzheimer disease-sensitive brain regions, notably the posterior cingulate cortex and precuneus. These results support the need to screen and treat for SDB, especially in asymptomatic older populations, to reduce Alzheimer disease risk. Trial Registration: ClinicalTrials.gov Identifier: NCT02977819.&quot;,&quot;issue&quot;:&quot;6&quot;,&quot;volume&quot;:&quot;77&quot;},&quot;isTemporary&quot;:false}],&quot;properties&quot;:{&quot;noteIndex&quot;:0},&quot;isEdited&quot;:false,&quot;manualOverride&quot;:{&quot;isManuallyOverriden&quot;:false,&quot;citeprocText&quot;:&quot;&lt;sup&gt;27&lt;/sup&gt;&quot;,&quot;manualOverrideText&quot;:&quot;&quot;},&quot;citationTag&quot;:&quot;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&quot;}]"/>
    <we:property name="MENDELEY_CITATIONS_STYLE" value="&quot;https://www.zotero.org/styles/nature-communications&quot;"/>
    <we:property name="MENDELEY_PROFILE_ID" value="&quot;6861550c5400045c7993670ce14bc32df464584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c809b88-bf27-4a66-9d66-874bc5b87a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3D34CE52ECB4C48B8A04494027CF7C8" ma:contentTypeVersion="15" ma:contentTypeDescription="Crée un document." ma:contentTypeScope="" ma:versionID="e2903777e8b2f0050512b956b7c4510a">
  <xsd:schema xmlns:xsd="http://www.w3.org/2001/XMLSchema" xmlns:xs="http://www.w3.org/2001/XMLSchema" xmlns:p="http://schemas.microsoft.com/office/2006/metadata/properties" xmlns:ns3="dc809b88-bf27-4a66-9d66-874bc5b87aba" xmlns:ns4="459587af-f754-4c88-a210-a454cbe70e86" targetNamespace="http://schemas.microsoft.com/office/2006/metadata/properties" ma:root="true" ma:fieldsID="77ce7badab633b2b1cb4da00b050993d" ns3:_="" ns4:_="">
    <xsd:import namespace="dc809b88-bf27-4a66-9d66-874bc5b87aba"/>
    <xsd:import namespace="459587af-f754-4c88-a210-a454cbe70e8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09b88-bf27-4a66-9d66-874bc5b87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587af-f754-4c88-a210-a454cbe70e86"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SharingHintHash" ma:index="21"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BD1733-B6D3-4F51-A6B5-C6A6A4C9A983}">
  <ds:schemaRefs>
    <ds:schemaRef ds:uri="http://schemas.microsoft.com/office/2006/metadata/properties"/>
    <ds:schemaRef ds:uri="http://schemas.microsoft.com/office/infopath/2007/PartnerControls"/>
    <ds:schemaRef ds:uri="dc809b88-bf27-4a66-9d66-874bc5b87aba"/>
  </ds:schemaRefs>
</ds:datastoreItem>
</file>

<file path=customXml/itemProps2.xml><?xml version="1.0" encoding="utf-8"?>
<ds:datastoreItem xmlns:ds="http://schemas.openxmlformats.org/officeDocument/2006/customXml" ds:itemID="{66AE0C20-C6BB-47FB-BE7B-C20AA8D6A4CF}">
  <ds:schemaRefs>
    <ds:schemaRef ds:uri="http://schemas.microsoft.com/sharepoint/v3/contenttype/forms"/>
  </ds:schemaRefs>
</ds:datastoreItem>
</file>

<file path=customXml/itemProps3.xml><?xml version="1.0" encoding="utf-8"?>
<ds:datastoreItem xmlns:ds="http://schemas.openxmlformats.org/officeDocument/2006/customXml" ds:itemID="{D7288499-101F-4F5E-9420-FE803014B5F8}">
  <ds:schemaRefs>
    <ds:schemaRef ds:uri="http://schemas.openxmlformats.org/officeDocument/2006/bibliography"/>
  </ds:schemaRefs>
</ds:datastoreItem>
</file>

<file path=customXml/itemProps4.xml><?xml version="1.0" encoding="utf-8"?>
<ds:datastoreItem xmlns:ds="http://schemas.openxmlformats.org/officeDocument/2006/customXml" ds:itemID="{91C30C2E-ED3C-443F-9E70-C3070693B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809b88-bf27-4a66-9d66-874bc5b87aba"/>
    <ds:schemaRef ds:uri="459587af-f754-4c88-a210-a454cbe70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1032</Words>
  <Characters>5682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ANDRE</dc:creator>
  <cp:keywords/>
  <dc:description/>
  <cp:lastModifiedBy>Claire André</cp:lastModifiedBy>
  <cp:revision>5</cp:revision>
  <cp:lastPrinted>2019-06-04T13:18:00Z</cp:lastPrinted>
  <dcterms:created xsi:type="dcterms:W3CDTF">2023-06-23T14:12:00Z</dcterms:created>
  <dcterms:modified xsi:type="dcterms:W3CDTF">2023-06-23T19:10:00Z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http://www.zotero.org/styles/alzheimers-and-dementia-the-journal-of-the-alzheimers-association</vt:lpwstr>
  </property>
  <property fmtid="{D5CDD505-2E9C-101B-9397-08002B2CF9AE}" pid="3" name="Mendeley Recent Style Name 0_1">
    <vt:lpwstr>Alzheimer's &amp; Dementia: The Journal of the Alzheimer's Association</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http://www.zotero.org/styles/brain</vt:lpwstr>
  </property>
  <property fmtid="{D5CDD505-2E9C-101B-9397-08002B2CF9AE}" pid="11" name="Mendeley Recent Style Name 4_1">
    <vt:lpwstr>Brain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http://www.zotero.org/styles/frontiers-in-aging-neuroscience</vt:lpwstr>
  </property>
  <property fmtid="{D5CDD505-2E9C-101B-9397-08002B2CF9AE}" pid="15" name="Mendeley Recent Style Name 6_1">
    <vt:lpwstr>Frontiers in Aging Neuroscience</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http://www.zotero.org/styles/jama</vt:lpwstr>
  </property>
  <property fmtid="{D5CDD505-2E9C-101B-9397-08002B2CF9AE}" pid="21" name="Mendeley Recent Style Name 9_1">
    <vt:lpwstr>JAMA (The Journal of the American Medical Association)</vt:lpwstr>
  </property>
  <property fmtid="{D5CDD505-2E9C-101B-9397-08002B2CF9AE}" pid="22" name="Mendeley Document_1">
    <vt:lpwstr>True</vt:lpwstr>
  </property>
  <property fmtid="{D5CDD505-2E9C-101B-9397-08002B2CF9AE}" pid="23" name="Mendeley Unique User Id_1">
    <vt:lpwstr>74b54bf8-723f-3800-9f98-1b241c48f9ee</vt:lpwstr>
  </property>
  <property fmtid="{D5CDD505-2E9C-101B-9397-08002B2CF9AE}" pid="24" name="Mendeley Citation Style_1">
    <vt:lpwstr>http://www.zotero.org/styles/brain</vt:lpwstr>
  </property>
  <property fmtid="{D5CDD505-2E9C-101B-9397-08002B2CF9AE}" pid="25" name="ContentTypeId">
    <vt:lpwstr>0x010100B3D34CE52ECB4C48B8A04494027CF7C8</vt:lpwstr>
  </property>
</Properties>
</file>