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BC765" w14:textId="77777777" w:rsidR="002F32FB" w:rsidRDefault="002F32FB" w:rsidP="002F32FB">
      <w:pPr>
        <w:spacing w:before="240" w:after="240" w:line="480" w:lineRule="auto"/>
        <w:rPr>
          <w:b/>
          <w:bCs/>
        </w:rPr>
      </w:pPr>
      <w:bookmarkStart w:id="0" w:name="_GoBack"/>
      <w:bookmarkEnd w:id="0"/>
      <w:r w:rsidRPr="003B2840">
        <w:rPr>
          <w:b/>
          <w:bCs/>
        </w:rPr>
        <w:t>Supplemental Information:</w:t>
      </w:r>
    </w:p>
    <w:p w14:paraId="78D3647A" w14:textId="66F7FC02" w:rsidR="002F32FB" w:rsidRPr="003B2840" w:rsidRDefault="002F32FB" w:rsidP="002F32FB">
      <w:pPr>
        <w:spacing w:before="240" w:after="240" w:line="480" w:lineRule="auto"/>
        <w:rPr>
          <w:b/>
          <w:bCs/>
        </w:rPr>
      </w:pPr>
      <w:r w:rsidRPr="003B2840">
        <w:rPr>
          <w:b/>
          <w:bCs/>
        </w:rPr>
        <w:t>Supplementary Materials and Methods:</w:t>
      </w:r>
    </w:p>
    <w:p w14:paraId="23AE216E" w14:textId="24CB18CE" w:rsidR="002F32FB" w:rsidRPr="002F32FB" w:rsidRDefault="002F32FB" w:rsidP="002F32FB">
      <w:pPr>
        <w:spacing w:line="480" w:lineRule="auto"/>
        <w:rPr>
          <w:b/>
          <w:bCs/>
        </w:rPr>
      </w:pPr>
      <w:r w:rsidRPr="003B2840">
        <w:rPr>
          <w:b/>
          <w:bCs/>
        </w:rPr>
        <w:t>General Logistic Regression Models Analysis</w:t>
      </w:r>
      <w:r>
        <w:rPr>
          <w:b/>
          <w:bCs/>
        </w:rPr>
        <w:t>:</w:t>
      </w:r>
    </w:p>
    <w:p w14:paraId="6A4544A3" w14:textId="77777777" w:rsidR="002F32FB" w:rsidRDefault="002F32FB" w:rsidP="002F32FB">
      <w:pPr>
        <w:spacing w:line="480" w:lineRule="auto"/>
      </w:pPr>
      <w:r>
        <w:t xml:space="preserve">Identical to our main methods, we constructed the following general logistic regression with Firth correction each controlling for age and sex:  (0) age and sex only; (1) CSF A/T status group (1 = A-T-, 2 = A+T-, 3 = A+T+), (2) WM NDI (3) WM ODI (4) GM NDI (5) GM ODI (6) CSF A/T Status + WM NDI, (7) CSF A/T Status + WM ODI (8) CSF A/T Status + GM NDI, and (9) CSF A/T Status + GM ODI. The 6 bilaterally averaged gray and white matter ROIs previously described (Fig. 1, 2) were included in the respective corresponding models. Participants were separated into 3 groups based on clinical diagnosis status: CU (n = 281), MCI (N = 6), and AD (n=5). Models predicted outcome in a binomial fashion (CU vs. MCI and CU vs. AD). Models were generated in R Package </w:t>
      </w:r>
      <w:proofErr w:type="spellStart"/>
      <w:r>
        <w:rPr>
          <w:i/>
        </w:rPr>
        <w:t>logistf</w:t>
      </w:r>
      <w:proofErr w:type="spellEnd"/>
      <w:r>
        <w:rPr>
          <w:i/>
        </w:rPr>
        <w:t xml:space="preserve"> (v 1.24). </w:t>
      </w:r>
      <w:r>
        <w:t xml:space="preserve">Model fit was assessed with the Akaike Information Criteria (AIC) using the </w:t>
      </w:r>
      <w:proofErr w:type="spellStart"/>
      <w:r>
        <w:rPr>
          <w:i/>
        </w:rPr>
        <w:t>extractAIC</w:t>
      </w:r>
      <w:proofErr w:type="spellEnd"/>
      <w:r>
        <w:t xml:space="preserve"> function from the </w:t>
      </w:r>
      <w:r>
        <w:rPr>
          <w:i/>
        </w:rPr>
        <w:t xml:space="preserve">stats </w:t>
      </w:r>
      <w:r>
        <w:t xml:space="preserve">(v 3.6.2) R package, and also with the Penalized log likelihood ratio (PLR) for firth reduction using the </w:t>
      </w:r>
      <w:proofErr w:type="spellStart"/>
      <w:r>
        <w:rPr>
          <w:i/>
        </w:rPr>
        <w:t>anova.logistf</w:t>
      </w:r>
      <w:proofErr w:type="spellEnd"/>
      <w:r>
        <w:rPr>
          <w:i/>
        </w:rPr>
        <w:t xml:space="preserve"> function </w:t>
      </w:r>
      <w:r>
        <w:t xml:space="preserve">in the </w:t>
      </w:r>
      <w:proofErr w:type="spellStart"/>
      <w:r>
        <w:rPr>
          <w:i/>
        </w:rPr>
        <w:t>logistf</w:t>
      </w:r>
      <w:proofErr w:type="spellEnd"/>
      <w:r>
        <w:rPr>
          <w:i/>
        </w:rPr>
        <w:t xml:space="preserve"> (v 1.24) </w:t>
      </w:r>
      <w:r>
        <w:t xml:space="preserve">package in R. We compared the diagnostic accuracy of the various models with Receiver Operator Curve (ROC) Area Under the Curve (AUC) analysis generated using the </w:t>
      </w:r>
      <w:proofErr w:type="spellStart"/>
      <w:r>
        <w:rPr>
          <w:i/>
        </w:rPr>
        <w:t>pROC</w:t>
      </w:r>
      <w:proofErr w:type="spellEnd"/>
      <w:r>
        <w:rPr>
          <w:i/>
        </w:rPr>
        <w:t xml:space="preserve"> </w:t>
      </w:r>
      <w:r>
        <w:t>package (v1.16.1) in R studio.</w:t>
      </w:r>
    </w:p>
    <w:p w14:paraId="7E670C95" w14:textId="77777777" w:rsidR="002F32FB" w:rsidRDefault="002F32FB" w:rsidP="002F32FB">
      <w:pPr>
        <w:spacing w:line="480" w:lineRule="auto"/>
      </w:pPr>
      <w:r>
        <w:t xml:space="preserve"> </w:t>
      </w:r>
    </w:p>
    <w:p w14:paraId="2E6D693C" w14:textId="77777777" w:rsidR="002F32FB" w:rsidRDefault="002F32FB" w:rsidP="002F32FB">
      <w:pPr>
        <w:spacing w:line="480" w:lineRule="auto"/>
        <w:rPr>
          <w:b/>
          <w:bCs/>
        </w:rPr>
      </w:pPr>
    </w:p>
    <w:p w14:paraId="40065AEC" w14:textId="77777777" w:rsidR="002F32FB" w:rsidRDefault="002F32FB" w:rsidP="002F32FB">
      <w:pPr>
        <w:spacing w:line="480" w:lineRule="auto"/>
        <w:rPr>
          <w:b/>
          <w:bCs/>
        </w:rPr>
      </w:pPr>
    </w:p>
    <w:p w14:paraId="4105A9A4" w14:textId="77777777" w:rsidR="002F32FB" w:rsidRDefault="002F32FB" w:rsidP="002F32FB">
      <w:pPr>
        <w:spacing w:line="480" w:lineRule="auto"/>
        <w:rPr>
          <w:b/>
          <w:bCs/>
        </w:rPr>
      </w:pPr>
    </w:p>
    <w:p w14:paraId="525ABB7F" w14:textId="4EDAF569" w:rsidR="002F32FB" w:rsidRPr="003B2840" w:rsidRDefault="002F32FB" w:rsidP="002F32FB">
      <w:pPr>
        <w:spacing w:line="480" w:lineRule="auto"/>
        <w:rPr>
          <w:b/>
          <w:bCs/>
        </w:rPr>
      </w:pPr>
      <w:r w:rsidRPr="003B2840">
        <w:rPr>
          <w:b/>
          <w:bCs/>
        </w:rPr>
        <w:lastRenderedPageBreak/>
        <w:t>General Logistic Regression Model Results:</w:t>
      </w:r>
    </w:p>
    <w:p w14:paraId="7DD7CB47" w14:textId="77777777" w:rsidR="002F32FB" w:rsidRDefault="002F32FB" w:rsidP="002F32FB">
      <w:pPr>
        <w:spacing w:before="240" w:after="240" w:line="480" w:lineRule="auto"/>
      </w:pPr>
      <w:r>
        <w:t>Supplementary analyses show that models including NODDI metrics and CSF A/T status had the higher comparative AUC values than the CSF A/T Status model when predicting CU vs. MCI and CU vs. AD clinical outcomes (Suppl. Tables 1, 2).</w:t>
      </w:r>
    </w:p>
    <w:p w14:paraId="5A9E6252" w14:textId="77777777" w:rsidR="002F32FB" w:rsidRPr="008C61D6" w:rsidRDefault="002F32FB" w:rsidP="002F32FB">
      <w:pPr>
        <w:spacing w:line="480" w:lineRule="auto"/>
        <w:rPr>
          <w:b/>
          <w:bCs/>
        </w:rPr>
      </w:pPr>
      <w:r w:rsidRPr="008C61D6">
        <w:rPr>
          <w:b/>
          <w:bCs/>
        </w:rPr>
        <w:t xml:space="preserve">Supplementary Tables </w:t>
      </w:r>
    </w:p>
    <w:p w14:paraId="092EC3A0" w14:textId="77777777" w:rsidR="002F32FB" w:rsidRDefault="002F32FB" w:rsidP="002F32FB">
      <w:pPr>
        <w:spacing w:line="480" w:lineRule="auto"/>
        <w:rPr>
          <w:b/>
          <w:bCs/>
        </w:rPr>
      </w:pPr>
      <w:r w:rsidRPr="003B2840">
        <w:rPr>
          <w:b/>
          <w:bCs/>
        </w:rPr>
        <w:t xml:space="preserve">Supplementary Table 1: Logistic Regression Model Performance Predicting CU and AD-Dementia Clinical Status  </w:t>
      </w:r>
    </w:p>
    <w:p w14:paraId="621390D0" w14:textId="77777777" w:rsidR="002F32FB" w:rsidRDefault="002F32FB" w:rsidP="002F32FB">
      <w:pPr>
        <w:spacing w:line="480" w:lineRule="auto"/>
        <w:rPr>
          <w:b/>
          <w:bCs/>
        </w:rPr>
      </w:pPr>
    </w:p>
    <w:tbl>
      <w:tblPr>
        <w:tblStyle w:val="PlainTable2"/>
        <w:tblW w:w="9535" w:type="dxa"/>
        <w:tblLook w:val="04A0" w:firstRow="1" w:lastRow="0" w:firstColumn="1" w:lastColumn="0" w:noHBand="0" w:noVBand="1"/>
      </w:tblPr>
      <w:tblGrid>
        <w:gridCol w:w="3775"/>
        <w:gridCol w:w="2430"/>
        <w:gridCol w:w="1620"/>
        <w:gridCol w:w="1710"/>
      </w:tblGrid>
      <w:tr w:rsidR="002F32FB" w14:paraId="52976953" w14:textId="77777777" w:rsidTr="00EE58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14:paraId="23A7648A" w14:textId="77777777" w:rsidR="002F32FB" w:rsidRPr="0003787D" w:rsidRDefault="002F32FB" w:rsidP="00EE58AF">
            <w:pPr>
              <w:spacing w:line="480" w:lineRule="auto"/>
              <w:rPr>
                <w:b w:val="0"/>
                <w:bCs w:val="0"/>
              </w:rPr>
            </w:pPr>
            <w:r w:rsidRPr="0003787D">
              <w:rPr>
                <w:b w:val="0"/>
                <w:bCs w:val="0"/>
              </w:rPr>
              <w:t>Logistic Regression Models</w:t>
            </w:r>
          </w:p>
        </w:tc>
        <w:tc>
          <w:tcPr>
            <w:tcW w:w="2430" w:type="dxa"/>
          </w:tcPr>
          <w:p w14:paraId="67C8C7F7" w14:textId="77777777" w:rsidR="002F32FB" w:rsidRPr="0003787D" w:rsidRDefault="002F32FB" w:rsidP="00EE58AF">
            <w:pPr>
              <w:spacing w:line="480" w:lineRule="auto"/>
              <w:cnfStyle w:val="100000000000" w:firstRow="1" w:lastRow="0" w:firstColumn="0" w:lastColumn="0" w:oddVBand="0" w:evenVBand="0" w:oddHBand="0" w:evenHBand="0" w:firstRowFirstColumn="0" w:firstRowLastColumn="0" w:lastRowFirstColumn="0" w:lastRowLastColumn="0"/>
              <w:rPr>
                <w:b w:val="0"/>
                <w:bCs w:val="0"/>
              </w:rPr>
            </w:pPr>
            <w:r w:rsidRPr="0003787D">
              <w:rPr>
                <w:b w:val="0"/>
                <w:bCs w:val="0"/>
              </w:rPr>
              <w:t>AUC (95% CI)</w:t>
            </w:r>
          </w:p>
        </w:tc>
        <w:tc>
          <w:tcPr>
            <w:tcW w:w="1620" w:type="dxa"/>
          </w:tcPr>
          <w:p w14:paraId="1CAC33A9" w14:textId="77777777" w:rsidR="002F32FB" w:rsidRPr="0003787D" w:rsidRDefault="002F32FB" w:rsidP="00EE58AF">
            <w:pPr>
              <w:spacing w:line="480" w:lineRule="auto"/>
              <w:cnfStyle w:val="100000000000" w:firstRow="1" w:lastRow="0" w:firstColumn="0" w:lastColumn="0" w:oddVBand="0" w:evenVBand="0" w:oddHBand="0" w:evenHBand="0" w:firstRowFirstColumn="0" w:firstRowLastColumn="0" w:lastRowFirstColumn="0" w:lastRowLastColumn="0"/>
              <w:rPr>
                <w:b w:val="0"/>
                <w:bCs w:val="0"/>
              </w:rPr>
            </w:pPr>
            <w:r w:rsidRPr="0003787D">
              <w:rPr>
                <w:b w:val="0"/>
                <w:bCs w:val="0"/>
              </w:rPr>
              <w:t>AIC</w:t>
            </w:r>
          </w:p>
        </w:tc>
        <w:tc>
          <w:tcPr>
            <w:tcW w:w="1710" w:type="dxa"/>
          </w:tcPr>
          <w:p w14:paraId="1546A793" w14:textId="77777777" w:rsidR="002F32FB" w:rsidRPr="0003787D" w:rsidRDefault="002F32FB" w:rsidP="00EE58AF">
            <w:pPr>
              <w:spacing w:line="480" w:lineRule="auto"/>
              <w:cnfStyle w:val="100000000000" w:firstRow="1" w:lastRow="0" w:firstColumn="0" w:lastColumn="0" w:oddVBand="0" w:evenVBand="0" w:oddHBand="0" w:evenHBand="0" w:firstRowFirstColumn="0" w:firstRowLastColumn="0" w:lastRowFirstColumn="0" w:lastRowLastColumn="0"/>
              <w:rPr>
                <w:b w:val="0"/>
                <w:bCs w:val="0"/>
              </w:rPr>
            </w:pPr>
            <w:r w:rsidRPr="0003787D">
              <w:rPr>
                <w:b w:val="0"/>
                <w:bCs w:val="0"/>
              </w:rPr>
              <w:t>PLR</w:t>
            </w:r>
          </w:p>
        </w:tc>
      </w:tr>
      <w:tr w:rsidR="002F32FB" w14:paraId="096E7674" w14:textId="77777777" w:rsidTr="00EE58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14:paraId="15B07477" w14:textId="77777777" w:rsidR="002F32FB" w:rsidRPr="0003787D" w:rsidRDefault="002F32FB" w:rsidP="00EE58AF">
            <w:pPr>
              <w:spacing w:line="480" w:lineRule="auto"/>
              <w:rPr>
                <w:b w:val="0"/>
                <w:bCs w:val="0"/>
              </w:rPr>
            </w:pPr>
            <w:r w:rsidRPr="0003787D">
              <w:rPr>
                <w:b w:val="0"/>
                <w:bCs w:val="0"/>
              </w:rPr>
              <w:t>All models including age and sex</w:t>
            </w:r>
          </w:p>
          <w:p w14:paraId="2D70AE82" w14:textId="77777777" w:rsidR="002F32FB" w:rsidRPr="0003787D" w:rsidRDefault="002F32FB" w:rsidP="00EE58AF">
            <w:pPr>
              <w:spacing w:line="480" w:lineRule="auto"/>
              <w:rPr>
                <w:b w:val="0"/>
                <w:bCs w:val="0"/>
              </w:rPr>
            </w:pPr>
            <w:r w:rsidRPr="0003787D">
              <w:rPr>
                <w:b w:val="0"/>
                <w:bCs w:val="0"/>
              </w:rPr>
              <w:t>(0) No AT(N) Predictors</w:t>
            </w:r>
          </w:p>
          <w:p w14:paraId="56E36A52" w14:textId="77777777" w:rsidR="002F32FB" w:rsidRPr="0003787D" w:rsidRDefault="002F32FB" w:rsidP="00EE58AF">
            <w:pPr>
              <w:spacing w:line="480" w:lineRule="auto"/>
              <w:rPr>
                <w:b w:val="0"/>
                <w:bCs w:val="0"/>
              </w:rPr>
            </w:pPr>
            <w:r w:rsidRPr="0003787D">
              <w:rPr>
                <w:b w:val="0"/>
                <w:bCs w:val="0"/>
              </w:rPr>
              <w:t>(1)  CSF A/T Status</w:t>
            </w:r>
          </w:p>
          <w:p w14:paraId="6D72B55C" w14:textId="77777777" w:rsidR="002F32FB" w:rsidRPr="0003787D" w:rsidRDefault="002F32FB" w:rsidP="00EE58AF">
            <w:pPr>
              <w:spacing w:line="480" w:lineRule="auto"/>
              <w:rPr>
                <w:b w:val="0"/>
                <w:bCs w:val="0"/>
              </w:rPr>
            </w:pPr>
            <w:r w:rsidRPr="0003787D">
              <w:rPr>
                <w:b w:val="0"/>
                <w:bCs w:val="0"/>
              </w:rPr>
              <w:t>(2) WM NDI</w:t>
            </w:r>
          </w:p>
          <w:p w14:paraId="64A48800" w14:textId="77777777" w:rsidR="002F32FB" w:rsidRPr="0003787D" w:rsidRDefault="002F32FB" w:rsidP="00EE58AF">
            <w:pPr>
              <w:spacing w:line="480" w:lineRule="auto"/>
              <w:rPr>
                <w:b w:val="0"/>
                <w:bCs w:val="0"/>
              </w:rPr>
            </w:pPr>
            <w:r w:rsidRPr="0003787D">
              <w:rPr>
                <w:b w:val="0"/>
                <w:bCs w:val="0"/>
              </w:rPr>
              <w:t>(3) WM ODI</w:t>
            </w:r>
          </w:p>
          <w:p w14:paraId="17025253" w14:textId="77777777" w:rsidR="002F32FB" w:rsidRPr="0003787D" w:rsidRDefault="002F32FB" w:rsidP="00EE58AF">
            <w:pPr>
              <w:spacing w:line="480" w:lineRule="auto"/>
              <w:rPr>
                <w:b w:val="0"/>
                <w:bCs w:val="0"/>
              </w:rPr>
            </w:pPr>
            <w:r w:rsidRPr="0003787D">
              <w:rPr>
                <w:b w:val="0"/>
                <w:bCs w:val="0"/>
              </w:rPr>
              <w:t>(4) GM NDI</w:t>
            </w:r>
          </w:p>
          <w:p w14:paraId="4F1D0A53" w14:textId="77777777" w:rsidR="002F32FB" w:rsidRPr="0003787D" w:rsidRDefault="002F32FB" w:rsidP="00EE58AF">
            <w:pPr>
              <w:spacing w:line="480" w:lineRule="auto"/>
              <w:rPr>
                <w:b w:val="0"/>
                <w:bCs w:val="0"/>
              </w:rPr>
            </w:pPr>
            <w:r w:rsidRPr="0003787D">
              <w:rPr>
                <w:b w:val="0"/>
                <w:bCs w:val="0"/>
              </w:rPr>
              <w:t>(5) GM ODI</w:t>
            </w:r>
          </w:p>
          <w:p w14:paraId="2821F9A1" w14:textId="77777777" w:rsidR="002F32FB" w:rsidRPr="0003787D" w:rsidRDefault="002F32FB" w:rsidP="00EE58AF">
            <w:pPr>
              <w:spacing w:line="480" w:lineRule="auto"/>
              <w:rPr>
                <w:b w:val="0"/>
                <w:bCs w:val="0"/>
              </w:rPr>
            </w:pPr>
            <w:r w:rsidRPr="0003787D">
              <w:rPr>
                <w:b w:val="0"/>
                <w:bCs w:val="0"/>
              </w:rPr>
              <w:t>(6) CSF A/T Status + WM NDI</w:t>
            </w:r>
          </w:p>
          <w:p w14:paraId="3A726969" w14:textId="77777777" w:rsidR="002F32FB" w:rsidRPr="0003787D" w:rsidRDefault="002F32FB" w:rsidP="00EE58AF">
            <w:pPr>
              <w:spacing w:line="480" w:lineRule="auto"/>
              <w:rPr>
                <w:b w:val="0"/>
                <w:bCs w:val="0"/>
              </w:rPr>
            </w:pPr>
            <w:r w:rsidRPr="0003787D">
              <w:rPr>
                <w:b w:val="0"/>
                <w:bCs w:val="0"/>
              </w:rPr>
              <w:t>(7) CSF A/T Status + WM ODI</w:t>
            </w:r>
          </w:p>
          <w:p w14:paraId="5242A567" w14:textId="77777777" w:rsidR="002F32FB" w:rsidRPr="0003787D" w:rsidRDefault="002F32FB" w:rsidP="00EE58AF">
            <w:pPr>
              <w:spacing w:line="480" w:lineRule="auto"/>
              <w:rPr>
                <w:b w:val="0"/>
                <w:bCs w:val="0"/>
              </w:rPr>
            </w:pPr>
            <w:r w:rsidRPr="0003787D">
              <w:rPr>
                <w:b w:val="0"/>
                <w:bCs w:val="0"/>
              </w:rPr>
              <w:t>(8) CSF A/T Status + GM NDI</w:t>
            </w:r>
          </w:p>
          <w:p w14:paraId="61D04C76" w14:textId="77777777" w:rsidR="002F32FB" w:rsidRPr="0003787D" w:rsidRDefault="002F32FB" w:rsidP="00EE58AF">
            <w:pPr>
              <w:spacing w:line="480" w:lineRule="auto"/>
              <w:rPr>
                <w:b w:val="0"/>
                <w:bCs w:val="0"/>
              </w:rPr>
            </w:pPr>
            <w:r w:rsidRPr="0003787D">
              <w:rPr>
                <w:b w:val="0"/>
                <w:bCs w:val="0"/>
              </w:rPr>
              <w:t>(9)</w:t>
            </w:r>
            <w:r>
              <w:rPr>
                <w:b w:val="0"/>
                <w:bCs w:val="0"/>
              </w:rPr>
              <w:t xml:space="preserve"> </w:t>
            </w:r>
            <w:r w:rsidRPr="0003787D">
              <w:rPr>
                <w:b w:val="0"/>
                <w:bCs w:val="0"/>
              </w:rPr>
              <w:t>CSF A/T Status + GM ODI</w:t>
            </w:r>
          </w:p>
          <w:p w14:paraId="0F12483A" w14:textId="77777777" w:rsidR="002F32FB" w:rsidRPr="0003787D" w:rsidRDefault="002F32FB" w:rsidP="00EE58AF">
            <w:pPr>
              <w:spacing w:line="480" w:lineRule="auto"/>
              <w:rPr>
                <w:b w:val="0"/>
                <w:bCs w:val="0"/>
              </w:rPr>
            </w:pPr>
          </w:p>
          <w:p w14:paraId="4B698820" w14:textId="77777777" w:rsidR="002F32FB" w:rsidRDefault="002F32FB" w:rsidP="00EE58AF">
            <w:pPr>
              <w:spacing w:line="480" w:lineRule="auto"/>
            </w:pPr>
          </w:p>
        </w:tc>
        <w:tc>
          <w:tcPr>
            <w:tcW w:w="2430" w:type="dxa"/>
          </w:tcPr>
          <w:p w14:paraId="2A98102A"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p>
          <w:p w14:paraId="26B0DB40"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(0) 0.79(0.64-0.94)</w:t>
            </w:r>
          </w:p>
          <w:p w14:paraId="69D7DE5E"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(1) 0.95(0.89-1.00)</w:t>
            </w:r>
          </w:p>
          <w:p w14:paraId="197ABE3A"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(2) 0.98(0.96-1.00)</w:t>
            </w:r>
          </w:p>
          <w:p w14:paraId="14E07723"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(3) 1.00(1.00-1.00)</w:t>
            </w:r>
          </w:p>
          <w:p w14:paraId="024738CF"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(4) 0.97(0.92-1.00)</w:t>
            </w:r>
          </w:p>
          <w:p w14:paraId="015B0E6E"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(5) 1.00(0.99-1.00)</w:t>
            </w:r>
          </w:p>
          <w:p w14:paraId="1D455267"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(6) 0.98(0.94-1.00)</w:t>
            </w:r>
          </w:p>
          <w:p w14:paraId="07770BFD"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(7) 1.00(0.99-1.00)</w:t>
            </w:r>
          </w:p>
          <w:p w14:paraId="7D138FAF"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(8) 0.99(0.97-1.00)</w:t>
            </w:r>
          </w:p>
          <w:p w14:paraId="727C198E"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(9) 0.99(0.98-1.00)</w:t>
            </w:r>
          </w:p>
        </w:tc>
        <w:tc>
          <w:tcPr>
            <w:tcW w:w="1620" w:type="dxa"/>
          </w:tcPr>
          <w:p w14:paraId="1DED5140"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p>
          <w:p w14:paraId="3452D70C"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(0) -1.1</w:t>
            </w:r>
          </w:p>
          <w:p w14:paraId="6910B62F"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(1) 79.8</w:t>
            </w:r>
          </w:p>
          <w:p w14:paraId="412A0636"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(2) 27.9</w:t>
            </w:r>
          </w:p>
          <w:p w14:paraId="043D16FE"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(3) 54.4</w:t>
            </w:r>
          </w:p>
          <w:p w14:paraId="36A7CBCA"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(4) 34.7</w:t>
            </w:r>
          </w:p>
          <w:p w14:paraId="5E41E317"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(5) 49.7</w:t>
            </w:r>
          </w:p>
          <w:p w14:paraId="20B1D9FA"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(6) 44.5</w:t>
            </w:r>
          </w:p>
          <w:p w14:paraId="6203FF85"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(7) 64.8</w:t>
            </w:r>
          </w:p>
          <w:p w14:paraId="4E6E77E5"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(8) 49.4</w:t>
            </w:r>
          </w:p>
          <w:p w14:paraId="7EFA5937"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(9) 59.0</w:t>
            </w:r>
          </w:p>
        </w:tc>
        <w:tc>
          <w:tcPr>
            <w:tcW w:w="1710" w:type="dxa"/>
          </w:tcPr>
          <w:p w14:paraId="653D88B1"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p>
          <w:p w14:paraId="04B1D5EE"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(0) N/A</w:t>
            </w:r>
          </w:p>
          <w:p w14:paraId="3568C6F4"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(1) -73.76</w:t>
            </w:r>
          </w:p>
          <w:p w14:paraId="0FA56106"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(2) -11.89</w:t>
            </w:r>
          </w:p>
          <w:p w14:paraId="5687E99C"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(3) -38.42</w:t>
            </w:r>
          </w:p>
          <w:p w14:paraId="3719FBFC"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(4) -18.71</w:t>
            </w:r>
          </w:p>
          <w:p w14:paraId="7AE4C51D"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(5) -33.65</w:t>
            </w:r>
          </w:p>
          <w:p w14:paraId="356AF02F"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(6) -26.53</w:t>
            </w:r>
          </w:p>
          <w:p w14:paraId="628CFE48"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(7) -46.79</w:t>
            </w:r>
          </w:p>
          <w:p w14:paraId="56040DBC"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(8) -31.43</w:t>
            </w:r>
          </w:p>
          <w:p w14:paraId="748FCF9E"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(9) -41.04</w:t>
            </w:r>
          </w:p>
          <w:p w14:paraId="4C1CD6EF"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p>
        </w:tc>
      </w:tr>
    </w:tbl>
    <w:p w14:paraId="6DC2FBA2" w14:textId="77777777" w:rsidR="002F32FB" w:rsidRPr="003B2840" w:rsidRDefault="002F32FB" w:rsidP="002F32FB">
      <w:pPr>
        <w:spacing w:line="480" w:lineRule="auto"/>
        <w:rPr>
          <w:b/>
          <w:bCs/>
        </w:rPr>
      </w:pPr>
    </w:p>
    <w:p w14:paraId="6C3C583B" w14:textId="77777777" w:rsidR="002F32FB" w:rsidRDefault="002F32FB" w:rsidP="002F32FB">
      <w:pPr>
        <w:spacing w:line="480" w:lineRule="auto"/>
      </w:pPr>
      <w:r>
        <w:t xml:space="preserve"> </w:t>
      </w:r>
    </w:p>
    <w:p w14:paraId="6211BC4D" w14:textId="77777777" w:rsidR="002F32FB" w:rsidRDefault="002F32FB" w:rsidP="002F32FB">
      <w:pPr>
        <w:spacing w:line="480" w:lineRule="auto"/>
      </w:pPr>
      <w:r w:rsidRPr="003B2840">
        <w:rPr>
          <w:b/>
          <w:bCs/>
        </w:rPr>
        <w:t>Supplementary Table 1: Logistic Regression Model Performance Predicting CU and AD-Dementia Clinical Status</w:t>
      </w:r>
      <w:r>
        <w:t>. Logistic regression with Firth Reduction predicted binomial clinical diagnosis outcomes (CU or AD).  CU status included participants with CU diagnosis (n = 285) and A-/T-, A+/T-, or A+/T+ CSF status.  AD status included AD diagnosed participants (n = 5) with A+/T- or A+/T+ CSF A/T status. All models controlled for age and sex.  Receiver Operator Analysis (ROC) with Area Under the Curve (AUC) assessed model prediction accuracy. Akaike Information Criteria (AIC) and Penalized Likelihood Ratio (PLR) assessed model performance.  Models with NODDI + CSF A/T Status covariates had higher AUC values than the CSF A/T Status only model. The NODDI + CSF A/T Status model with the lowest AIC and highest PLR included NODDI-NDI in AD-associated white matter regions.</w:t>
      </w:r>
    </w:p>
    <w:p w14:paraId="5D71D354" w14:textId="77777777" w:rsidR="002F32FB" w:rsidRDefault="002F32FB" w:rsidP="002F32FB">
      <w:pPr>
        <w:spacing w:line="480" w:lineRule="auto"/>
      </w:pPr>
      <w:r>
        <w:t xml:space="preserve"> </w:t>
      </w:r>
    </w:p>
    <w:p w14:paraId="72C512EE" w14:textId="77777777" w:rsidR="002F32FB" w:rsidRPr="003B2840" w:rsidRDefault="002F32FB" w:rsidP="002F32FB">
      <w:pPr>
        <w:spacing w:line="480" w:lineRule="auto"/>
        <w:rPr>
          <w:b/>
          <w:bCs/>
        </w:rPr>
      </w:pPr>
      <w:r w:rsidRPr="003B2840">
        <w:rPr>
          <w:b/>
          <w:bCs/>
        </w:rPr>
        <w:t>Supplementary Table 2: Logistic Regression Model Performance Predicting CU and MCI Clinical Status</w:t>
      </w:r>
    </w:p>
    <w:p w14:paraId="0D74375D" w14:textId="77777777" w:rsidR="002F32FB" w:rsidRDefault="002F32FB" w:rsidP="002F32FB">
      <w:pPr>
        <w:spacing w:line="480" w:lineRule="auto"/>
      </w:pPr>
      <w:r>
        <w:t xml:space="preserve"> </w:t>
      </w:r>
    </w:p>
    <w:tbl>
      <w:tblPr>
        <w:tblStyle w:val="PlainTable2"/>
        <w:tblW w:w="9535" w:type="dxa"/>
        <w:tblLook w:val="04A0" w:firstRow="1" w:lastRow="0" w:firstColumn="1" w:lastColumn="0" w:noHBand="0" w:noVBand="1"/>
      </w:tblPr>
      <w:tblGrid>
        <w:gridCol w:w="3775"/>
        <w:gridCol w:w="2430"/>
        <w:gridCol w:w="1620"/>
        <w:gridCol w:w="1710"/>
      </w:tblGrid>
      <w:tr w:rsidR="002F32FB" w14:paraId="532BCE63" w14:textId="77777777" w:rsidTr="00EE58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14:paraId="3E7CAAD9" w14:textId="77777777" w:rsidR="002F32FB" w:rsidRPr="0003787D" w:rsidRDefault="002F32FB" w:rsidP="00EE58AF">
            <w:pPr>
              <w:spacing w:line="480" w:lineRule="auto"/>
              <w:rPr>
                <w:b w:val="0"/>
                <w:bCs w:val="0"/>
              </w:rPr>
            </w:pPr>
            <w:r w:rsidRPr="0003787D">
              <w:rPr>
                <w:b w:val="0"/>
                <w:bCs w:val="0"/>
              </w:rPr>
              <w:t>Logistic Regression Models</w:t>
            </w:r>
          </w:p>
        </w:tc>
        <w:tc>
          <w:tcPr>
            <w:tcW w:w="2430" w:type="dxa"/>
          </w:tcPr>
          <w:p w14:paraId="4FB32C49" w14:textId="77777777" w:rsidR="002F32FB" w:rsidRPr="0003787D" w:rsidRDefault="002F32FB" w:rsidP="00EE58AF">
            <w:pPr>
              <w:spacing w:line="480" w:lineRule="auto"/>
              <w:cnfStyle w:val="100000000000" w:firstRow="1" w:lastRow="0" w:firstColumn="0" w:lastColumn="0" w:oddVBand="0" w:evenVBand="0" w:oddHBand="0" w:evenHBand="0" w:firstRowFirstColumn="0" w:firstRowLastColumn="0" w:lastRowFirstColumn="0" w:lastRowLastColumn="0"/>
              <w:rPr>
                <w:b w:val="0"/>
                <w:bCs w:val="0"/>
              </w:rPr>
            </w:pPr>
            <w:r w:rsidRPr="0003787D">
              <w:rPr>
                <w:b w:val="0"/>
                <w:bCs w:val="0"/>
              </w:rPr>
              <w:t>AUC (95% CI)</w:t>
            </w:r>
          </w:p>
        </w:tc>
        <w:tc>
          <w:tcPr>
            <w:tcW w:w="1620" w:type="dxa"/>
          </w:tcPr>
          <w:p w14:paraId="27B6C41D" w14:textId="77777777" w:rsidR="002F32FB" w:rsidRPr="0003787D" w:rsidRDefault="002F32FB" w:rsidP="00EE58AF">
            <w:pPr>
              <w:spacing w:line="480" w:lineRule="auto"/>
              <w:cnfStyle w:val="100000000000" w:firstRow="1" w:lastRow="0" w:firstColumn="0" w:lastColumn="0" w:oddVBand="0" w:evenVBand="0" w:oddHBand="0" w:evenHBand="0" w:firstRowFirstColumn="0" w:firstRowLastColumn="0" w:lastRowFirstColumn="0" w:lastRowLastColumn="0"/>
              <w:rPr>
                <w:b w:val="0"/>
                <w:bCs w:val="0"/>
              </w:rPr>
            </w:pPr>
            <w:r w:rsidRPr="0003787D">
              <w:rPr>
                <w:b w:val="0"/>
                <w:bCs w:val="0"/>
              </w:rPr>
              <w:t>AIC</w:t>
            </w:r>
          </w:p>
        </w:tc>
        <w:tc>
          <w:tcPr>
            <w:tcW w:w="1710" w:type="dxa"/>
          </w:tcPr>
          <w:p w14:paraId="298E4CFA" w14:textId="77777777" w:rsidR="002F32FB" w:rsidRPr="0003787D" w:rsidRDefault="002F32FB" w:rsidP="00EE58AF">
            <w:pPr>
              <w:spacing w:line="480" w:lineRule="auto"/>
              <w:cnfStyle w:val="100000000000" w:firstRow="1" w:lastRow="0" w:firstColumn="0" w:lastColumn="0" w:oddVBand="0" w:evenVBand="0" w:oddHBand="0" w:evenHBand="0" w:firstRowFirstColumn="0" w:firstRowLastColumn="0" w:lastRowFirstColumn="0" w:lastRowLastColumn="0"/>
              <w:rPr>
                <w:b w:val="0"/>
                <w:bCs w:val="0"/>
              </w:rPr>
            </w:pPr>
            <w:r w:rsidRPr="0003787D">
              <w:rPr>
                <w:b w:val="0"/>
                <w:bCs w:val="0"/>
              </w:rPr>
              <w:t>PLR</w:t>
            </w:r>
          </w:p>
        </w:tc>
      </w:tr>
      <w:tr w:rsidR="002F32FB" w14:paraId="4518E654" w14:textId="77777777" w:rsidTr="00EE58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14:paraId="52999550" w14:textId="77777777" w:rsidR="002F32FB" w:rsidRPr="0003787D" w:rsidRDefault="002F32FB" w:rsidP="00EE58AF">
            <w:pPr>
              <w:spacing w:line="480" w:lineRule="auto"/>
              <w:rPr>
                <w:b w:val="0"/>
                <w:bCs w:val="0"/>
              </w:rPr>
            </w:pPr>
            <w:r w:rsidRPr="0003787D">
              <w:rPr>
                <w:b w:val="0"/>
                <w:bCs w:val="0"/>
              </w:rPr>
              <w:t>All models including age and sex</w:t>
            </w:r>
          </w:p>
          <w:p w14:paraId="690206BC" w14:textId="77777777" w:rsidR="002F32FB" w:rsidRPr="0003787D" w:rsidRDefault="002F32FB" w:rsidP="00EE58AF">
            <w:pPr>
              <w:spacing w:line="480" w:lineRule="auto"/>
              <w:rPr>
                <w:b w:val="0"/>
                <w:bCs w:val="0"/>
              </w:rPr>
            </w:pPr>
            <w:r w:rsidRPr="0003787D">
              <w:rPr>
                <w:b w:val="0"/>
                <w:bCs w:val="0"/>
              </w:rPr>
              <w:t>(0) No AT(N) Predictors</w:t>
            </w:r>
          </w:p>
          <w:p w14:paraId="0DC950FD" w14:textId="77777777" w:rsidR="002F32FB" w:rsidRPr="0003787D" w:rsidRDefault="002F32FB" w:rsidP="00EE58AF">
            <w:pPr>
              <w:spacing w:line="480" w:lineRule="auto"/>
              <w:rPr>
                <w:b w:val="0"/>
                <w:bCs w:val="0"/>
              </w:rPr>
            </w:pPr>
            <w:r w:rsidRPr="0003787D">
              <w:rPr>
                <w:b w:val="0"/>
                <w:bCs w:val="0"/>
              </w:rPr>
              <w:t>(1)  CSF A/T Status</w:t>
            </w:r>
          </w:p>
          <w:p w14:paraId="7F34A298" w14:textId="77777777" w:rsidR="002F32FB" w:rsidRPr="0003787D" w:rsidRDefault="002F32FB" w:rsidP="00EE58AF">
            <w:pPr>
              <w:spacing w:line="480" w:lineRule="auto"/>
              <w:rPr>
                <w:b w:val="0"/>
                <w:bCs w:val="0"/>
              </w:rPr>
            </w:pPr>
            <w:r w:rsidRPr="0003787D">
              <w:rPr>
                <w:b w:val="0"/>
                <w:bCs w:val="0"/>
              </w:rPr>
              <w:t>(2) WM NDI</w:t>
            </w:r>
          </w:p>
          <w:p w14:paraId="214E9343" w14:textId="77777777" w:rsidR="002F32FB" w:rsidRPr="0003787D" w:rsidRDefault="002F32FB" w:rsidP="00EE58AF">
            <w:pPr>
              <w:spacing w:line="480" w:lineRule="auto"/>
              <w:rPr>
                <w:b w:val="0"/>
                <w:bCs w:val="0"/>
              </w:rPr>
            </w:pPr>
            <w:r w:rsidRPr="0003787D">
              <w:rPr>
                <w:b w:val="0"/>
                <w:bCs w:val="0"/>
              </w:rPr>
              <w:lastRenderedPageBreak/>
              <w:t>(3) WM ODI</w:t>
            </w:r>
          </w:p>
          <w:p w14:paraId="5E74367F" w14:textId="77777777" w:rsidR="002F32FB" w:rsidRPr="0003787D" w:rsidRDefault="002F32FB" w:rsidP="00EE58AF">
            <w:pPr>
              <w:spacing w:line="480" w:lineRule="auto"/>
              <w:rPr>
                <w:b w:val="0"/>
                <w:bCs w:val="0"/>
              </w:rPr>
            </w:pPr>
            <w:r w:rsidRPr="0003787D">
              <w:rPr>
                <w:b w:val="0"/>
                <w:bCs w:val="0"/>
              </w:rPr>
              <w:t>(4) GM NDI</w:t>
            </w:r>
          </w:p>
          <w:p w14:paraId="2B5B9914" w14:textId="77777777" w:rsidR="002F32FB" w:rsidRPr="0003787D" w:rsidRDefault="002F32FB" w:rsidP="00EE58AF">
            <w:pPr>
              <w:spacing w:line="480" w:lineRule="auto"/>
              <w:rPr>
                <w:b w:val="0"/>
                <w:bCs w:val="0"/>
              </w:rPr>
            </w:pPr>
            <w:r w:rsidRPr="0003787D">
              <w:rPr>
                <w:b w:val="0"/>
                <w:bCs w:val="0"/>
              </w:rPr>
              <w:t>(5) GM ODI</w:t>
            </w:r>
          </w:p>
          <w:p w14:paraId="740C602A" w14:textId="77777777" w:rsidR="002F32FB" w:rsidRPr="0003787D" w:rsidRDefault="002F32FB" w:rsidP="00EE58AF">
            <w:pPr>
              <w:spacing w:line="480" w:lineRule="auto"/>
              <w:rPr>
                <w:b w:val="0"/>
                <w:bCs w:val="0"/>
              </w:rPr>
            </w:pPr>
            <w:r w:rsidRPr="0003787D">
              <w:rPr>
                <w:b w:val="0"/>
                <w:bCs w:val="0"/>
              </w:rPr>
              <w:t>(6) CSF A/T Status + WM NDI</w:t>
            </w:r>
          </w:p>
          <w:p w14:paraId="19D22B8A" w14:textId="77777777" w:rsidR="002F32FB" w:rsidRPr="0003787D" w:rsidRDefault="002F32FB" w:rsidP="00EE58AF">
            <w:pPr>
              <w:spacing w:line="480" w:lineRule="auto"/>
              <w:rPr>
                <w:b w:val="0"/>
                <w:bCs w:val="0"/>
              </w:rPr>
            </w:pPr>
            <w:r w:rsidRPr="0003787D">
              <w:rPr>
                <w:b w:val="0"/>
                <w:bCs w:val="0"/>
              </w:rPr>
              <w:t>(7) CSF A/T Status + WM ODI</w:t>
            </w:r>
          </w:p>
          <w:p w14:paraId="2EDCFF69" w14:textId="77777777" w:rsidR="002F32FB" w:rsidRPr="0003787D" w:rsidRDefault="002F32FB" w:rsidP="00EE58AF">
            <w:pPr>
              <w:spacing w:line="480" w:lineRule="auto"/>
              <w:rPr>
                <w:b w:val="0"/>
                <w:bCs w:val="0"/>
              </w:rPr>
            </w:pPr>
            <w:r w:rsidRPr="0003787D">
              <w:rPr>
                <w:b w:val="0"/>
                <w:bCs w:val="0"/>
              </w:rPr>
              <w:t>(8) CSF A/T Status + GM NDI</w:t>
            </w:r>
          </w:p>
          <w:p w14:paraId="6F3F3469" w14:textId="77777777" w:rsidR="002F32FB" w:rsidRPr="0003787D" w:rsidRDefault="002F32FB" w:rsidP="00EE58AF">
            <w:pPr>
              <w:spacing w:line="480" w:lineRule="auto"/>
              <w:rPr>
                <w:b w:val="0"/>
                <w:bCs w:val="0"/>
              </w:rPr>
            </w:pPr>
            <w:r w:rsidRPr="0003787D">
              <w:rPr>
                <w:b w:val="0"/>
                <w:bCs w:val="0"/>
              </w:rPr>
              <w:t>(9)</w:t>
            </w:r>
            <w:r>
              <w:rPr>
                <w:b w:val="0"/>
                <w:bCs w:val="0"/>
              </w:rPr>
              <w:t xml:space="preserve"> </w:t>
            </w:r>
            <w:r w:rsidRPr="0003787D">
              <w:rPr>
                <w:b w:val="0"/>
                <w:bCs w:val="0"/>
              </w:rPr>
              <w:t>CSF A/T Status + GM ODI</w:t>
            </w:r>
          </w:p>
          <w:p w14:paraId="66CA951B" w14:textId="77777777" w:rsidR="002F32FB" w:rsidRPr="0003787D" w:rsidRDefault="002F32FB" w:rsidP="00EE58AF">
            <w:pPr>
              <w:spacing w:line="480" w:lineRule="auto"/>
              <w:rPr>
                <w:b w:val="0"/>
                <w:bCs w:val="0"/>
              </w:rPr>
            </w:pPr>
          </w:p>
          <w:p w14:paraId="04C71B7B" w14:textId="77777777" w:rsidR="002F32FB" w:rsidRDefault="002F32FB" w:rsidP="00EE58AF">
            <w:pPr>
              <w:spacing w:line="480" w:lineRule="auto"/>
            </w:pPr>
          </w:p>
        </w:tc>
        <w:tc>
          <w:tcPr>
            <w:tcW w:w="2430" w:type="dxa"/>
          </w:tcPr>
          <w:p w14:paraId="6575FC06"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p>
          <w:p w14:paraId="7A5250D0"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(0) 0.75(0.55-0.95)</w:t>
            </w:r>
          </w:p>
          <w:p w14:paraId="42F32536"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(1) 0.94(0.88-1.00)</w:t>
            </w:r>
          </w:p>
          <w:p w14:paraId="04E766F5"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(2) 0.92(0.86-0.99)</w:t>
            </w:r>
          </w:p>
          <w:p w14:paraId="3C656C6B"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lastRenderedPageBreak/>
              <w:t>(3) 0.85(0.70-1.00)</w:t>
            </w:r>
          </w:p>
          <w:p w14:paraId="19FD0D2E"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(4) 0.86(0.72-1.00)</w:t>
            </w:r>
          </w:p>
          <w:p w14:paraId="1BEF5C0E"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(5) 0.86(0.73-0.99)</w:t>
            </w:r>
          </w:p>
          <w:p w14:paraId="48AB3D5B"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(6) 0.97(0.94-1.00)</w:t>
            </w:r>
          </w:p>
          <w:p w14:paraId="6C5DB5B5"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(7) 0.96(0.92-1.00)</w:t>
            </w:r>
          </w:p>
          <w:p w14:paraId="6210BEF0"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(8) 0.97(0.95-1.00)</w:t>
            </w:r>
          </w:p>
          <w:p w14:paraId="3779E377"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(9) 0.97(0.95-1.00)</w:t>
            </w:r>
          </w:p>
        </w:tc>
        <w:tc>
          <w:tcPr>
            <w:tcW w:w="1620" w:type="dxa"/>
          </w:tcPr>
          <w:p w14:paraId="5A1823BF"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p>
          <w:p w14:paraId="6B203638"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(0) 1.30</w:t>
            </w:r>
          </w:p>
          <w:p w14:paraId="4DCCE865"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(1) 102.2</w:t>
            </w:r>
          </w:p>
          <w:p w14:paraId="48FC53D1"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(2) 24.2</w:t>
            </w:r>
          </w:p>
          <w:p w14:paraId="13284CB3"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lastRenderedPageBreak/>
              <w:t>(3) 19.6</w:t>
            </w:r>
          </w:p>
          <w:p w14:paraId="0C13255B"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(4) 28.3</w:t>
            </w:r>
          </w:p>
          <w:p w14:paraId="558CBB9F"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(5) 27.7</w:t>
            </w:r>
          </w:p>
          <w:p w14:paraId="13069902"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(6) 42.2</w:t>
            </w:r>
          </w:p>
          <w:p w14:paraId="7F2897D2"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(7) 42.7</w:t>
            </w:r>
          </w:p>
          <w:p w14:paraId="53555909"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(8) 49.4</w:t>
            </w:r>
          </w:p>
          <w:p w14:paraId="0C4590F4"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(9) 48.3</w:t>
            </w:r>
          </w:p>
        </w:tc>
        <w:tc>
          <w:tcPr>
            <w:tcW w:w="1710" w:type="dxa"/>
          </w:tcPr>
          <w:p w14:paraId="63D69C95"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p>
          <w:p w14:paraId="3B41E5F5"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(0) N/A</w:t>
            </w:r>
          </w:p>
          <w:p w14:paraId="6A1FBC12"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(1) -96.25</w:t>
            </w:r>
          </w:p>
          <w:p w14:paraId="5E7EF719"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(2) -8.28</w:t>
            </w:r>
          </w:p>
          <w:p w14:paraId="47DA5DE3"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lastRenderedPageBreak/>
              <w:t>(3) -3.59</w:t>
            </w:r>
          </w:p>
          <w:p w14:paraId="1F50A535"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(4) -12.34</w:t>
            </w:r>
          </w:p>
          <w:p w14:paraId="73DEB0A0"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(5) -11.69</w:t>
            </w:r>
          </w:p>
          <w:p w14:paraId="412AEA2D"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(6) -24.23</w:t>
            </w:r>
          </w:p>
          <w:p w14:paraId="2666AA86"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(7) -24.64</w:t>
            </w:r>
          </w:p>
          <w:p w14:paraId="4BA898EA"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(8) -31.43</w:t>
            </w:r>
          </w:p>
          <w:p w14:paraId="1DFF38BA"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r>
              <w:t>(9) -30.35</w:t>
            </w:r>
          </w:p>
          <w:p w14:paraId="63300ABD" w14:textId="77777777" w:rsidR="002F32FB" w:rsidRDefault="002F32FB" w:rsidP="00EE58AF">
            <w:pPr>
              <w:spacing w:line="480" w:lineRule="auto"/>
              <w:cnfStyle w:val="000000100000" w:firstRow="0" w:lastRow="0" w:firstColumn="0" w:lastColumn="0" w:oddVBand="0" w:evenVBand="0" w:oddHBand="1" w:evenHBand="0" w:firstRowFirstColumn="0" w:firstRowLastColumn="0" w:lastRowFirstColumn="0" w:lastRowLastColumn="0"/>
            </w:pPr>
          </w:p>
        </w:tc>
      </w:tr>
    </w:tbl>
    <w:p w14:paraId="6748ED0B" w14:textId="77777777" w:rsidR="002F32FB" w:rsidRDefault="002F32FB" w:rsidP="002F32FB">
      <w:pPr>
        <w:spacing w:line="480" w:lineRule="auto"/>
      </w:pPr>
    </w:p>
    <w:p w14:paraId="73BAB89A" w14:textId="77777777" w:rsidR="002F32FB" w:rsidRDefault="002F32FB" w:rsidP="002F32FB">
      <w:pPr>
        <w:spacing w:line="480" w:lineRule="auto"/>
      </w:pPr>
    </w:p>
    <w:p w14:paraId="5D48E494" w14:textId="77777777" w:rsidR="002F32FB" w:rsidRDefault="002F32FB" w:rsidP="002F32FB">
      <w:pPr>
        <w:spacing w:line="480" w:lineRule="auto"/>
      </w:pPr>
      <w:r w:rsidRPr="003B2840">
        <w:rPr>
          <w:b/>
          <w:bCs/>
        </w:rPr>
        <w:t>Supplementary Table 2: Logistic Regression Model Performance Predicting CU and MCI Clinical Status</w:t>
      </w:r>
      <w:r>
        <w:t>. Logistic regression with Firth Reduction predicted binomial clinical diagnosis outcomes (CU or MCI).  CU status included participants with CU diagnosis (n = 285) and A-/T-, A+/T-, or A+/T+ CSF status.  MCI status included MCI diagnosed participants (n = 6) with A+/T- or A+/T+ CSF A/T status. All models controlled for age and sex.  Receiver Operator Analysis (ROC) with Area Under the Curve (AUC) assessed model prediction accuracy. Akaike Information Criteria (AIC) and Penalized Likelihood Ratio (PLR) assessed model performance.  Models with NODDI + CSF A/T Status covariates had higher AUC values than the CSF A/T Status only model. The NODDI + CSF A/T Status model with the lowest AIC and highest PLR included NODDI-ODI in AD-associated white matter regions.</w:t>
      </w:r>
    </w:p>
    <w:p w14:paraId="5075ECB0" w14:textId="77777777" w:rsidR="002F32FB" w:rsidRDefault="002F32FB" w:rsidP="002F32FB">
      <w:pPr>
        <w:spacing w:line="480" w:lineRule="auto"/>
      </w:pPr>
      <w:r>
        <w:t xml:space="preserve"> </w:t>
      </w:r>
    </w:p>
    <w:p w14:paraId="7F459784" w14:textId="185AAC8C" w:rsidR="003A0B5E" w:rsidRPr="003B1585" w:rsidRDefault="002F32FB" w:rsidP="003A0B5E">
      <w:pPr>
        <w:spacing w:line="480" w:lineRule="auto"/>
        <w:rPr>
          <w:rFonts w:ascii="Arial" w:hAnsi="Arial" w:cs="Arial"/>
          <w:b/>
          <w:bCs/>
        </w:rPr>
      </w:pPr>
      <w:r>
        <w:lastRenderedPageBreak/>
        <w:t xml:space="preserve"> </w:t>
      </w:r>
      <w:r w:rsidR="003A0B5E" w:rsidRPr="003B1585">
        <w:rPr>
          <w:rFonts w:ascii="Arial" w:hAnsi="Arial" w:cs="Arial"/>
          <w:b/>
          <w:bCs/>
          <w:color w:val="000000" w:themeColor="text1"/>
        </w:rPr>
        <w:t xml:space="preserve">Supplemental Figure 1: Correlation between NODDI ODI Z-score and CSF p-Tau Levels </w:t>
      </w:r>
      <w:r w:rsidR="003A0B5E">
        <w:rPr>
          <w:rFonts w:ascii="Arial" w:hAnsi="Arial" w:cs="Arial"/>
          <w:b/>
          <w:bCs/>
          <w:color w:val="000000" w:themeColor="text1"/>
        </w:rPr>
        <w:t>a</w:t>
      </w:r>
      <w:r w:rsidR="003A0B5E" w:rsidRPr="003B1585">
        <w:rPr>
          <w:rFonts w:ascii="Arial" w:hAnsi="Arial" w:cs="Arial"/>
          <w:b/>
          <w:bCs/>
          <w:color w:val="000000" w:themeColor="text1"/>
        </w:rPr>
        <w:t>cross ROIs</w:t>
      </w:r>
      <w:r w:rsidR="003A0B5E" w:rsidRPr="003B1585">
        <w:rPr>
          <w:rFonts w:ascii="Arial" w:hAnsi="Arial" w:cs="Arial"/>
          <w:color w:val="000000" w:themeColor="text1"/>
        </w:rPr>
        <w:t>.</w:t>
      </w:r>
    </w:p>
    <w:p w14:paraId="2BD2954C" w14:textId="77777777" w:rsidR="003A0B5E" w:rsidRPr="003B1585" w:rsidRDefault="003A0B5E" w:rsidP="003A0B5E">
      <w:pPr>
        <w:spacing w:line="480" w:lineRule="auto"/>
        <w:rPr>
          <w:rFonts w:ascii="Arial" w:hAnsi="Arial" w:cs="Arial"/>
        </w:rPr>
      </w:pPr>
      <w:r w:rsidRPr="003B1585">
        <w:rPr>
          <w:rFonts w:ascii="Arial" w:hAnsi="Arial" w:cs="Arial"/>
          <w:noProof/>
        </w:rPr>
        <w:drawing>
          <wp:inline distT="0" distB="0" distL="0" distR="0" wp14:anchorId="6B33E237" wp14:editId="407A4DEB">
            <wp:extent cx="5943600" cy="309689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096895"/>
                    </a:xfrm>
                    <a:prstGeom prst="rect">
                      <a:avLst/>
                    </a:prstGeom>
                  </pic:spPr>
                </pic:pic>
              </a:graphicData>
            </a:graphic>
          </wp:inline>
        </w:drawing>
      </w:r>
    </w:p>
    <w:p w14:paraId="48B63F47" w14:textId="77777777" w:rsidR="003A0B5E" w:rsidRDefault="003A0B5E" w:rsidP="003A0B5E">
      <w:pPr>
        <w:spacing w:before="240" w:after="240" w:line="480" w:lineRule="auto"/>
        <w:rPr>
          <w:rFonts w:ascii="Arial" w:hAnsi="Arial" w:cs="Arial"/>
          <w:color w:val="000000" w:themeColor="text1"/>
        </w:rPr>
      </w:pPr>
      <w:r w:rsidRPr="003B1585">
        <w:rPr>
          <w:rFonts w:ascii="Arial" w:hAnsi="Arial" w:cs="Arial"/>
          <w:color w:val="000000" w:themeColor="text1"/>
        </w:rPr>
        <w:t xml:space="preserve">Top row: white matter regions. Bottom row: gray matter regions. Y-axis: CSF p-Tau levels (mg/ml). X-axis: ODI Z-scores for ROI. Blue hue corresponds to Z-score value going from negative to positive. ODI Z-scores had significant negative correlation with p-Tau level across all gray matter ROIs, and the ILF and corpus callosum (Splenium) white matter regions. ODI had a positive, </w:t>
      </w:r>
      <w:r>
        <w:rPr>
          <w:rFonts w:ascii="Arial" w:hAnsi="Arial" w:cs="Arial"/>
          <w:color w:val="000000" w:themeColor="text1"/>
        </w:rPr>
        <w:t>non-</w:t>
      </w:r>
      <w:r w:rsidRPr="003B1585">
        <w:rPr>
          <w:rFonts w:ascii="Arial" w:hAnsi="Arial" w:cs="Arial"/>
          <w:color w:val="000000" w:themeColor="text1"/>
        </w:rPr>
        <w:t xml:space="preserve">significant correlation with p-Tau in UF. </w:t>
      </w:r>
    </w:p>
    <w:p w14:paraId="12A66940" w14:textId="77777777" w:rsidR="003A0B5E" w:rsidRDefault="003A0B5E" w:rsidP="003A0B5E">
      <w:pPr>
        <w:spacing w:before="240" w:after="240" w:line="480" w:lineRule="auto"/>
        <w:rPr>
          <w:rFonts w:ascii="Arial" w:hAnsi="Arial" w:cs="Arial"/>
          <w:color w:val="000000" w:themeColor="text1"/>
        </w:rPr>
      </w:pPr>
    </w:p>
    <w:p w14:paraId="152089A7" w14:textId="77777777" w:rsidR="003A0B5E" w:rsidRDefault="003A0B5E" w:rsidP="003A0B5E">
      <w:pPr>
        <w:spacing w:before="240" w:after="240" w:line="480" w:lineRule="auto"/>
        <w:rPr>
          <w:rFonts w:ascii="Arial" w:hAnsi="Arial" w:cs="Arial"/>
          <w:color w:val="000000" w:themeColor="text1"/>
        </w:rPr>
      </w:pPr>
    </w:p>
    <w:p w14:paraId="1C4D977F" w14:textId="77777777" w:rsidR="003A0B5E" w:rsidRDefault="003A0B5E" w:rsidP="003A0B5E">
      <w:pPr>
        <w:spacing w:before="240" w:after="240" w:line="480" w:lineRule="auto"/>
        <w:rPr>
          <w:rFonts w:ascii="Arial" w:hAnsi="Arial" w:cs="Arial"/>
          <w:color w:val="000000" w:themeColor="text1"/>
        </w:rPr>
      </w:pPr>
    </w:p>
    <w:p w14:paraId="67B9B615" w14:textId="77777777" w:rsidR="003A0B5E" w:rsidRDefault="003A0B5E" w:rsidP="003A0B5E">
      <w:pPr>
        <w:spacing w:before="240" w:after="240" w:line="480" w:lineRule="auto"/>
        <w:rPr>
          <w:rFonts w:ascii="Arial" w:hAnsi="Arial" w:cs="Arial"/>
          <w:color w:val="000000" w:themeColor="text1"/>
        </w:rPr>
      </w:pPr>
    </w:p>
    <w:p w14:paraId="5A8B2064" w14:textId="77777777" w:rsidR="003A0B5E" w:rsidRPr="003B1585" w:rsidRDefault="003A0B5E" w:rsidP="003A0B5E">
      <w:pPr>
        <w:spacing w:before="240" w:after="240" w:line="480" w:lineRule="auto"/>
        <w:rPr>
          <w:rFonts w:ascii="Arial" w:hAnsi="Arial" w:cs="Arial"/>
          <w:color w:val="000000" w:themeColor="text1"/>
        </w:rPr>
      </w:pPr>
      <w:r w:rsidRPr="003B1585">
        <w:rPr>
          <w:rFonts w:ascii="Arial" w:hAnsi="Arial" w:cs="Arial"/>
          <w:b/>
          <w:bCs/>
          <w:color w:val="000000" w:themeColor="text1"/>
        </w:rPr>
        <w:lastRenderedPageBreak/>
        <w:t xml:space="preserve">Supplemental Figure </w:t>
      </w:r>
      <w:r>
        <w:rPr>
          <w:rFonts w:ascii="Arial" w:hAnsi="Arial" w:cs="Arial"/>
          <w:b/>
          <w:bCs/>
          <w:color w:val="000000" w:themeColor="text1"/>
        </w:rPr>
        <w:t>2</w:t>
      </w:r>
      <w:r w:rsidRPr="003B1585">
        <w:rPr>
          <w:rFonts w:ascii="Arial" w:hAnsi="Arial" w:cs="Arial"/>
          <w:b/>
          <w:bCs/>
          <w:color w:val="000000" w:themeColor="text1"/>
        </w:rPr>
        <w:t xml:space="preserve">: Correlation between NODDI NDI Z-score and CSF p-Tau Levels </w:t>
      </w:r>
      <w:r>
        <w:rPr>
          <w:rFonts w:ascii="Arial" w:hAnsi="Arial" w:cs="Arial"/>
          <w:b/>
          <w:bCs/>
          <w:color w:val="000000" w:themeColor="text1"/>
        </w:rPr>
        <w:t>a</w:t>
      </w:r>
      <w:r w:rsidRPr="003B1585">
        <w:rPr>
          <w:rFonts w:ascii="Arial" w:hAnsi="Arial" w:cs="Arial"/>
          <w:b/>
          <w:bCs/>
          <w:color w:val="000000" w:themeColor="text1"/>
        </w:rPr>
        <w:t>cross ROIs.</w:t>
      </w:r>
      <w:r w:rsidRPr="003B1585">
        <w:rPr>
          <w:rFonts w:ascii="Arial" w:hAnsi="Arial" w:cs="Arial"/>
          <w:noProof/>
          <w:color w:val="000000" w:themeColor="text1"/>
        </w:rPr>
        <w:drawing>
          <wp:inline distT="0" distB="0" distL="0" distR="0" wp14:anchorId="2F0C069D" wp14:editId="7B66917E">
            <wp:extent cx="5943600" cy="31578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157855"/>
                    </a:xfrm>
                    <a:prstGeom prst="rect">
                      <a:avLst/>
                    </a:prstGeom>
                  </pic:spPr>
                </pic:pic>
              </a:graphicData>
            </a:graphic>
          </wp:inline>
        </w:drawing>
      </w:r>
      <w:r w:rsidRPr="003B1585">
        <w:rPr>
          <w:rFonts w:ascii="Arial" w:hAnsi="Arial" w:cs="Arial"/>
          <w:color w:val="000000" w:themeColor="text1"/>
        </w:rPr>
        <w:t xml:space="preserve"> Top row: white matter regions. Bottom row: gray matter regions. Y-axis: CSF p-Tau levels (mg/ml). X-axis: NDI Z-scores for ROI. Blue hue corresponds to Z-score value going from negative to positive. ODI Z-scores had significant negative correlation with p-Tau level for the Hippocampus, UF, Cingulum (Hippocampus), Cingulum (Cingulate Gyrus) ROIs.</w:t>
      </w:r>
    </w:p>
    <w:p w14:paraId="26667139" w14:textId="77777777" w:rsidR="003A0B5E" w:rsidRPr="003B1585" w:rsidRDefault="003A0B5E" w:rsidP="003A0B5E">
      <w:pPr>
        <w:spacing w:before="240" w:after="240" w:line="480" w:lineRule="auto"/>
        <w:rPr>
          <w:rFonts w:ascii="Arial" w:hAnsi="Arial" w:cs="Arial"/>
          <w:color w:val="000000" w:themeColor="text1"/>
        </w:rPr>
      </w:pPr>
    </w:p>
    <w:p w14:paraId="431269D4" w14:textId="77777777" w:rsidR="003A0B5E" w:rsidRPr="003B1585" w:rsidRDefault="003A0B5E" w:rsidP="003A0B5E">
      <w:pPr>
        <w:spacing w:before="240" w:after="240" w:line="480" w:lineRule="auto"/>
        <w:rPr>
          <w:rFonts w:ascii="Arial" w:hAnsi="Arial" w:cs="Arial"/>
          <w:color w:val="000000" w:themeColor="text1"/>
        </w:rPr>
      </w:pPr>
    </w:p>
    <w:p w14:paraId="3472C6DA" w14:textId="0C9D73D0" w:rsidR="003A0B5E" w:rsidRDefault="003A0B5E" w:rsidP="003A0B5E">
      <w:pPr>
        <w:spacing w:before="240" w:after="240" w:line="480" w:lineRule="auto"/>
        <w:rPr>
          <w:rFonts w:ascii="Arial" w:hAnsi="Arial" w:cs="Arial"/>
          <w:color w:val="000000" w:themeColor="text1"/>
        </w:rPr>
      </w:pPr>
    </w:p>
    <w:p w14:paraId="0F70B87A" w14:textId="31A9186E" w:rsidR="00FF1241" w:rsidRDefault="00FF1241" w:rsidP="003A0B5E">
      <w:pPr>
        <w:spacing w:before="240" w:after="240" w:line="480" w:lineRule="auto"/>
        <w:rPr>
          <w:rFonts w:ascii="Arial" w:hAnsi="Arial" w:cs="Arial"/>
          <w:color w:val="000000" w:themeColor="text1"/>
        </w:rPr>
      </w:pPr>
    </w:p>
    <w:p w14:paraId="3F1B0B1A" w14:textId="77777777" w:rsidR="00FF1241" w:rsidRDefault="00FF1241" w:rsidP="003A0B5E">
      <w:pPr>
        <w:spacing w:before="240" w:after="240" w:line="480" w:lineRule="auto"/>
        <w:rPr>
          <w:rFonts w:ascii="Arial" w:hAnsi="Arial" w:cs="Arial"/>
          <w:color w:val="000000" w:themeColor="text1"/>
        </w:rPr>
      </w:pPr>
    </w:p>
    <w:p w14:paraId="3243750F" w14:textId="77777777" w:rsidR="003A0B5E" w:rsidRPr="003B1585" w:rsidRDefault="003A0B5E" w:rsidP="003A0B5E">
      <w:pPr>
        <w:spacing w:before="240" w:after="240" w:line="480" w:lineRule="auto"/>
        <w:rPr>
          <w:rFonts w:ascii="Arial" w:hAnsi="Arial" w:cs="Arial"/>
          <w:color w:val="000000" w:themeColor="text1"/>
        </w:rPr>
      </w:pPr>
      <w:r w:rsidRPr="003B1585">
        <w:rPr>
          <w:rFonts w:ascii="Arial" w:hAnsi="Arial" w:cs="Arial"/>
          <w:b/>
          <w:bCs/>
          <w:color w:val="000000" w:themeColor="text1"/>
        </w:rPr>
        <w:lastRenderedPageBreak/>
        <w:t xml:space="preserve">Supplemental Figure </w:t>
      </w:r>
      <w:r>
        <w:rPr>
          <w:rFonts w:ascii="Arial" w:hAnsi="Arial" w:cs="Arial"/>
          <w:b/>
          <w:bCs/>
          <w:color w:val="000000" w:themeColor="text1"/>
        </w:rPr>
        <w:t>3</w:t>
      </w:r>
      <w:r w:rsidRPr="003B1585">
        <w:rPr>
          <w:rFonts w:ascii="Arial" w:hAnsi="Arial" w:cs="Arial"/>
          <w:b/>
          <w:bCs/>
          <w:color w:val="000000" w:themeColor="text1"/>
        </w:rPr>
        <w:t>: Correlation between NODDI ODI Z-score and CSF A</w:t>
      </w:r>
      <w:r>
        <w:rPr>
          <w:rFonts w:ascii="Arial" w:hAnsi="Arial" w:cs="Arial"/>
          <w:b/>
          <w:bCs/>
          <w:color w:val="000000" w:themeColor="text1"/>
        </w:rPr>
        <w:t>β</w:t>
      </w:r>
      <w:r w:rsidRPr="003B1585">
        <w:rPr>
          <w:rFonts w:ascii="Arial" w:hAnsi="Arial" w:cs="Arial"/>
          <w:b/>
          <w:bCs/>
          <w:color w:val="000000" w:themeColor="text1"/>
        </w:rPr>
        <w:t xml:space="preserve">42/40 Levels </w:t>
      </w:r>
      <w:r>
        <w:rPr>
          <w:rFonts w:ascii="Arial" w:hAnsi="Arial" w:cs="Arial"/>
          <w:b/>
          <w:bCs/>
          <w:color w:val="000000" w:themeColor="text1"/>
        </w:rPr>
        <w:t>a</w:t>
      </w:r>
      <w:r w:rsidRPr="003B1585">
        <w:rPr>
          <w:rFonts w:ascii="Arial" w:hAnsi="Arial" w:cs="Arial"/>
          <w:b/>
          <w:bCs/>
          <w:color w:val="000000" w:themeColor="text1"/>
        </w:rPr>
        <w:t>cross ROIs.</w:t>
      </w:r>
    </w:p>
    <w:p w14:paraId="60EE8E73" w14:textId="77777777" w:rsidR="003A0B5E" w:rsidRPr="003B1585" w:rsidRDefault="003A0B5E" w:rsidP="003A0B5E">
      <w:pPr>
        <w:spacing w:before="240" w:after="240" w:line="480" w:lineRule="auto"/>
        <w:rPr>
          <w:rFonts w:ascii="Arial" w:hAnsi="Arial" w:cs="Arial"/>
          <w:color w:val="000000" w:themeColor="text1"/>
        </w:rPr>
      </w:pPr>
      <w:r w:rsidRPr="003B1585">
        <w:rPr>
          <w:rFonts w:ascii="Arial" w:hAnsi="Arial" w:cs="Arial"/>
          <w:noProof/>
          <w:color w:val="000000" w:themeColor="text1"/>
        </w:rPr>
        <w:drawing>
          <wp:inline distT="0" distB="0" distL="0" distR="0" wp14:anchorId="28E89486" wp14:editId="7D9694FE">
            <wp:extent cx="5943600" cy="321945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219450"/>
                    </a:xfrm>
                    <a:prstGeom prst="rect">
                      <a:avLst/>
                    </a:prstGeom>
                  </pic:spPr>
                </pic:pic>
              </a:graphicData>
            </a:graphic>
          </wp:inline>
        </w:drawing>
      </w:r>
      <w:r w:rsidRPr="003B1585">
        <w:rPr>
          <w:rFonts w:ascii="Arial" w:hAnsi="Arial" w:cs="Arial"/>
          <w:color w:val="000000" w:themeColor="text1"/>
        </w:rPr>
        <w:t xml:space="preserve"> Top row: white matter regions. Bottom row: gray matter regions. Y-axis: CSF </w:t>
      </w:r>
      <w:r w:rsidRPr="003B1585">
        <w:rPr>
          <w:rFonts w:ascii="Arial" w:hAnsi="Arial" w:cs="Arial"/>
          <w:b/>
          <w:bCs/>
          <w:color w:val="000000" w:themeColor="text1"/>
        </w:rPr>
        <w:t>A</w:t>
      </w:r>
      <w:r>
        <w:rPr>
          <w:rFonts w:ascii="Arial" w:hAnsi="Arial" w:cs="Arial"/>
          <w:b/>
          <w:bCs/>
          <w:color w:val="000000" w:themeColor="text1"/>
        </w:rPr>
        <w:t>β</w:t>
      </w:r>
      <w:r w:rsidRPr="003B1585">
        <w:rPr>
          <w:rFonts w:ascii="Arial" w:hAnsi="Arial" w:cs="Arial"/>
          <w:b/>
          <w:bCs/>
          <w:color w:val="000000" w:themeColor="text1"/>
        </w:rPr>
        <w:t xml:space="preserve">42/40 </w:t>
      </w:r>
      <w:r w:rsidRPr="003B1585">
        <w:rPr>
          <w:rFonts w:ascii="Arial" w:hAnsi="Arial" w:cs="Arial"/>
          <w:color w:val="000000" w:themeColor="text1"/>
        </w:rPr>
        <w:t>(mg/ml). X-axis: ODI Z-scores for ROI. Blue hue corresponds to Z-score value going from negative to positive. Significant positive correlations were found in Cingulum (Cingulate Gyrus)</w:t>
      </w:r>
      <w:r>
        <w:rPr>
          <w:rFonts w:ascii="Arial" w:hAnsi="Arial" w:cs="Arial"/>
          <w:color w:val="000000" w:themeColor="text1"/>
        </w:rPr>
        <w:t xml:space="preserve"> </w:t>
      </w:r>
      <w:r w:rsidRPr="003B1585">
        <w:rPr>
          <w:rFonts w:ascii="Arial" w:hAnsi="Arial" w:cs="Arial"/>
          <w:color w:val="000000" w:themeColor="text1"/>
        </w:rPr>
        <w:t xml:space="preserve">Posterior Cingulate Gyrus, Inferior Parietal + </w:t>
      </w:r>
      <w:proofErr w:type="spellStart"/>
      <w:r w:rsidRPr="003B1585">
        <w:rPr>
          <w:rFonts w:ascii="Arial" w:hAnsi="Arial" w:cs="Arial"/>
          <w:color w:val="000000" w:themeColor="text1"/>
        </w:rPr>
        <w:t>Precuneus</w:t>
      </w:r>
      <w:proofErr w:type="spellEnd"/>
      <w:r w:rsidRPr="003B1585">
        <w:rPr>
          <w:rFonts w:ascii="Arial" w:hAnsi="Arial" w:cs="Arial"/>
          <w:color w:val="000000" w:themeColor="text1"/>
        </w:rPr>
        <w:t xml:space="preserve">, Inferior Temporal, Superior Frontal Gyrus. Cingulum (Hippocampus) </w:t>
      </w:r>
      <w:r>
        <w:rPr>
          <w:rFonts w:ascii="Arial" w:hAnsi="Arial" w:cs="Arial"/>
          <w:color w:val="000000" w:themeColor="text1"/>
        </w:rPr>
        <w:t xml:space="preserve">showed </w:t>
      </w:r>
      <w:r w:rsidRPr="003B1585">
        <w:rPr>
          <w:rFonts w:ascii="Arial" w:hAnsi="Arial" w:cs="Arial"/>
          <w:color w:val="000000" w:themeColor="text1"/>
        </w:rPr>
        <w:t>a significant negative correlation</w:t>
      </w:r>
      <w:r>
        <w:rPr>
          <w:rFonts w:ascii="Arial" w:hAnsi="Arial" w:cs="Arial"/>
          <w:color w:val="000000" w:themeColor="text1"/>
        </w:rPr>
        <w:t xml:space="preserve"> between ODI and </w:t>
      </w:r>
      <w:r w:rsidRPr="00905869">
        <w:rPr>
          <w:rFonts w:ascii="Arial" w:hAnsi="Arial" w:cs="Arial"/>
          <w:bCs/>
          <w:color w:val="000000" w:themeColor="text1"/>
        </w:rPr>
        <w:t>Aβ42/40</w:t>
      </w:r>
      <w:r w:rsidRPr="003B1585">
        <w:rPr>
          <w:rFonts w:ascii="Arial" w:hAnsi="Arial" w:cs="Arial"/>
          <w:color w:val="000000" w:themeColor="text1"/>
        </w:rPr>
        <w:t xml:space="preserve">. </w:t>
      </w:r>
    </w:p>
    <w:p w14:paraId="3ADBAEFD" w14:textId="77777777" w:rsidR="003A0B5E" w:rsidRPr="003B1585" w:rsidRDefault="003A0B5E" w:rsidP="003A0B5E">
      <w:pPr>
        <w:spacing w:before="240" w:after="240" w:line="480" w:lineRule="auto"/>
        <w:rPr>
          <w:rFonts w:ascii="Arial" w:hAnsi="Arial" w:cs="Arial"/>
          <w:color w:val="000000" w:themeColor="text1"/>
        </w:rPr>
      </w:pPr>
    </w:p>
    <w:p w14:paraId="18D4F841" w14:textId="77777777" w:rsidR="003A0B5E" w:rsidRPr="003B1585" w:rsidRDefault="003A0B5E" w:rsidP="003A0B5E">
      <w:pPr>
        <w:spacing w:before="240" w:after="240" w:line="480" w:lineRule="auto"/>
        <w:rPr>
          <w:rFonts w:ascii="Arial" w:hAnsi="Arial" w:cs="Arial"/>
          <w:color w:val="000000" w:themeColor="text1"/>
        </w:rPr>
      </w:pPr>
    </w:p>
    <w:p w14:paraId="3D448F02" w14:textId="77777777" w:rsidR="003A0B5E" w:rsidRPr="003B1585" w:rsidRDefault="003A0B5E" w:rsidP="003A0B5E">
      <w:pPr>
        <w:spacing w:line="480" w:lineRule="auto"/>
        <w:rPr>
          <w:rFonts w:ascii="Arial" w:hAnsi="Arial" w:cs="Arial"/>
        </w:rPr>
      </w:pPr>
    </w:p>
    <w:p w14:paraId="0A2F1ED0" w14:textId="77777777" w:rsidR="003A0B5E" w:rsidRPr="003B1585" w:rsidRDefault="003A0B5E" w:rsidP="003A0B5E">
      <w:pPr>
        <w:spacing w:line="480" w:lineRule="auto"/>
        <w:rPr>
          <w:rFonts w:ascii="Arial" w:hAnsi="Arial" w:cs="Arial"/>
        </w:rPr>
      </w:pPr>
    </w:p>
    <w:p w14:paraId="4CBDD84B" w14:textId="77777777" w:rsidR="003A0B5E" w:rsidRPr="003B1585" w:rsidRDefault="003A0B5E" w:rsidP="003A0B5E">
      <w:pPr>
        <w:spacing w:before="240" w:after="240" w:line="480" w:lineRule="auto"/>
        <w:rPr>
          <w:rFonts w:ascii="Arial" w:hAnsi="Arial" w:cs="Arial"/>
          <w:color w:val="000000" w:themeColor="text1"/>
        </w:rPr>
      </w:pPr>
      <w:r w:rsidRPr="003B1585">
        <w:rPr>
          <w:rFonts w:ascii="Arial" w:hAnsi="Arial" w:cs="Arial"/>
          <w:b/>
          <w:bCs/>
          <w:color w:val="000000" w:themeColor="text1"/>
        </w:rPr>
        <w:lastRenderedPageBreak/>
        <w:t>Supplemental Figure</w:t>
      </w:r>
      <w:r>
        <w:rPr>
          <w:rFonts w:ascii="Arial" w:hAnsi="Arial" w:cs="Arial"/>
          <w:b/>
          <w:bCs/>
          <w:color w:val="000000" w:themeColor="text1"/>
        </w:rPr>
        <w:t xml:space="preserve"> 4</w:t>
      </w:r>
      <w:r w:rsidRPr="003B1585">
        <w:rPr>
          <w:rFonts w:ascii="Arial" w:hAnsi="Arial" w:cs="Arial"/>
          <w:b/>
          <w:bCs/>
          <w:color w:val="000000" w:themeColor="text1"/>
        </w:rPr>
        <w:t>: Correlation between NODDI NDI Z-score and CSF A</w:t>
      </w:r>
      <w:r>
        <w:rPr>
          <w:rFonts w:ascii="Arial" w:hAnsi="Arial" w:cs="Arial"/>
          <w:b/>
          <w:bCs/>
          <w:color w:val="000000" w:themeColor="text1"/>
        </w:rPr>
        <w:t>β</w:t>
      </w:r>
      <w:r w:rsidRPr="003B1585">
        <w:rPr>
          <w:rFonts w:ascii="Arial" w:hAnsi="Arial" w:cs="Arial"/>
          <w:b/>
          <w:bCs/>
          <w:color w:val="000000" w:themeColor="text1"/>
        </w:rPr>
        <w:t xml:space="preserve">42/40 Levels </w:t>
      </w:r>
      <w:r>
        <w:rPr>
          <w:rFonts w:ascii="Arial" w:hAnsi="Arial" w:cs="Arial"/>
          <w:b/>
          <w:bCs/>
          <w:color w:val="000000" w:themeColor="text1"/>
        </w:rPr>
        <w:t>a</w:t>
      </w:r>
      <w:r w:rsidRPr="003B1585">
        <w:rPr>
          <w:rFonts w:ascii="Arial" w:hAnsi="Arial" w:cs="Arial"/>
          <w:b/>
          <w:bCs/>
          <w:color w:val="000000" w:themeColor="text1"/>
        </w:rPr>
        <w:t>cross ROIs</w:t>
      </w:r>
      <w:r w:rsidRPr="003B1585">
        <w:rPr>
          <w:rFonts w:ascii="Arial" w:hAnsi="Arial" w:cs="Arial"/>
          <w:color w:val="000000" w:themeColor="text1"/>
        </w:rPr>
        <w:t>.</w:t>
      </w:r>
    </w:p>
    <w:p w14:paraId="2A1FA112" w14:textId="77777777" w:rsidR="003A0B5E" w:rsidRPr="003B1585" w:rsidRDefault="003A0B5E" w:rsidP="003A0B5E">
      <w:pPr>
        <w:spacing w:before="240" w:after="240" w:line="480" w:lineRule="auto"/>
        <w:rPr>
          <w:rFonts w:ascii="Arial" w:hAnsi="Arial" w:cs="Arial"/>
        </w:rPr>
      </w:pPr>
      <w:r w:rsidRPr="003B1585">
        <w:rPr>
          <w:rFonts w:ascii="Arial" w:hAnsi="Arial" w:cs="Arial"/>
          <w:noProof/>
        </w:rPr>
        <w:drawing>
          <wp:inline distT="0" distB="0" distL="0" distR="0" wp14:anchorId="14DEDCF2" wp14:editId="44CEEF61">
            <wp:extent cx="5943600" cy="31864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186430"/>
                    </a:xfrm>
                    <a:prstGeom prst="rect">
                      <a:avLst/>
                    </a:prstGeom>
                  </pic:spPr>
                </pic:pic>
              </a:graphicData>
            </a:graphic>
          </wp:inline>
        </w:drawing>
      </w:r>
    </w:p>
    <w:p w14:paraId="1A72F1A1" w14:textId="77777777" w:rsidR="003A0B5E" w:rsidRPr="003B1585" w:rsidRDefault="003A0B5E" w:rsidP="003A0B5E">
      <w:pPr>
        <w:spacing w:before="240" w:after="240" w:line="480" w:lineRule="auto"/>
        <w:rPr>
          <w:rFonts w:ascii="Arial" w:hAnsi="Arial" w:cs="Arial"/>
          <w:color w:val="000000" w:themeColor="text1"/>
        </w:rPr>
      </w:pPr>
      <w:r w:rsidRPr="003B1585">
        <w:rPr>
          <w:rFonts w:ascii="Arial" w:hAnsi="Arial" w:cs="Arial"/>
          <w:color w:val="000000" w:themeColor="text1"/>
        </w:rPr>
        <w:t>Top row: white matter regions. Bottom row: gray matter regions. Y-axis: CSF A</w:t>
      </w:r>
      <w:r w:rsidRPr="002808F2">
        <w:rPr>
          <w:rFonts w:ascii="Arial" w:hAnsi="Arial" w:cs="Arial"/>
          <w:bCs/>
          <w:color w:val="000000" w:themeColor="text1"/>
        </w:rPr>
        <w:t>β</w:t>
      </w:r>
      <w:r w:rsidRPr="003B1585">
        <w:rPr>
          <w:rFonts w:ascii="Arial" w:hAnsi="Arial" w:cs="Arial"/>
          <w:color w:val="000000" w:themeColor="text1"/>
        </w:rPr>
        <w:t xml:space="preserve">42/40 (mg/ml). X-axis: NDI Z-scores for ROI. Blue hue corresponds to Z-score value going from negative to positive. </w:t>
      </w:r>
      <w:r>
        <w:rPr>
          <w:rFonts w:ascii="Arial" w:hAnsi="Arial" w:cs="Arial"/>
          <w:color w:val="000000" w:themeColor="text1"/>
        </w:rPr>
        <w:t>A s</w:t>
      </w:r>
      <w:r w:rsidRPr="003B1585">
        <w:rPr>
          <w:rFonts w:ascii="Arial" w:hAnsi="Arial" w:cs="Arial"/>
          <w:color w:val="000000" w:themeColor="text1"/>
        </w:rPr>
        <w:t>ignificant positive correlation was found in</w:t>
      </w:r>
      <w:r>
        <w:rPr>
          <w:rFonts w:ascii="Arial" w:hAnsi="Arial" w:cs="Arial"/>
          <w:color w:val="000000" w:themeColor="text1"/>
        </w:rPr>
        <w:t xml:space="preserve"> the</w:t>
      </w:r>
      <w:r w:rsidRPr="003B1585">
        <w:rPr>
          <w:rFonts w:ascii="Arial" w:hAnsi="Arial" w:cs="Arial"/>
          <w:color w:val="000000" w:themeColor="text1"/>
        </w:rPr>
        <w:t xml:space="preserve"> Inferior Parietal + </w:t>
      </w:r>
      <w:proofErr w:type="spellStart"/>
      <w:r w:rsidRPr="003B1585">
        <w:rPr>
          <w:rFonts w:ascii="Arial" w:hAnsi="Arial" w:cs="Arial"/>
          <w:color w:val="000000" w:themeColor="text1"/>
        </w:rPr>
        <w:t>Precuneus</w:t>
      </w:r>
      <w:proofErr w:type="spellEnd"/>
      <w:r w:rsidRPr="003B1585">
        <w:rPr>
          <w:rFonts w:ascii="Arial" w:hAnsi="Arial" w:cs="Arial"/>
          <w:color w:val="000000" w:themeColor="text1"/>
        </w:rPr>
        <w:t xml:space="preserve"> ROI. </w:t>
      </w:r>
    </w:p>
    <w:p w14:paraId="46AC68E8" w14:textId="77777777" w:rsidR="003A0B5E" w:rsidRPr="003B1585" w:rsidRDefault="003A0B5E" w:rsidP="003A0B5E">
      <w:pPr>
        <w:spacing w:line="480" w:lineRule="auto"/>
        <w:rPr>
          <w:rFonts w:ascii="Arial" w:hAnsi="Arial" w:cs="Arial"/>
        </w:rPr>
      </w:pPr>
    </w:p>
    <w:p w14:paraId="5F4167B1" w14:textId="77777777" w:rsidR="003A0B5E" w:rsidRPr="003B1585" w:rsidRDefault="003A0B5E" w:rsidP="003A0B5E">
      <w:pPr>
        <w:spacing w:line="480" w:lineRule="auto"/>
        <w:rPr>
          <w:rFonts w:ascii="Arial" w:hAnsi="Arial" w:cs="Arial"/>
        </w:rPr>
      </w:pPr>
    </w:p>
    <w:p w14:paraId="064C6CE6" w14:textId="77777777" w:rsidR="0036252D" w:rsidRDefault="009D5F07"/>
    <w:sectPr w:rsidR="0036252D">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9EE07D" w14:textId="77777777" w:rsidR="009D5F07" w:rsidRDefault="009D5F07">
      <w:r>
        <w:separator/>
      </w:r>
    </w:p>
  </w:endnote>
  <w:endnote w:type="continuationSeparator" w:id="0">
    <w:p w14:paraId="12D99DC5" w14:textId="77777777" w:rsidR="009D5F07" w:rsidRDefault="009D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630783017"/>
      <w:docPartObj>
        <w:docPartGallery w:val="Page Numbers (Bottom of Page)"/>
        <w:docPartUnique/>
      </w:docPartObj>
    </w:sdtPr>
    <w:sdtEndPr>
      <w:rPr>
        <w:rStyle w:val="PageNumber"/>
      </w:rPr>
    </w:sdtEndPr>
    <w:sdtContent>
      <w:p w14:paraId="0B63E204" w14:textId="77777777" w:rsidR="00DA3DFC" w:rsidRDefault="002F32FB" w:rsidP="008C61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E27192" w14:textId="77777777" w:rsidR="00DA3DFC" w:rsidRDefault="009D5F07" w:rsidP="00C12D0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284104750"/>
      <w:docPartObj>
        <w:docPartGallery w:val="Page Numbers (Bottom of Page)"/>
        <w:docPartUnique/>
      </w:docPartObj>
    </w:sdtPr>
    <w:sdtEndPr>
      <w:rPr>
        <w:rStyle w:val="PageNumber"/>
      </w:rPr>
    </w:sdtEndPr>
    <w:sdtContent>
      <w:p w14:paraId="2335D038" w14:textId="0E463BCE" w:rsidR="00DA3DFC" w:rsidRDefault="002F32FB" w:rsidP="00DA3D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41FD2">
          <w:rPr>
            <w:rStyle w:val="PageNumber"/>
            <w:noProof/>
          </w:rPr>
          <w:t>8</w:t>
        </w:r>
        <w:r>
          <w:rPr>
            <w:rStyle w:val="PageNumber"/>
          </w:rPr>
          <w:fldChar w:fldCharType="end"/>
        </w:r>
      </w:p>
    </w:sdtContent>
  </w:sdt>
  <w:p w14:paraId="6281AB0A" w14:textId="77777777" w:rsidR="00DA3DFC" w:rsidRDefault="002F32FB" w:rsidP="008C61D6">
    <w:pPr>
      <w:pStyle w:val="Footer"/>
      <w:ind w:right="360"/>
    </w:pPr>
    <w:proofErr w:type="spellStart"/>
    <w:r>
      <w:t>Rigina</w:t>
    </w:r>
    <w:proofErr w:type="spellEnd"/>
    <w:r>
      <w:t xml:space="preserve"> L. Gallagher</w:t>
    </w:r>
  </w:p>
  <w:p w14:paraId="238B8F67" w14:textId="77777777" w:rsidR="00DA3DFC" w:rsidRDefault="009D5F07" w:rsidP="00C12D0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D22067" w14:textId="77777777" w:rsidR="009D5F07" w:rsidRDefault="009D5F07">
      <w:r>
        <w:separator/>
      </w:r>
    </w:p>
  </w:footnote>
  <w:footnote w:type="continuationSeparator" w:id="0">
    <w:p w14:paraId="447CD936" w14:textId="77777777" w:rsidR="009D5F07" w:rsidRDefault="009D5F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2FB"/>
    <w:rsid w:val="00141FD2"/>
    <w:rsid w:val="002F32FB"/>
    <w:rsid w:val="003A0B5E"/>
    <w:rsid w:val="004E6B0D"/>
    <w:rsid w:val="00686658"/>
    <w:rsid w:val="006E55AC"/>
    <w:rsid w:val="00783694"/>
    <w:rsid w:val="009C47FC"/>
    <w:rsid w:val="009D5F07"/>
    <w:rsid w:val="00A6295C"/>
    <w:rsid w:val="00AA58D9"/>
    <w:rsid w:val="00FF1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F8021"/>
  <w15:chartTrackingRefBased/>
  <w15:docId w15:val="{26CF8118-96A5-F44F-B1E1-C89FCF503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2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2F32F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er">
    <w:name w:val="footer"/>
    <w:basedOn w:val="Normal"/>
    <w:link w:val="FooterChar"/>
    <w:uiPriority w:val="99"/>
    <w:unhideWhenUsed/>
    <w:rsid w:val="002F32FB"/>
    <w:pPr>
      <w:tabs>
        <w:tab w:val="center" w:pos="4680"/>
        <w:tab w:val="right" w:pos="9360"/>
      </w:tabs>
    </w:pPr>
  </w:style>
  <w:style w:type="character" w:customStyle="1" w:styleId="FooterChar">
    <w:name w:val="Footer Char"/>
    <w:basedOn w:val="DefaultParagraphFont"/>
    <w:link w:val="Footer"/>
    <w:uiPriority w:val="99"/>
    <w:rsid w:val="002F32FB"/>
  </w:style>
  <w:style w:type="character" w:styleId="PageNumber">
    <w:name w:val="page number"/>
    <w:basedOn w:val="DefaultParagraphFont"/>
    <w:uiPriority w:val="99"/>
    <w:semiHidden/>
    <w:unhideWhenUsed/>
    <w:rsid w:val="002F3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1029</Words>
  <Characters>5871</Characters>
  <Application>Microsoft Office Word</Application>
  <DocSecurity>0</DocSecurity>
  <Lines>48</Lines>
  <Paragraphs>13</Paragraphs>
  <ScaleCrop>false</ScaleCrop>
  <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RIGINA LOUISE GALLAGHER</dc:creator>
  <cp:keywords/>
  <dc:description/>
  <cp:lastModifiedBy>BARBARA B BENDLIN</cp:lastModifiedBy>
  <cp:revision>4</cp:revision>
  <dcterms:created xsi:type="dcterms:W3CDTF">2021-08-18T21:28:00Z</dcterms:created>
  <dcterms:modified xsi:type="dcterms:W3CDTF">2023-06-16T23:31:00Z</dcterms:modified>
</cp:coreProperties>
</file>