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A072" w14:textId="775EF05C" w:rsidR="00981300" w:rsidRPr="00976ACC" w:rsidRDefault="00FB2E18">
      <w:pPr>
        <w:rPr>
          <w:b/>
          <w:bCs/>
          <w:sz w:val="28"/>
          <w:szCs w:val="28"/>
        </w:rPr>
      </w:pPr>
      <w:r w:rsidRPr="00976ACC">
        <w:rPr>
          <w:b/>
          <w:bCs/>
          <w:sz w:val="28"/>
          <w:szCs w:val="28"/>
        </w:rPr>
        <w:t>Supplementary Information</w:t>
      </w:r>
    </w:p>
    <w:p w14:paraId="1037E6AC" w14:textId="4B9901AA" w:rsidR="00FB2E18" w:rsidRDefault="00FB2E18"/>
    <w:p w14:paraId="47E1C4E7" w14:textId="30253DAF" w:rsidR="00FB2E18" w:rsidRDefault="00FB2E18">
      <w:r w:rsidRPr="00FB2E18">
        <w:rPr>
          <w:noProof/>
        </w:rPr>
        <w:drawing>
          <wp:inline distT="0" distB="0" distL="0" distR="0" wp14:anchorId="2C3BA24C" wp14:editId="38EB2633">
            <wp:extent cx="5731510" cy="37274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C1D2C" w14:textId="644A2B50" w:rsidR="00FB2E18" w:rsidRDefault="00FB2E18">
      <w:r>
        <w:t xml:space="preserve">Figure S1: The ICAM-1: Collagen IV ratio in the DLPFC. </w:t>
      </w:r>
      <w:r w:rsidR="00930476">
        <w:t>The</w:t>
      </w:r>
      <w:r>
        <w:t xml:space="preserve"> evidence of blood</w:t>
      </w:r>
      <w:r w:rsidR="00930476">
        <w:t>-</w:t>
      </w:r>
      <w:r>
        <w:t xml:space="preserve">brain barrier leakiness in the DLPFC was driven </w:t>
      </w:r>
      <w:r w:rsidR="00930476">
        <w:t xml:space="preserve">a single high outlier value, and </w:t>
      </w:r>
      <w:r>
        <w:t xml:space="preserve">the </w:t>
      </w:r>
      <w:r w:rsidR="00930476">
        <w:t xml:space="preserve">absence of </w:t>
      </w:r>
      <w:r>
        <w:t xml:space="preserve">observable ICAM-1 </w:t>
      </w:r>
      <w:r w:rsidR="00930476">
        <w:t>labelling in many cases</w:t>
      </w:r>
      <w:r>
        <w:t xml:space="preserve">. </w:t>
      </w:r>
      <w:r>
        <w:rPr>
          <w:rFonts w:ascii="Calibri" w:hAnsi="Calibri" w:cs="Calibri"/>
          <w:color w:val="201F1E"/>
          <w:shd w:val="clear" w:color="auto" w:fill="FFFFFF"/>
        </w:rPr>
        <w:t>Mann-Whitney test (U=62, p=0.0254)</w:t>
      </w:r>
    </w:p>
    <w:sectPr w:rsidR="00FB2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E66E" w14:textId="77777777" w:rsidR="004A5390" w:rsidRDefault="004A5390" w:rsidP="00FB2E18">
      <w:pPr>
        <w:spacing w:after="0" w:line="240" w:lineRule="auto"/>
      </w:pPr>
      <w:r>
        <w:separator/>
      </w:r>
    </w:p>
  </w:endnote>
  <w:endnote w:type="continuationSeparator" w:id="0">
    <w:p w14:paraId="506716ED" w14:textId="77777777" w:rsidR="004A5390" w:rsidRDefault="004A5390" w:rsidP="00FB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FAB8" w14:textId="77777777" w:rsidR="004A5390" w:rsidRDefault="004A5390" w:rsidP="00FB2E18">
      <w:pPr>
        <w:spacing w:after="0" w:line="240" w:lineRule="auto"/>
      </w:pPr>
      <w:r>
        <w:separator/>
      </w:r>
    </w:p>
  </w:footnote>
  <w:footnote w:type="continuationSeparator" w:id="0">
    <w:p w14:paraId="0D808A32" w14:textId="77777777" w:rsidR="004A5390" w:rsidRDefault="004A5390" w:rsidP="00FB2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18"/>
    <w:rsid w:val="00087F63"/>
    <w:rsid w:val="000E754E"/>
    <w:rsid w:val="004A5390"/>
    <w:rsid w:val="005B5B8E"/>
    <w:rsid w:val="00930476"/>
    <w:rsid w:val="00976ACC"/>
    <w:rsid w:val="00981300"/>
    <w:rsid w:val="00A21D1C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51A15"/>
  <w15:chartTrackingRefBased/>
  <w15:docId w15:val="{D9A05F9A-8372-4659-91B1-58588342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Sinclair</dc:creator>
  <cp:keywords/>
  <dc:description/>
  <cp:lastModifiedBy>Lindsey Sinclair</cp:lastModifiedBy>
  <cp:revision>2</cp:revision>
  <dcterms:created xsi:type="dcterms:W3CDTF">2022-10-03T09:39:00Z</dcterms:created>
  <dcterms:modified xsi:type="dcterms:W3CDTF">2022-10-03T09:39:00Z</dcterms:modified>
</cp:coreProperties>
</file>