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221A" w:rsidRPr="00D66547" w:rsidRDefault="0037221A" w:rsidP="0037221A">
      <w:pPr>
        <w:spacing w:line="360" w:lineRule="auto"/>
        <w:rPr>
          <w:rFonts w:ascii="Times New Roman" w:eastAsia="Times New Roman" w:hAnsi="Times New Roman" w:cs="Times New Roman"/>
          <w:b/>
          <w:bCs/>
          <w:lang w:eastAsia="de-DE"/>
        </w:rPr>
      </w:pPr>
      <w:r w:rsidRPr="00D66547">
        <w:rPr>
          <w:rFonts w:ascii="Times New Roman" w:eastAsia="Times New Roman" w:hAnsi="Times New Roman" w:cs="Times New Roman"/>
          <w:b/>
          <w:bCs/>
          <w:lang w:eastAsia="de-DE"/>
        </w:rPr>
        <w:t>The metabolic spatial covariance pattern of definite idiopathic normal pressure hydrocephalus: An FDG PET study with principal components analysis</w:t>
      </w:r>
    </w:p>
    <w:p w:rsidR="0037221A" w:rsidRPr="00D66547" w:rsidRDefault="0037221A" w:rsidP="004155E6">
      <w:pPr>
        <w:rPr>
          <w:rFonts w:ascii="Arial" w:hAnsi="Arial" w:cs="Arial"/>
          <w:b/>
          <w:sz w:val="24"/>
          <w:szCs w:val="20"/>
        </w:rPr>
      </w:pPr>
      <w:bookmarkStart w:id="0" w:name="_GoBack"/>
      <w:bookmarkEnd w:id="0"/>
    </w:p>
    <w:p w:rsidR="0037221A" w:rsidRPr="00D66547" w:rsidRDefault="0037221A" w:rsidP="004155E6">
      <w:pPr>
        <w:rPr>
          <w:rFonts w:ascii="Arial" w:hAnsi="Arial" w:cs="Arial"/>
          <w:b/>
          <w:sz w:val="24"/>
          <w:szCs w:val="20"/>
        </w:rPr>
      </w:pPr>
    </w:p>
    <w:p w:rsidR="004155E6" w:rsidRPr="00D66547" w:rsidRDefault="0047775E" w:rsidP="004155E6">
      <w:pPr>
        <w:rPr>
          <w:rFonts w:ascii="Arial" w:hAnsi="Arial" w:cs="Arial"/>
          <w:sz w:val="20"/>
          <w:szCs w:val="20"/>
        </w:rPr>
      </w:pPr>
      <w:r w:rsidRPr="00D66547">
        <w:rPr>
          <w:rFonts w:ascii="Arial" w:hAnsi="Arial" w:cs="Arial"/>
          <w:b/>
          <w:sz w:val="20"/>
          <w:szCs w:val="20"/>
        </w:rPr>
        <w:t>Online Resource</w:t>
      </w:r>
      <w:r w:rsidR="004155E6" w:rsidRPr="00D66547">
        <w:rPr>
          <w:rFonts w:ascii="Arial" w:hAnsi="Arial" w:cs="Arial"/>
          <w:b/>
          <w:sz w:val="20"/>
          <w:szCs w:val="20"/>
        </w:rPr>
        <w:t xml:space="preserve"> 1</w:t>
      </w:r>
      <w:r w:rsidR="004155E6" w:rsidRPr="00D66547">
        <w:rPr>
          <w:rFonts w:ascii="Arial" w:hAnsi="Arial" w:cs="Arial"/>
          <w:sz w:val="20"/>
          <w:szCs w:val="20"/>
        </w:rPr>
        <w:t xml:space="preserve"> Results from pairwise comparisons of </w:t>
      </w:r>
      <w:proofErr w:type="spellStart"/>
      <w:r w:rsidR="00576E49" w:rsidRPr="00D66547">
        <w:rPr>
          <w:rFonts w:ascii="Arial" w:hAnsi="Arial" w:cs="Arial"/>
          <w:sz w:val="20"/>
          <w:szCs w:val="20"/>
        </w:rPr>
        <w:t>iNPHRP</w:t>
      </w:r>
      <w:proofErr w:type="spellEnd"/>
      <w:r w:rsidR="00576E49" w:rsidRPr="00D66547">
        <w:rPr>
          <w:rFonts w:ascii="Arial" w:hAnsi="Arial" w:cs="Arial"/>
          <w:sz w:val="20"/>
          <w:szCs w:val="20"/>
        </w:rPr>
        <w:t xml:space="preserve"> scores</w:t>
      </w:r>
      <w:r w:rsidR="004155E6" w:rsidRPr="00D66547">
        <w:rPr>
          <w:rFonts w:ascii="Arial" w:hAnsi="Arial" w:cs="Arial"/>
          <w:sz w:val="20"/>
          <w:szCs w:val="20"/>
        </w:rPr>
        <w:t xml:space="preserve"> between groups.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35"/>
        <w:gridCol w:w="1535"/>
        <w:gridCol w:w="1535"/>
        <w:gridCol w:w="1535"/>
        <w:gridCol w:w="1536"/>
        <w:gridCol w:w="1536"/>
      </w:tblGrid>
      <w:tr w:rsidR="004155E6" w:rsidRPr="00D66547" w:rsidTr="007A16AE"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noProof/>
                <w:sz w:val="20"/>
                <w:szCs w:val="20"/>
                <w:lang w:val="de-DE" w:eastAsia="de-DE"/>
              </w:rPr>
            </w:pPr>
            <w:r w:rsidRPr="00D66547">
              <w:rPr>
                <w:rFonts w:ascii="Arial" w:hAnsi="Arial" w:cs="Arial"/>
                <w:noProof/>
                <w:sz w:val="20"/>
                <w:szCs w:val="20"/>
                <w:lang w:val="de-DE" w:eastAsia="de-DE"/>
              </w:rPr>
              <w:t>Definite iNPH</w:t>
            </w:r>
          </w:p>
        </w:tc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noProof/>
                <w:sz w:val="20"/>
                <w:szCs w:val="20"/>
                <w:lang w:val="de-DE" w:eastAsia="de-DE"/>
              </w:rPr>
            </w:pPr>
            <w:r w:rsidRPr="00D66547">
              <w:rPr>
                <w:rFonts w:ascii="Arial" w:hAnsi="Arial" w:cs="Arial"/>
                <w:noProof/>
                <w:sz w:val="20"/>
                <w:szCs w:val="20"/>
                <w:lang w:val="de-DE" w:eastAsia="de-DE"/>
              </w:rPr>
              <w:t>Possible iNPH</w:t>
            </w:r>
          </w:p>
        </w:tc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noProof/>
                <w:sz w:val="20"/>
                <w:szCs w:val="20"/>
                <w:lang w:val="de-DE" w:eastAsia="de-DE"/>
              </w:rPr>
            </w:pPr>
            <w:r w:rsidRPr="00D66547">
              <w:rPr>
                <w:rFonts w:ascii="Arial" w:hAnsi="Arial" w:cs="Arial"/>
                <w:noProof/>
                <w:sz w:val="20"/>
                <w:szCs w:val="20"/>
                <w:lang w:val="de-DE" w:eastAsia="de-DE"/>
              </w:rPr>
              <w:t>AD</w:t>
            </w:r>
          </w:p>
        </w:tc>
        <w:tc>
          <w:tcPr>
            <w:tcW w:w="1536" w:type="dxa"/>
          </w:tcPr>
          <w:p w:rsidR="004155E6" w:rsidRPr="00D66547" w:rsidRDefault="004155E6" w:rsidP="007A16AE">
            <w:pPr>
              <w:rPr>
                <w:rFonts w:ascii="Arial" w:hAnsi="Arial" w:cs="Arial"/>
                <w:noProof/>
                <w:sz w:val="20"/>
                <w:szCs w:val="20"/>
                <w:lang w:val="de-DE" w:eastAsia="de-DE"/>
              </w:rPr>
            </w:pPr>
            <w:r w:rsidRPr="00D66547">
              <w:rPr>
                <w:rFonts w:ascii="Arial" w:hAnsi="Arial" w:cs="Arial"/>
                <w:noProof/>
                <w:sz w:val="20"/>
                <w:szCs w:val="20"/>
                <w:lang w:val="de-DE" w:eastAsia="de-DE"/>
              </w:rPr>
              <w:t>PD</w:t>
            </w:r>
          </w:p>
        </w:tc>
        <w:tc>
          <w:tcPr>
            <w:tcW w:w="1536" w:type="dxa"/>
          </w:tcPr>
          <w:p w:rsidR="004155E6" w:rsidRPr="00D66547" w:rsidRDefault="004155E6" w:rsidP="007A16AE">
            <w:pPr>
              <w:rPr>
                <w:rFonts w:ascii="Arial" w:hAnsi="Arial" w:cs="Arial"/>
                <w:noProof/>
                <w:sz w:val="20"/>
                <w:szCs w:val="20"/>
                <w:lang w:val="de-DE" w:eastAsia="de-DE"/>
              </w:rPr>
            </w:pPr>
            <w:r w:rsidRPr="00D66547">
              <w:rPr>
                <w:rFonts w:ascii="Arial" w:hAnsi="Arial" w:cs="Arial"/>
                <w:noProof/>
                <w:sz w:val="20"/>
                <w:szCs w:val="20"/>
                <w:lang w:val="de-DE" w:eastAsia="de-DE"/>
              </w:rPr>
              <w:t>HEC</w:t>
            </w:r>
          </w:p>
        </w:tc>
      </w:tr>
      <w:tr w:rsidR="004155E6" w:rsidRPr="00D66547" w:rsidTr="007A16AE"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noProof/>
                <w:sz w:val="20"/>
                <w:szCs w:val="20"/>
                <w:lang w:val="de-DE" w:eastAsia="de-DE"/>
              </w:rPr>
            </w:pPr>
            <w:r w:rsidRPr="00D66547">
              <w:rPr>
                <w:rFonts w:ascii="Arial" w:hAnsi="Arial" w:cs="Arial"/>
                <w:noProof/>
                <w:sz w:val="20"/>
                <w:szCs w:val="20"/>
                <w:lang w:val="de-DE" w:eastAsia="de-DE"/>
              </w:rPr>
              <w:t>Definite iNPH</w:t>
            </w:r>
          </w:p>
        </w:tc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5E6" w:rsidRPr="00D66547" w:rsidTr="007A16AE"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noProof/>
                <w:sz w:val="20"/>
                <w:szCs w:val="20"/>
                <w:lang w:val="de-DE" w:eastAsia="de-DE"/>
              </w:rPr>
            </w:pPr>
            <w:r w:rsidRPr="00D66547">
              <w:rPr>
                <w:rFonts w:ascii="Arial" w:hAnsi="Arial" w:cs="Arial"/>
                <w:noProof/>
                <w:sz w:val="20"/>
                <w:szCs w:val="20"/>
                <w:lang w:val="de-DE" w:eastAsia="de-DE"/>
              </w:rPr>
              <w:t>Possible iNPH</w:t>
            </w:r>
          </w:p>
        </w:tc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p = 0.024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d = 0.92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66547">
              <w:rPr>
                <w:rFonts w:ascii="Arial" w:hAnsi="Arial" w:cs="Arial"/>
                <w:sz w:val="20"/>
                <w:szCs w:val="20"/>
              </w:rPr>
              <w:t>Acc</w:t>
            </w:r>
            <w:proofErr w:type="spellEnd"/>
            <w:r w:rsidRPr="00D66547">
              <w:rPr>
                <w:rFonts w:ascii="Arial" w:hAnsi="Arial" w:cs="Arial"/>
                <w:sz w:val="20"/>
                <w:szCs w:val="20"/>
              </w:rPr>
              <w:t xml:space="preserve"> = 0.79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Se = 0.91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66547">
              <w:rPr>
                <w:rFonts w:ascii="Arial" w:hAnsi="Arial" w:cs="Arial"/>
                <w:sz w:val="20"/>
                <w:szCs w:val="20"/>
              </w:rPr>
              <w:t>Sp</w:t>
            </w:r>
            <w:proofErr w:type="spellEnd"/>
            <w:r w:rsidRPr="00D66547">
              <w:rPr>
                <w:rFonts w:ascii="Arial" w:hAnsi="Arial" w:cs="Arial"/>
                <w:sz w:val="20"/>
                <w:szCs w:val="20"/>
              </w:rPr>
              <w:t xml:space="preserve"> = 0.5</w:t>
            </w:r>
          </w:p>
        </w:tc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5E6" w:rsidRPr="00D66547" w:rsidTr="007A16AE"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noProof/>
                <w:sz w:val="20"/>
                <w:szCs w:val="20"/>
                <w:lang w:val="de-DE" w:eastAsia="de-DE"/>
              </w:rPr>
            </w:pPr>
            <w:r w:rsidRPr="00D66547">
              <w:rPr>
                <w:rFonts w:ascii="Arial" w:hAnsi="Arial" w:cs="Arial"/>
                <w:noProof/>
                <w:sz w:val="20"/>
                <w:szCs w:val="20"/>
                <w:lang w:val="de-DE" w:eastAsia="de-DE"/>
              </w:rPr>
              <w:t>AD</w:t>
            </w:r>
          </w:p>
        </w:tc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p &lt; 0.001*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d = 2.91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66547">
              <w:rPr>
                <w:rFonts w:ascii="Arial" w:hAnsi="Arial" w:cs="Arial"/>
                <w:sz w:val="20"/>
                <w:szCs w:val="20"/>
              </w:rPr>
              <w:t>Acc</w:t>
            </w:r>
            <w:proofErr w:type="spellEnd"/>
            <w:r w:rsidRPr="00D66547">
              <w:rPr>
                <w:rFonts w:ascii="Arial" w:hAnsi="Arial" w:cs="Arial"/>
                <w:sz w:val="20"/>
                <w:szCs w:val="20"/>
              </w:rPr>
              <w:t xml:space="preserve"> = 0.96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Se = 1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66547">
              <w:rPr>
                <w:rFonts w:ascii="Arial" w:hAnsi="Arial" w:cs="Arial"/>
                <w:sz w:val="20"/>
                <w:szCs w:val="20"/>
              </w:rPr>
              <w:t>Sp</w:t>
            </w:r>
            <w:proofErr w:type="spellEnd"/>
            <w:r w:rsidRPr="00D66547">
              <w:rPr>
                <w:rFonts w:ascii="Arial" w:hAnsi="Arial" w:cs="Arial"/>
                <w:sz w:val="20"/>
                <w:szCs w:val="20"/>
              </w:rPr>
              <w:t xml:space="preserve"> = 0.95</w:t>
            </w:r>
          </w:p>
        </w:tc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 xml:space="preserve">p &lt; 0.001* 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d = 2.60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66547">
              <w:rPr>
                <w:rFonts w:ascii="Arial" w:hAnsi="Arial" w:cs="Arial"/>
                <w:sz w:val="20"/>
                <w:szCs w:val="20"/>
              </w:rPr>
              <w:t>Acc</w:t>
            </w:r>
            <w:proofErr w:type="spellEnd"/>
            <w:r w:rsidRPr="00D66547">
              <w:rPr>
                <w:rFonts w:ascii="Arial" w:hAnsi="Arial" w:cs="Arial"/>
                <w:sz w:val="20"/>
                <w:szCs w:val="20"/>
              </w:rPr>
              <w:t xml:space="preserve"> = 0.83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Se = 0.71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66547">
              <w:rPr>
                <w:rFonts w:ascii="Arial" w:hAnsi="Arial" w:cs="Arial"/>
                <w:sz w:val="20"/>
                <w:szCs w:val="20"/>
              </w:rPr>
              <w:t>Sp</w:t>
            </w:r>
            <w:proofErr w:type="spellEnd"/>
            <w:r w:rsidRPr="00D66547">
              <w:rPr>
                <w:rFonts w:ascii="Arial" w:hAnsi="Arial" w:cs="Arial"/>
                <w:sz w:val="20"/>
                <w:szCs w:val="20"/>
              </w:rPr>
              <w:t xml:space="preserve"> = 0.95</w:t>
            </w:r>
          </w:p>
        </w:tc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36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36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5E6" w:rsidRPr="00D66547" w:rsidTr="007A16AE"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noProof/>
                <w:sz w:val="20"/>
                <w:szCs w:val="20"/>
                <w:lang w:val="de-DE" w:eastAsia="de-DE"/>
              </w:rPr>
            </w:pPr>
            <w:r w:rsidRPr="00D66547">
              <w:rPr>
                <w:rFonts w:ascii="Arial" w:hAnsi="Arial" w:cs="Arial"/>
                <w:noProof/>
                <w:sz w:val="20"/>
                <w:szCs w:val="20"/>
                <w:lang w:val="de-DE" w:eastAsia="de-DE"/>
              </w:rPr>
              <w:t>PD</w:t>
            </w:r>
          </w:p>
        </w:tc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 xml:space="preserve">p &lt; 0.001* 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d = 4.25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66547">
              <w:rPr>
                <w:rFonts w:ascii="Arial" w:hAnsi="Arial" w:cs="Arial"/>
                <w:sz w:val="20"/>
                <w:szCs w:val="20"/>
              </w:rPr>
              <w:t>Acc</w:t>
            </w:r>
            <w:proofErr w:type="spellEnd"/>
            <w:r w:rsidRPr="00D66547">
              <w:rPr>
                <w:rFonts w:ascii="Arial" w:hAnsi="Arial" w:cs="Arial"/>
                <w:sz w:val="20"/>
                <w:szCs w:val="20"/>
              </w:rPr>
              <w:t xml:space="preserve"> = 1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Se = 1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66547">
              <w:rPr>
                <w:rFonts w:ascii="Arial" w:hAnsi="Arial" w:cs="Arial"/>
                <w:sz w:val="20"/>
                <w:szCs w:val="20"/>
              </w:rPr>
              <w:t>Sp</w:t>
            </w:r>
            <w:proofErr w:type="spellEnd"/>
            <w:r w:rsidRPr="00D66547">
              <w:rPr>
                <w:rFonts w:ascii="Arial" w:hAnsi="Arial" w:cs="Arial"/>
                <w:sz w:val="20"/>
                <w:szCs w:val="20"/>
              </w:rPr>
              <w:t xml:space="preserve"> = 1</w:t>
            </w:r>
          </w:p>
        </w:tc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p &lt; 0.001*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d = 4.29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66547">
              <w:rPr>
                <w:rFonts w:ascii="Arial" w:hAnsi="Arial" w:cs="Arial"/>
                <w:sz w:val="20"/>
                <w:szCs w:val="20"/>
              </w:rPr>
              <w:t>Acc</w:t>
            </w:r>
            <w:proofErr w:type="spellEnd"/>
            <w:r w:rsidRPr="00D66547">
              <w:rPr>
                <w:rFonts w:ascii="Arial" w:hAnsi="Arial" w:cs="Arial"/>
                <w:sz w:val="20"/>
                <w:szCs w:val="20"/>
              </w:rPr>
              <w:t xml:space="preserve"> = 0.86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Se = 0.71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66547">
              <w:rPr>
                <w:rFonts w:ascii="Arial" w:hAnsi="Arial" w:cs="Arial"/>
                <w:sz w:val="20"/>
                <w:szCs w:val="20"/>
              </w:rPr>
              <w:t>Sp</w:t>
            </w:r>
            <w:proofErr w:type="spellEnd"/>
            <w:r w:rsidRPr="00D66547">
              <w:rPr>
                <w:rFonts w:ascii="Arial" w:hAnsi="Arial" w:cs="Arial"/>
                <w:sz w:val="20"/>
                <w:szCs w:val="20"/>
              </w:rPr>
              <w:t xml:space="preserve"> = 1</w:t>
            </w:r>
          </w:p>
        </w:tc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p = 0.022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d = 0.72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36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536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55E6" w:rsidRPr="00D66547" w:rsidTr="007A16AE"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noProof/>
                <w:sz w:val="20"/>
                <w:szCs w:val="20"/>
                <w:lang w:val="de-DE" w:eastAsia="de-DE"/>
              </w:rPr>
            </w:pPr>
            <w:r w:rsidRPr="00D66547">
              <w:rPr>
                <w:rFonts w:ascii="Arial" w:hAnsi="Arial" w:cs="Arial"/>
                <w:noProof/>
                <w:sz w:val="20"/>
                <w:szCs w:val="20"/>
                <w:lang w:val="de-DE" w:eastAsia="de-DE"/>
              </w:rPr>
              <w:t>HEC</w:t>
            </w:r>
          </w:p>
        </w:tc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 xml:space="preserve">p &lt; 0.001* 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d = 2.91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66547">
              <w:rPr>
                <w:rFonts w:ascii="Arial" w:hAnsi="Arial" w:cs="Arial"/>
                <w:sz w:val="20"/>
                <w:szCs w:val="20"/>
              </w:rPr>
              <w:t>Acc</w:t>
            </w:r>
            <w:proofErr w:type="spellEnd"/>
            <w:r w:rsidRPr="00D66547">
              <w:rPr>
                <w:rFonts w:ascii="Arial" w:hAnsi="Arial" w:cs="Arial"/>
                <w:sz w:val="20"/>
                <w:szCs w:val="20"/>
              </w:rPr>
              <w:t xml:space="preserve"> = 0.97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Se = 1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66547">
              <w:rPr>
                <w:rFonts w:ascii="Arial" w:hAnsi="Arial" w:cs="Arial"/>
                <w:sz w:val="20"/>
                <w:szCs w:val="20"/>
              </w:rPr>
              <w:t>Sp</w:t>
            </w:r>
            <w:proofErr w:type="spellEnd"/>
            <w:r w:rsidRPr="00D66547">
              <w:rPr>
                <w:rFonts w:ascii="Arial" w:hAnsi="Arial" w:cs="Arial"/>
                <w:sz w:val="20"/>
                <w:szCs w:val="20"/>
              </w:rPr>
              <w:t xml:space="preserve"> = 0.96</w:t>
            </w:r>
          </w:p>
        </w:tc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p &lt; 0.001*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d = 2.44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66547">
              <w:rPr>
                <w:rFonts w:ascii="Arial" w:hAnsi="Arial" w:cs="Arial"/>
                <w:sz w:val="20"/>
                <w:szCs w:val="20"/>
              </w:rPr>
              <w:t>Acc</w:t>
            </w:r>
            <w:proofErr w:type="spellEnd"/>
            <w:r w:rsidRPr="00D66547">
              <w:rPr>
                <w:rFonts w:ascii="Arial" w:hAnsi="Arial" w:cs="Arial"/>
                <w:sz w:val="20"/>
                <w:szCs w:val="20"/>
              </w:rPr>
              <w:t xml:space="preserve"> = 0.85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Se = 0.71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D66547">
              <w:rPr>
                <w:rFonts w:ascii="Arial" w:hAnsi="Arial" w:cs="Arial"/>
                <w:sz w:val="20"/>
                <w:szCs w:val="20"/>
              </w:rPr>
              <w:t>Sp</w:t>
            </w:r>
            <w:proofErr w:type="spellEnd"/>
            <w:r w:rsidRPr="00D66547">
              <w:rPr>
                <w:rFonts w:ascii="Arial" w:hAnsi="Arial" w:cs="Arial"/>
                <w:sz w:val="20"/>
                <w:szCs w:val="20"/>
              </w:rPr>
              <w:t xml:space="preserve"> = 0.96</w:t>
            </w:r>
          </w:p>
        </w:tc>
        <w:tc>
          <w:tcPr>
            <w:tcW w:w="1535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p = 0.265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d = 0.22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36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p &lt; 0.001*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d = 1.0</w:t>
            </w:r>
          </w:p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36" w:type="dxa"/>
          </w:tcPr>
          <w:p w:rsidR="004155E6" w:rsidRPr="00D66547" w:rsidRDefault="004155E6" w:rsidP="007A16AE">
            <w:pPr>
              <w:rPr>
                <w:rFonts w:ascii="Arial" w:hAnsi="Arial" w:cs="Arial"/>
                <w:sz w:val="20"/>
                <w:szCs w:val="20"/>
              </w:rPr>
            </w:pPr>
            <w:r w:rsidRPr="00D66547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:rsidR="004155E6" w:rsidRPr="00D66547" w:rsidRDefault="004155E6" w:rsidP="004155E6">
      <w:pPr>
        <w:jc w:val="both"/>
        <w:rPr>
          <w:rFonts w:ascii="Arial" w:hAnsi="Arial" w:cs="Arial"/>
          <w:sz w:val="20"/>
          <w:szCs w:val="20"/>
        </w:rPr>
      </w:pPr>
      <w:r w:rsidRPr="00D66547">
        <w:rPr>
          <w:rFonts w:ascii="Arial" w:hAnsi="Arial" w:cs="Arial"/>
          <w:sz w:val="20"/>
          <w:szCs w:val="20"/>
        </w:rPr>
        <w:t>p, p value from Mann</w:t>
      </w:r>
      <w:r w:rsidR="000A5D2E" w:rsidRPr="00D66547">
        <w:rPr>
          <w:rFonts w:ascii="Arial" w:hAnsi="Arial" w:cs="Arial"/>
          <w:sz w:val="20"/>
          <w:szCs w:val="20"/>
        </w:rPr>
        <w:t>-</w:t>
      </w:r>
      <w:r w:rsidRPr="00D66547">
        <w:rPr>
          <w:rFonts w:ascii="Arial" w:hAnsi="Arial" w:cs="Arial"/>
          <w:sz w:val="20"/>
          <w:szCs w:val="20"/>
        </w:rPr>
        <w:t xml:space="preserve">Whitney U test (not corrected for multiple comparisons); * significant at Bonferroni-corrected p &lt; 0.05; d, Cohen’s d; </w:t>
      </w:r>
      <w:proofErr w:type="spellStart"/>
      <w:r w:rsidRPr="00D66547">
        <w:rPr>
          <w:rFonts w:ascii="Arial" w:hAnsi="Arial" w:cs="Arial"/>
          <w:sz w:val="20"/>
          <w:szCs w:val="20"/>
        </w:rPr>
        <w:t>Acc</w:t>
      </w:r>
      <w:proofErr w:type="spellEnd"/>
      <w:r w:rsidRPr="00D66547">
        <w:rPr>
          <w:rFonts w:ascii="Arial" w:hAnsi="Arial" w:cs="Arial"/>
          <w:sz w:val="20"/>
          <w:szCs w:val="20"/>
        </w:rPr>
        <w:t xml:space="preserve">, Se, and </w:t>
      </w:r>
      <w:proofErr w:type="spellStart"/>
      <w:r w:rsidRPr="00D66547">
        <w:rPr>
          <w:rFonts w:ascii="Arial" w:hAnsi="Arial" w:cs="Arial"/>
          <w:sz w:val="20"/>
          <w:szCs w:val="20"/>
        </w:rPr>
        <w:t>Sp</w:t>
      </w:r>
      <w:proofErr w:type="spellEnd"/>
      <w:r w:rsidRPr="00D66547">
        <w:rPr>
          <w:rFonts w:ascii="Arial" w:hAnsi="Arial" w:cs="Arial"/>
          <w:sz w:val="20"/>
          <w:szCs w:val="20"/>
        </w:rPr>
        <w:t xml:space="preserve"> describe the diagnostic accuracy, sensitivity, and specificity of </w:t>
      </w:r>
      <w:proofErr w:type="spellStart"/>
      <w:r w:rsidR="00576E49" w:rsidRPr="00D66547">
        <w:rPr>
          <w:rFonts w:ascii="Arial" w:hAnsi="Arial" w:cs="Arial"/>
          <w:sz w:val="20"/>
          <w:szCs w:val="20"/>
        </w:rPr>
        <w:t>iNPHRP</w:t>
      </w:r>
      <w:proofErr w:type="spellEnd"/>
      <w:r w:rsidR="00576E49" w:rsidRPr="00D66547">
        <w:rPr>
          <w:rFonts w:ascii="Arial" w:hAnsi="Arial" w:cs="Arial"/>
          <w:sz w:val="20"/>
          <w:szCs w:val="20"/>
        </w:rPr>
        <w:t xml:space="preserve"> scores</w:t>
      </w:r>
      <w:r w:rsidRPr="00D66547">
        <w:rPr>
          <w:rFonts w:ascii="Arial" w:hAnsi="Arial" w:cs="Arial"/>
          <w:sz w:val="20"/>
          <w:szCs w:val="20"/>
        </w:rPr>
        <w:t xml:space="preserve"> at a given cut-off (</w:t>
      </w:r>
      <w:proofErr w:type="spellStart"/>
      <w:r w:rsidR="00576E49" w:rsidRPr="00D66547">
        <w:rPr>
          <w:rFonts w:ascii="Arial" w:hAnsi="Arial" w:cs="Arial"/>
          <w:sz w:val="20"/>
          <w:szCs w:val="20"/>
        </w:rPr>
        <w:t>iNPHRP</w:t>
      </w:r>
      <w:proofErr w:type="spellEnd"/>
      <w:r w:rsidR="00576E49" w:rsidRPr="00D66547">
        <w:rPr>
          <w:rFonts w:ascii="Arial" w:hAnsi="Arial" w:cs="Arial"/>
          <w:sz w:val="20"/>
          <w:szCs w:val="20"/>
        </w:rPr>
        <w:t xml:space="preserve"> score</w:t>
      </w:r>
      <w:r w:rsidRPr="00D66547">
        <w:rPr>
          <w:rFonts w:ascii="Arial" w:hAnsi="Arial" w:cs="Arial"/>
          <w:sz w:val="20"/>
          <w:szCs w:val="20"/>
        </w:rPr>
        <w:t xml:space="preserve"> = 26.57, determined by ROC analysis with definite </w:t>
      </w:r>
      <w:proofErr w:type="spellStart"/>
      <w:r w:rsidRPr="00D66547">
        <w:rPr>
          <w:rFonts w:ascii="Arial" w:hAnsi="Arial" w:cs="Arial"/>
          <w:sz w:val="20"/>
          <w:szCs w:val="20"/>
        </w:rPr>
        <w:t>iNPH</w:t>
      </w:r>
      <w:proofErr w:type="spellEnd"/>
      <w:r w:rsidRPr="00D66547">
        <w:rPr>
          <w:rFonts w:ascii="Arial" w:hAnsi="Arial" w:cs="Arial"/>
          <w:sz w:val="20"/>
          <w:szCs w:val="20"/>
        </w:rPr>
        <w:t xml:space="preserve"> vs HEC; criterion: best </w:t>
      </w:r>
      <w:proofErr w:type="spellStart"/>
      <w:r w:rsidRPr="00D66547">
        <w:rPr>
          <w:rFonts w:ascii="Arial" w:hAnsi="Arial" w:cs="Arial"/>
          <w:sz w:val="20"/>
          <w:szCs w:val="20"/>
        </w:rPr>
        <w:t>Youden</w:t>
      </w:r>
      <w:proofErr w:type="spellEnd"/>
      <w:r w:rsidRPr="00D66547">
        <w:rPr>
          <w:rFonts w:ascii="Arial" w:hAnsi="Arial" w:cs="Arial"/>
          <w:sz w:val="20"/>
          <w:szCs w:val="20"/>
        </w:rPr>
        <w:t xml:space="preserve"> index) to discriminate definite </w:t>
      </w:r>
      <w:proofErr w:type="spellStart"/>
      <w:r w:rsidRPr="00D66547">
        <w:rPr>
          <w:rFonts w:ascii="Arial" w:hAnsi="Arial" w:cs="Arial"/>
          <w:sz w:val="20"/>
          <w:szCs w:val="20"/>
        </w:rPr>
        <w:t>iNPH</w:t>
      </w:r>
      <w:proofErr w:type="spellEnd"/>
      <w:r w:rsidRPr="00D66547">
        <w:rPr>
          <w:rFonts w:ascii="Arial" w:hAnsi="Arial" w:cs="Arial"/>
          <w:sz w:val="20"/>
          <w:szCs w:val="20"/>
        </w:rPr>
        <w:t xml:space="preserve"> and possible </w:t>
      </w:r>
      <w:proofErr w:type="spellStart"/>
      <w:r w:rsidRPr="00D66547">
        <w:rPr>
          <w:rFonts w:ascii="Arial" w:hAnsi="Arial" w:cs="Arial"/>
          <w:sz w:val="20"/>
          <w:szCs w:val="20"/>
        </w:rPr>
        <w:t>iNPH</w:t>
      </w:r>
      <w:proofErr w:type="spellEnd"/>
      <w:r w:rsidRPr="00D66547">
        <w:rPr>
          <w:rFonts w:ascii="Arial" w:hAnsi="Arial" w:cs="Arial"/>
          <w:sz w:val="20"/>
          <w:szCs w:val="20"/>
        </w:rPr>
        <w:t xml:space="preserve"> from other groups</w:t>
      </w:r>
    </w:p>
    <w:p w:rsidR="007A1AB8" w:rsidRPr="00D66547" w:rsidRDefault="007A1AB8">
      <w:pPr>
        <w:rPr>
          <w:rFonts w:ascii="Arial" w:hAnsi="Arial" w:cs="Arial"/>
          <w:sz w:val="20"/>
          <w:szCs w:val="20"/>
        </w:rPr>
      </w:pPr>
      <w:r w:rsidRPr="00D66547">
        <w:rPr>
          <w:rFonts w:ascii="Arial" w:hAnsi="Arial" w:cs="Arial"/>
          <w:sz w:val="20"/>
          <w:szCs w:val="20"/>
        </w:rPr>
        <w:br w:type="page"/>
      </w:r>
    </w:p>
    <w:p w:rsidR="00A611C3" w:rsidRPr="00D66547" w:rsidRDefault="0047775E" w:rsidP="00144D9D">
      <w:pPr>
        <w:rPr>
          <w:rFonts w:ascii="Arial" w:hAnsi="Arial" w:cs="Arial"/>
          <w:b/>
          <w:sz w:val="20"/>
          <w:szCs w:val="20"/>
        </w:rPr>
      </w:pPr>
      <w:r w:rsidRPr="00D66547">
        <w:rPr>
          <w:rFonts w:ascii="Arial" w:hAnsi="Arial" w:cs="Arial"/>
          <w:b/>
          <w:sz w:val="20"/>
          <w:szCs w:val="20"/>
        </w:rPr>
        <w:lastRenderedPageBreak/>
        <w:t>Online Resource 2</w:t>
      </w:r>
    </w:p>
    <w:p w:rsidR="00144D9D" w:rsidRPr="00D66547" w:rsidRDefault="00144D9D" w:rsidP="00144D9D">
      <w:pPr>
        <w:rPr>
          <w:rFonts w:ascii="Arial" w:hAnsi="Arial" w:cs="Arial"/>
          <w:sz w:val="20"/>
          <w:szCs w:val="20"/>
        </w:rPr>
      </w:pPr>
      <w:r w:rsidRPr="00D66547">
        <w:rPr>
          <w:rFonts w:ascii="Arial" w:hAnsi="Arial" w:cs="Arial"/>
          <w:sz w:val="20"/>
          <w:szCs w:val="20"/>
        </w:rPr>
        <w:t xml:space="preserve">In order to relate positive and negative voxel weights of the </w:t>
      </w:r>
      <w:proofErr w:type="spellStart"/>
      <w:r w:rsidRPr="00D66547">
        <w:rPr>
          <w:rFonts w:ascii="Arial" w:hAnsi="Arial" w:cs="Arial"/>
          <w:sz w:val="20"/>
          <w:szCs w:val="20"/>
        </w:rPr>
        <w:t>iNPHRP</w:t>
      </w:r>
      <w:proofErr w:type="spellEnd"/>
      <w:r w:rsidRPr="00D66547">
        <w:rPr>
          <w:rFonts w:ascii="Arial" w:hAnsi="Arial" w:cs="Arial"/>
          <w:sz w:val="20"/>
          <w:szCs w:val="20"/>
        </w:rPr>
        <w:t xml:space="preserve"> to alterations of normalized regional glucose metabolism in definite </w:t>
      </w:r>
      <w:proofErr w:type="spellStart"/>
      <w:r w:rsidRPr="00D66547">
        <w:rPr>
          <w:rFonts w:ascii="Arial" w:hAnsi="Arial" w:cs="Arial"/>
          <w:sz w:val="20"/>
          <w:szCs w:val="20"/>
        </w:rPr>
        <w:t>iNPH</w:t>
      </w:r>
      <w:proofErr w:type="spellEnd"/>
      <w:r w:rsidRPr="00D66547">
        <w:rPr>
          <w:rFonts w:ascii="Arial" w:hAnsi="Arial" w:cs="Arial"/>
          <w:sz w:val="20"/>
          <w:szCs w:val="20"/>
        </w:rPr>
        <w:t xml:space="preserve">, FDG uptake (reference: brain parenchyma) was read out from all FDG PET at the positive and negative peak voxels of the </w:t>
      </w:r>
      <w:proofErr w:type="spellStart"/>
      <w:r w:rsidRPr="00D66547">
        <w:rPr>
          <w:rFonts w:ascii="Arial" w:hAnsi="Arial" w:cs="Arial"/>
          <w:sz w:val="20"/>
          <w:szCs w:val="20"/>
        </w:rPr>
        <w:t>iNPHRP</w:t>
      </w:r>
      <w:proofErr w:type="spellEnd"/>
      <w:r w:rsidRPr="00D66547">
        <w:rPr>
          <w:rFonts w:ascii="Arial" w:hAnsi="Arial" w:cs="Arial"/>
          <w:sz w:val="20"/>
          <w:szCs w:val="20"/>
        </w:rPr>
        <w:t xml:space="preserve"> (sphere of 4 mm radius), respectively. Plots confirmed that FDG uptake at the lateral ventricle (peak of negative voxel weights) was lowest among all groups in definite </w:t>
      </w:r>
      <w:proofErr w:type="spellStart"/>
      <w:r w:rsidRPr="00D66547">
        <w:rPr>
          <w:rFonts w:ascii="Arial" w:hAnsi="Arial" w:cs="Arial"/>
          <w:sz w:val="20"/>
          <w:szCs w:val="20"/>
        </w:rPr>
        <w:t>iNPH</w:t>
      </w:r>
      <w:proofErr w:type="spellEnd"/>
      <w:r w:rsidRPr="00D66547">
        <w:rPr>
          <w:rFonts w:ascii="Arial" w:hAnsi="Arial" w:cs="Arial"/>
          <w:sz w:val="20"/>
          <w:szCs w:val="20"/>
        </w:rPr>
        <w:t xml:space="preserve">, whereas FDG uptake was highest in definite </w:t>
      </w:r>
      <w:proofErr w:type="spellStart"/>
      <w:r w:rsidRPr="00D66547">
        <w:rPr>
          <w:rFonts w:ascii="Arial" w:hAnsi="Arial" w:cs="Arial"/>
          <w:sz w:val="20"/>
          <w:szCs w:val="20"/>
        </w:rPr>
        <w:t>iNPH</w:t>
      </w:r>
      <w:proofErr w:type="spellEnd"/>
      <w:r w:rsidRPr="00D66547">
        <w:rPr>
          <w:rFonts w:ascii="Arial" w:hAnsi="Arial" w:cs="Arial"/>
          <w:sz w:val="20"/>
          <w:szCs w:val="20"/>
        </w:rPr>
        <w:t xml:space="preserve"> at the peak of positive voxel weights.</w:t>
      </w:r>
    </w:p>
    <w:p w:rsidR="005A1D77" w:rsidRPr="00D66547" w:rsidRDefault="00144D9D" w:rsidP="00144D9D">
      <w:pPr>
        <w:rPr>
          <w:rFonts w:ascii="Arial" w:hAnsi="Arial" w:cs="Arial"/>
          <w:sz w:val="20"/>
          <w:szCs w:val="20"/>
        </w:rPr>
      </w:pPr>
      <w:r w:rsidRPr="00D66547">
        <w:rPr>
          <w:noProof/>
        </w:rPr>
        <w:drawing>
          <wp:inline distT="0" distB="0" distL="0" distR="0" wp14:anchorId="43148332" wp14:editId="531F5F02">
            <wp:extent cx="4259731" cy="2823667"/>
            <wp:effectExtent l="0" t="0" r="762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72463" cy="2832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10F" w:rsidRPr="00D66547" w:rsidRDefault="00144D9D" w:rsidP="00144D9D">
      <w:pPr>
        <w:rPr>
          <w:rFonts w:ascii="Arial" w:hAnsi="Arial" w:cs="Arial"/>
          <w:sz w:val="20"/>
          <w:szCs w:val="20"/>
        </w:rPr>
      </w:pPr>
      <w:r w:rsidRPr="00D66547">
        <w:rPr>
          <w:rFonts w:ascii="Arial" w:hAnsi="Arial" w:cs="Arial"/>
          <w:sz w:val="20"/>
          <w:szCs w:val="20"/>
        </w:rPr>
        <w:t xml:space="preserve">    </w:t>
      </w:r>
      <w:r w:rsidR="005A1D77" w:rsidRPr="00D66547">
        <w:rPr>
          <w:noProof/>
        </w:rPr>
        <w:drawing>
          <wp:inline distT="0" distB="0" distL="0" distR="0" wp14:anchorId="0C897F3E" wp14:editId="7C5FB4B7">
            <wp:extent cx="4089196" cy="2717146"/>
            <wp:effectExtent l="0" t="0" r="6985" b="762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91794" cy="271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10F" w:rsidRPr="00D66547" w:rsidRDefault="0046610F">
      <w:pPr>
        <w:rPr>
          <w:rFonts w:ascii="Arial" w:hAnsi="Arial" w:cs="Arial"/>
          <w:sz w:val="20"/>
          <w:szCs w:val="20"/>
        </w:rPr>
      </w:pPr>
      <w:r w:rsidRPr="00D66547">
        <w:rPr>
          <w:rFonts w:ascii="Arial" w:hAnsi="Arial" w:cs="Arial"/>
          <w:sz w:val="20"/>
          <w:szCs w:val="20"/>
        </w:rPr>
        <w:br w:type="page"/>
      </w:r>
    </w:p>
    <w:p w:rsidR="0046610F" w:rsidRPr="00D66547" w:rsidRDefault="0046610F" w:rsidP="0046610F">
      <w:pPr>
        <w:rPr>
          <w:rFonts w:ascii="Arial" w:hAnsi="Arial" w:cs="Arial"/>
          <w:b/>
          <w:sz w:val="20"/>
          <w:szCs w:val="20"/>
        </w:rPr>
      </w:pPr>
      <w:r w:rsidRPr="00D66547">
        <w:rPr>
          <w:rFonts w:ascii="Arial" w:hAnsi="Arial" w:cs="Arial"/>
          <w:b/>
          <w:sz w:val="20"/>
          <w:szCs w:val="20"/>
        </w:rPr>
        <w:lastRenderedPageBreak/>
        <w:t>Online Resource 3</w:t>
      </w:r>
    </w:p>
    <w:p w:rsidR="0046610F" w:rsidRDefault="00ED181A" w:rsidP="0046610F">
      <w:pPr>
        <w:spacing w:after="0" w:line="360" w:lineRule="auto"/>
        <w:rPr>
          <w:color w:val="000000"/>
        </w:rPr>
      </w:pPr>
      <w:r w:rsidRPr="00D66547">
        <w:rPr>
          <w:noProof/>
        </w:rPr>
        <w:drawing>
          <wp:inline distT="0" distB="0" distL="0" distR="0" wp14:anchorId="1E80F356" wp14:editId="68FC243F">
            <wp:extent cx="5760720" cy="3644087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44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6610F" w:rsidRPr="00D66547">
        <w:rPr>
          <w:b/>
        </w:rPr>
        <w:t xml:space="preserve">Comparison between the relative </w:t>
      </w:r>
      <w:r w:rsidR="00310A1E" w:rsidRPr="00D66547">
        <w:rPr>
          <w:b/>
        </w:rPr>
        <w:t>increases of</w:t>
      </w:r>
      <w:r w:rsidR="0046610F" w:rsidRPr="00D66547">
        <w:rPr>
          <w:b/>
        </w:rPr>
        <w:t xml:space="preserve"> CSF and gray matter </w:t>
      </w:r>
      <w:r w:rsidR="00310A1E" w:rsidRPr="00D66547">
        <w:rPr>
          <w:b/>
        </w:rPr>
        <w:t xml:space="preserve">in definite </w:t>
      </w:r>
      <w:proofErr w:type="spellStart"/>
      <w:r w:rsidR="00310A1E" w:rsidRPr="00D66547">
        <w:rPr>
          <w:b/>
        </w:rPr>
        <w:t>iNPH</w:t>
      </w:r>
      <w:proofErr w:type="spellEnd"/>
      <w:r w:rsidR="00310A1E" w:rsidRPr="00D66547">
        <w:rPr>
          <w:b/>
        </w:rPr>
        <w:t xml:space="preserve"> (</w:t>
      </w:r>
      <w:r w:rsidR="0046610F" w:rsidRPr="00D66547">
        <w:rPr>
          <w:b/>
        </w:rPr>
        <w:t>obtained from MRI</w:t>
      </w:r>
      <w:r w:rsidR="00310A1E" w:rsidRPr="00D66547">
        <w:rPr>
          <w:b/>
        </w:rPr>
        <w:t>)</w:t>
      </w:r>
      <w:r w:rsidR="0046610F" w:rsidRPr="00D66547">
        <w:rPr>
          <w:b/>
        </w:rPr>
        <w:t xml:space="preserve"> and the FDG PET-derived </w:t>
      </w:r>
      <w:proofErr w:type="spellStart"/>
      <w:r w:rsidR="0046610F" w:rsidRPr="00D66547">
        <w:rPr>
          <w:b/>
        </w:rPr>
        <w:t>iNPHRP</w:t>
      </w:r>
      <w:proofErr w:type="spellEnd"/>
      <w:r w:rsidR="00310A1E" w:rsidRPr="00D66547">
        <w:rPr>
          <w:b/>
        </w:rPr>
        <w:t xml:space="preserve"> in the same subjects</w:t>
      </w:r>
      <w:r w:rsidR="0046610F" w:rsidRPr="00D66547">
        <w:rPr>
          <w:b/>
        </w:rPr>
        <w:t xml:space="preserve">. </w:t>
      </w:r>
      <w:r w:rsidR="00F341A9" w:rsidRPr="00D66547">
        <w:t>Top</w:t>
      </w:r>
      <w:r w:rsidR="0046610F" w:rsidRPr="00D66547">
        <w:t>,</w:t>
      </w:r>
      <w:r w:rsidR="0046610F" w:rsidRPr="00D66547">
        <w:rPr>
          <w:b/>
        </w:rPr>
        <w:t xml:space="preserve"> </w:t>
      </w:r>
      <w:r w:rsidR="00310A1E" w:rsidRPr="00D66547">
        <w:rPr>
          <w:color w:val="000000"/>
        </w:rPr>
        <w:t>t values</w:t>
      </w:r>
      <w:r w:rsidR="0046610F" w:rsidRPr="00D66547">
        <w:rPr>
          <w:color w:val="000000"/>
        </w:rPr>
        <w:t xml:space="preserve"> </w:t>
      </w:r>
      <w:r w:rsidR="00F341A9" w:rsidRPr="00D66547">
        <w:rPr>
          <w:color w:val="000000"/>
        </w:rPr>
        <w:t>from group comparisons of</w:t>
      </w:r>
      <w:r w:rsidR="0046610F" w:rsidRPr="00D66547">
        <w:rPr>
          <w:color w:val="000000"/>
        </w:rPr>
        <w:t xml:space="preserve"> CSF and </w:t>
      </w:r>
      <w:r w:rsidR="00310A1E" w:rsidRPr="00D66547">
        <w:rPr>
          <w:color w:val="000000"/>
        </w:rPr>
        <w:t>gray matter volume</w:t>
      </w:r>
      <w:r w:rsidR="0046610F" w:rsidRPr="00D66547">
        <w:rPr>
          <w:color w:val="000000"/>
        </w:rPr>
        <w:t xml:space="preserve"> </w:t>
      </w:r>
      <w:r w:rsidR="00F341A9" w:rsidRPr="00D66547">
        <w:rPr>
          <w:color w:val="000000"/>
        </w:rPr>
        <w:t xml:space="preserve">between definite </w:t>
      </w:r>
      <w:proofErr w:type="spellStart"/>
      <w:r w:rsidR="00F341A9" w:rsidRPr="00D66547">
        <w:rPr>
          <w:color w:val="000000"/>
        </w:rPr>
        <w:t>iNPH</w:t>
      </w:r>
      <w:proofErr w:type="spellEnd"/>
      <w:r w:rsidR="00F341A9" w:rsidRPr="00D66547">
        <w:rPr>
          <w:color w:val="000000"/>
        </w:rPr>
        <w:t xml:space="preserve"> patients and HEC </w:t>
      </w:r>
      <w:r w:rsidR="0046610F" w:rsidRPr="00D66547">
        <w:rPr>
          <w:color w:val="000000"/>
        </w:rPr>
        <w:t>(</w:t>
      </w:r>
      <w:r w:rsidR="00310A1E" w:rsidRPr="00D66547">
        <w:rPr>
          <w:color w:val="000000"/>
        </w:rPr>
        <w:t>separate</w:t>
      </w:r>
      <w:r w:rsidR="0046610F" w:rsidRPr="00D66547">
        <w:rPr>
          <w:color w:val="000000"/>
        </w:rPr>
        <w:t xml:space="preserve"> SPM12</w:t>
      </w:r>
      <w:r w:rsidR="00F341A9" w:rsidRPr="00D66547">
        <w:rPr>
          <w:color w:val="000000"/>
        </w:rPr>
        <w:t xml:space="preserve"> t tests</w:t>
      </w:r>
      <w:r w:rsidR="0046610F" w:rsidRPr="00D66547">
        <w:rPr>
          <w:color w:val="000000"/>
        </w:rPr>
        <w:t xml:space="preserve">). </w:t>
      </w:r>
      <w:r w:rsidR="00F341A9" w:rsidRPr="00D66547">
        <w:rPr>
          <w:color w:val="000000"/>
        </w:rPr>
        <w:t xml:space="preserve">Bottom, </w:t>
      </w:r>
      <w:proofErr w:type="spellStart"/>
      <w:r w:rsidR="0046610F" w:rsidRPr="00D66547">
        <w:rPr>
          <w:color w:val="000000"/>
        </w:rPr>
        <w:t>iNPHRP</w:t>
      </w:r>
      <w:proofErr w:type="spellEnd"/>
      <w:r w:rsidR="0046610F" w:rsidRPr="00D66547">
        <w:rPr>
          <w:color w:val="000000"/>
        </w:rPr>
        <w:t xml:space="preserve"> positive and negative voxel weight</w:t>
      </w:r>
      <w:r w:rsidR="00F341A9" w:rsidRPr="00D66547">
        <w:rPr>
          <w:color w:val="000000"/>
        </w:rPr>
        <w:t>s</w:t>
      </w:r>
      <w:r w:rsidR="0046610F" w:rsidRPr="00D66547">
        <w:rPr>
          <w:color w:val="000000"/>
        </w:rPr>
        <w:t>.</w:t>
      </w:r>
      <w:r w:rsidR="0046610F">
        <w:rPr>
          <w:color w:val="000000"/>
        </w:rPr>
        <w:t xml:space="preserve"> </w:t>
      </w:r>
    </w:p>
    <w:p w:rsidR="00144D9D" w:rsidRDefault="00144D9D" w:rsidP="00144D9D"/>
    <w:sectPr w:rsidR="00144D9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5E6"/>
    <w:rsid w:val="000A5D2E"/>
    <w:rsid w:val="00144D9D"/>
    <w:rsid w:val="001C09DD"/>
    <w:rsid w:val="00310A1E"/>
    <w:rsid w:val="00341ED9"/>
    <w:rsid w:val="0037221A"/>
    <w:rsid w:val="004155E6"/>
    <w:rsid w:val="0046610F"/>
    <w:rsid w:val="0047775E"/>
    <w:rsid w:val="00576E49"/>
    <w:rsid w:val="005A1D77"/>
    <w:rsid w:val="007A1AB8"/>
    <w:rsid w:val="008D38E3"/>
    <w:rsid w:val="00A611C3"/>
    <w:rsid w:val="00D66547"/>
    <w:rsid w:val="00ED181A"/>
    <w:rsid w:val="00F3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7B1826A-DC94-40DB-A72C-3A4173A99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10F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15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4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4D9D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21D92-83EF-477F-B647-D0B1537DC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Uniklinikum Freiburg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Lars Frings</dc:creator>
  <cp:lastModifiedBy>Elea Catubig</cp:lastModifiedBy>
  <cp:revision>6</cp:revision>
  <dcterms:created xsi:type="dcterms:W3CDTF">2023-09-28T14:17:00Z</dcterms:created>
  <dcterms:modified xsi:type="dcterms:W3CDTF">2023-11-03T09:24:00Z</dcterms:modified>
</cp:coreProperties>
</file>