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54431" w14:textId="18E81EC9" w:rsidR="00920888" w:rsidRPr="005C1D56" w:rsidRDefault="00920888" w:rsidP="00920888">
      <w:pPr>
        <w:pStyle w:val="BodyText"/>
        <w:spacing w:line="230" w:lineRule="auto"/>
        <w:ind w:right="270"/>
        <w:jc w:val="center"/>
        <w:rPr>
          <w:rFonts w:ascii="Palatino Linotype" w:hAnsi="Palatino Linotype"/>
          <w:b/>
          <w:bCs/>
          <w:u w:val="single"/>
        </w:rPr>
      </w:pPr>
      <w:r w:rsidRPr="005C1D56">
        <w:rPr>
          <w:rFonts w:ascii="Palatino Linotype" w:hAnsi="Palatino Linotype"/>
          <w:b/>
          <w:bCs/>
          <w:u w:val="single"/>
        </w:rPr>
        <w:t>Supplemental Materials</w:t>
      </w:r>
    </w:p>
    <w:p w14:paraId="7925CBA3" w14:textId="77777777" w:rsidR="00920888" w:rsidRPr="008D4DB7" w:rsidRDefault="00920888" w:rsidP="00920888">
      <w:pPr>
        <w:pStyle w:val="BodyText"/>
        <w:spacing w:line="230" w:lineRule="auto"/>
        <w:ind w:right="270"/>
        <w:rPr>
          <w:rFonts w:ascii="Palatino Linotype" w:hAnsi="Palatino Linotype"/>
          <w:b/>
          <w:bCs/>
          <w:u w:val="single"/>
        </w:rPr>
      </w:pPr>
    </w:p>
    <w:p w14:paraId="3A022321" w14:textId="77777777" w:rsidR="00920888" w:rsidRPr="00CA4F54" w:rsidRDefault="00920888" w:rsidP="00920888">
      <w:pPr>
        <w:ind w:right="-360"/>
        <w:rPr>
          <w:rFonts w:ascii="Palatino Linotype" w:hAnsi="Palatino Linotype"/>
          <w:b/>
          <w:bCs/>
          <w:color w:val="000000"/>
          <w:u w:val="single"/>
        </w:rPr>
      </w:pPr>
      <w:r w:rsidRPr="00CA4F54">
        <w:rPr>
          <w:rFonts w:ascii="Palatino Linotype" w:hAnsi="Palatino Linotype"/>
          <w:b/>
          <w:bCs/>
          <w:color w:val="000000"/>
          <w:u w:val="single"/>
        </w:rPr>
        <w:t>Methods of Secondary Outcomes Measures:</w:t>
      </w:r>
    </w:p>
    <w:p w14:paraId="7F0A7D94" w14:textId="77777777" w:rsidR="00920888" w:rsidRDefault="00920888" w:rsidP="00920888">
      <w:pPr>
        <w:ind w:right="-360"/>
        <w:rPr>
          <w:rFonts w:ascii="Palatino Linotype" w:hAnsi="Palatino Linotype"/>
          <w:color w:val="000000"/>
          <w:u w:val="single"/>
        </w:rPr>
      </w:pPr>
    </w:p>
    <w:p w14:paraId="508099BD" w14:textId="77777777" w:rsidR="00920888" w:rsidRPr="00965D31" w:rsidRDefault="00920888" w:rsidP="00920888">
      <w:pPr>
        <w:ind w:right="-360"/>
        <w:rPr>
          <w:rFonts w:ascii="Palatino Linotype" w:hAnsi="Palatino Linotype"/>
          <w:color w:val="000000"/>
          <w:u w:val="single"/>
        </w:rPr>
      </w:pPr>
      <w:r>
        <w:rPr>
          <w:rFonts w:ascii="Palatino Linotype" w:hAnsi="Palatino Linotype"/>
          <w:color w:val="000000"/>
          <w:u w:val="single"/>
        </w:rPr>
        <w:t>Behavior</w:t>
      </w:r>
    </w:p>
    <w:p w14:paraId="7096D4FA" w14:textId="77777777" w:rsidR="00920888" w:rsidRDefault="00920888" w:rsidP="00920888">
      <w:pPr>
        <w:ind w:right="-360"/>
        <w:rPr>
          <w:rFonts w:ascii="Palatino Linotype" w:hAnsi="Palatino Linotype"/>
          <w:color w:val="000000"/>
        </w:rPr>
      </w:pPr>
      <w:r w:rsidRPr="000E2D60">
        <w:rPr>
          <w:rFonts w:ascii="Palatino Linotype" w:hAnsi="Palatino Linotype"/>
          <w:color w:val="000000"/>
        </w:rPr>
        <w:t>Depression scores were assessed using the Patient Health Questionnaire (PHQ-9).  A 3-day diet diary and a lifestyle adherence survey were also completed.</w:t>
      </w:r>
    </w:p>
    <w:p w14:paraId="65757B8C" w14:textId="77777777" w:rsidR="00920888" w:rsidRDefault="00920888" w:rsidP="00920888">
      <w:pPr>
        <w:ind w:right="-360"/>
        <w:rPr>
          <w:u w:val="single"/>
        </w:rPr>
      </w:pPr>
    </w:p>
    <w:p w14:paraId="671185F2" w14:textId="77777777" w:rsidR="00920888" w:rsidRPr="000E2D60" w:rsidRDefault="00920888" w:rsidP="00920888">
      <w:pPr>
        <w:rPr>
          <w:rFonts w:ascii="Palatino Linotype" w:hAnsi="Palatino Linotype"/>
          <w:color w:val="000000"/>
          <w:u w:val="single"/>
        </w:rPr>
      </w:pPr>
      <w:r w:rsidRPr="000E2D60">
        <w:rPr>
          <w:rFonts w:ascii="Palatino Linotype" w:hAnsi="Palatino Linotype"/>
          <w:color w:val="000000"/>
          <w:u w:val="single"/>
        </w:rPr>
        <w:t xml:space="preserve">Blood-Based Biomarkers:  </w:t>
      </w:r>
    </w:p>
    <w:p w14:paraId="264C77D2" w14:textId="77777777" w:rsidR="00920888" w:rsidRPr="000E2D60" w:rsidRDefault="00920888" w:rsidP="00920888">
      <w:pPr>
        <w:rPr>
          <w:rFonts w:ascii="Palatino Linotype" w:hAnsi="Palatino Linotype" w:cs="Arial"/>
          <w:color w:val="000000"/>
        </w:rPr>
      </w:pPr>
      <w:bookmarkStart w:id="0" w:name="OLE_LINK19"/>
      <w:bookmarkStart w:id="1" w:name="OLE_LINK20"/>
      <w:r w:rsidRPr="000E2D60">
        <w:rPr>
          <w:rFonts w:ascii="Palatino Linotype" w:hAnsi="Palatino Linotype"/>
          <w:color w:val="000000"/>
        </w:rPr>
        <w:t>We measured selected biomarkers that play a role in the pathophysiology of AD,</w:t>
      </w:r>
      <w:bookmarkEnd w:id="0"/>
      <w:bookmarkEnd w:id="1"/>
      <w:r w:rsidRPr="000E2D60">
        <w:rPr>
          <w:rFonts w:ascii="Palatino Linotype" w:hAnsi="Palatino Linotype"/>
          <w:color w:val="000000"/>
        </w:rPr>
        <w:t xml:space="preserve"> as further described in the Results section.  </w:t>
      </w:r>
      <w:r w:rsidRPr="000E2D60">
        <w:rPr>
          <w:rFonts w:ascii="Palatino Linotype" w:hAnsi="Palatino Linotype" w:cs="Roboto"/>
          <w:color w:val="000000"/>
          <w:kern w:val="24"/>
        </w:rPr>
        <w:t>The plasma A</w:t>
      </w:r>
      <w:r w:rsidRPr="000E2D60">
        <w:rPr>
          <w:rFonts w:ascii="Palatino Linotype" w:hAnsi="Palatino Linotype" w:cs="Roboto"/>
          <w:color w:val="000000"/>
          <w:kern w:val="24"/>
          <w:lang w:val="el-GR"/>
        </w:rPr>
        <w:t xml:space="preserve">β42/40 </w:t>
      </w:r>
      <w:r w:rsidRPr="000E2D60">
        <w:rPr>
          <w:rFonts w:ascii="Palatino Linotype" w:hAnsi="Palatino Linotype" w:cs="Roboto"/>
          <w:color w:val="000000"/>
          <w:kern w:val="24"/>
        </w:rPr>
        <w:t>ratio, phosphorylated tau181 (pTau181), GFAP/Glial Fibrillary Acidic Protein, hemoglobin A1c, insulin, C-reactive protein (CRP), Serum Amyloid A/SAA, and C</w:t>
      </w:r>
      <w:r w:rsidRPr="000E2D60">
        <w:rPr>
          <w:rFonts w:ascii="Palatino Linotype" w:hAnsi="Palatino Linotype" w:cs="Roboto"/>
          <w:color w:val="000000"/>
          <w:kern w:val="24"/>
        </w:rPr>
        <w:noBreakHyphen/>
        <w:t>Peptide w</w:t>
      </w:r>
      <w:r w:rsidRPr="000E2D60">
        <w:rPr>
          <w:rFonts w:ascii="Palatino Linotype" w:hAnsi="Palatino Linotype"/>
          <w:color w:val="000000"/>
        </w:rPr>
        <w:t xml:space="preserve">ere assessed at the Arnold and </w:t>
      </w:r>
      <w:proofErr w:type="spellStart"/>
      <w:r w:rsidRPr="000E2D60">
        <w:rPr>
          <w:rFonts w:ascii="Palatino Linotype" w:hAnsi="Palatino Linotype"/>
          <w:color w:val="000000"/>
        </w:rPr>
        <w:t>Tanzi</w:t>
      </w:r>
      <w:proofErr w:type="spellEnd"/>
      <w:r w:rsidRPr="000E2D60">
        <w:rPr>
          <w:rFonts w:ascii="Palatino Linotype" w:hAnsi="Palatino Linotype"/>
          <w:color w:val="000000"/>
        </w:rPr>
        <w:t xml:space="preserve"> Laboratories (Harvard Medical School/Massachusetts General Hospital).  Telomere length was measured at the Elizabeth Blackburn Laboratory (UCSF).</w:t>
      </w:r>
      <w:r w:rsidRPr="000E2D60">
        <w:rPr>
          <w:rStyle w:val="EndnoteReference"/>
          <w:rFonts w:ascii="Palatino Linotype" w:eastAsiaTheme="majorEastAsia" w:hAnsi="Palatino Linotype"/>
          <w:color w:val="000000"/>
          <w:kern w:val="24"/>
        </w:rPr>
        <w:endnoteReference w:id="1"/>
      </w:r>
      <w:r w:rsidRPr="000E2D60">
        <w:rPr>
          <w:rFonts w:ascii="Palatino Linotype" w:hAnsi="Palatino Linotype"/>
          <w:color w:val="000000"/>
        </w:rPr>
        <w:t xml:space="preserve">  We used quantitative PCR to measure average telomere length, represented by the ratio of telomere signal vs. a single copy gene signal (T/S). LDL</w:t>
      </w:r>
      <w:r w:rsidRPr="000E2D60">
        <w:rPr>
          <w:rFonts w:ascii="Palatino Linotype" w:hAnsi="Palatino Linotype"/>
          <w:color w:val="000000"/>
        </w:rPr>
        <w:noBreakHyphen/>
        <w:t xml:space="preserve">cholesterol, </w:t>
      </w:r>
      <w:r w:rsidRPr="000E2D60">
        <w:rPr>
          <w:rStyle w:val="hgkelc"/>
          <w:rFonts w:ascii="Palatino Linotype" w:hAnsi="Palatino Linotype"/>
          <w:color w:val="000000"/>
          <w:lang w:val="en"/>
        </w:rPr>
        <w:t>glycoprotein acetyls (</w:t>
      </w:r>
      <w:proofErr w:type="spellStart"/>
      <w:r w:rsidRPr="000E2D60">
        <w:rPr>
          <w:rFonts w:ascii="Palatino Linotype" w:hAnsi="Palatino Linotype"/>
          <w:color w:val="000000"/>
          <w:shd w:val="clear" w:color="auto" w:fill="FFFFFF"/>
        </w:rPr>
        <w:t>GlycA</w:t>
      </w:r>
      <w:proofErr w:type="spellEnd"/>
      <w:r w:rsidRPr="000E2D60">
        <w:rPr>
          <w:rFonts w:ascii="Palatino Linotype" w:hAnsi="Palatino Linotype"/>
          <w:color w:val="000000"/>
          <w:shd w:val="clear" w:color="auto" w:fill="FFFFFF"/>
        </w:rPr>
        <w:t>), and beta-hydroxybutyrate were measured at</w:t>
      </w:r>
      <w:r w:rsidRPr="000E2D60">
        <w:rPr>
          <w:rFonts w:ascii="Palatino Linotype" w:hAnsi="Palatino Linotype"/>
          <w:color w:val="000000"/>
        </w:rPr>
        <w:t xml:space="preserve"> the </w:t>
      </w:r>
      <w:proofErr w:type="spellStart"/>
      <w:r w:rsidRPr="000E2D60">
        <w:rPr>
          <w:rFonts w:ascii="Palatino Linotype" w:hAnsi="Palatino Linotype" w:cs="Arial"/>
          <w:color w:val="000000"/>
        </w:rPr>
        <w:t>Kaddurah</w:t>
      </w:r>
      <w:proofErr w:type="spellEnd"/>
      <w:r w:rsidRPr="000E2D60">
        <w:rPr>
          <w:rFonts w:ascii="Palatino Linotype" w:hAnsi="Palatino Linotype" w:cs="Arial"/>
          <w:color w:val="000000"/>
        </w:rPr>
        <w:t>-</w:t>
      </w:r>
      <w:proofErr w:type="spellStart"/>
      <w:r w:rsidRPr="000E2D60">
        <w:rPr>
          <w:rFonts w:ascii="Palatino Linotype" w:hAnsi="Palatino Linotype" w:cs="Arial"/>
          <w:color w:val="000000"/>
        </w:rPr>
        <w:t>Daouk</w:t>
      </w:r>
      <w:proofErr w:type="spellEnd"/>
      <w:r w:rsidRPr="000E2D60">
        <w:rPr>
          <w:rFonts w:ascii="Palatino Linotype" w:hAnsi="Palatino Linotype" w:cs="Arial"/>
          <w:color w:val="000000"/>
        </w:rPr>
        <w:t xml:space="preserve">-led “Alzheimer Disease Metabolomics Consortium” and </w:t>
      </w:r>
      <w:r>
        <w:rPr>
          <w:rFonts w:ascii="Palatino Linotype" w:hAnsi="Palatino Linotype" w:cs="Arial"/>
          <w:color w:val="000000"/>
        </w:rPr>
        <w:t>t</w:t>
      </w:r>
      <w:r w:rsidRPr="000E2D60">
        <w:rPr>
          <w:rFonts w:ascii="Palatino Linotype" w:hAnsi="Palatino Linotype" w:cs="Arial"/>
          <w:color w:val="000000"/>
        </w:rPr>
        <w:t>he Alzheimer Gut Microbiome Project (Duke Medical Center).</w:t>
      </w:r>
      <w:r w:rsidRPr="000E2D60">
        <w:rPr>
          <w:rStyle w:val="EndnoteReference"/>
          <w:rFonts w:ascii="Palatino Linotype" w:eastAsiaTheme="majorEastAsia" w:hAnsi="Palatino Linotype"/>
          <w:color w:val="000000"/>
        </w:rPr>
        <w:endnoteReference w:id="2"/>
      </w:r>
      <w:r w:rsidRPr="000E2D60">
        <w:rPr>
          <w:rFonts w:ascii="Palatino Linotype" w:hAnsi="Palatino Linotype" w:cs="Arial"/>
          <w:color w:val="000000"/>
        </w:rPr>
        <w:t xml:space="preserve"> </w:t>
      </w:r>
      <w:r w:rsidRPr="000E2D60">
        <w:rPr>
          <w:rStyle w:val="EndnoteReference"/>
          <w:rFonts w:ascii="Palatino Linotype" w:eastAsiaTheme="majorEastAsia" w:hAnsi="Palatino Linotype"/>
          <w:color w:val="000000"/>
        </w:rPr>
        <w:endnoteReference w:id="3"/>
      </w:r>
      <w:r w:rsidRPr="000E2D60">
        <w:rPr>
          <w:rFonts w:ascii="Palatino Linotype" w:hAnsi="Palatino Linotype" w:cs="Arial"/>
          <w:color w:val="000000"/>
        </w:rPr>
        <w:t xml:space="preserve">  All those doing these assessments were blind to participant identity or treatment group assignment.   </w:t>
      </w:r>
    </w:p>
    <w:p w14:paraId="5E9D8423" w14:textId="77777777" w:rsidR="00920888" w:rsidRPr="000E2D60" w:rsidRDefault="00920888" w:rsidP="00920888">
      <w:pPr>
        <w:rPr>
          <w:rFonts w:ascii="Palatino Linotype" w:hAnsi="Palatino Linotype" w:cs="Arial"/>
          <w:color w:val="000000"/>
        </w:rPr>
      </w:pPr>
    </w:p>
    <w:p w14:paraId="5BE30C2E" w14:textId="77777777" w:rsidR="00920888" w:rsidRPr="000E2D60" w:rsidRDefault="00920888" w:rsidP="00920888">
      <w:pPr>
        <w:autoSpaceDE w:val="0"/>
        <w:autoSpaceDN w:val="0"/>
        <w:adjustRightInd w:val="0"/>
        <w:rPr>
          <w:rFonts w:ascii="Palatino Linotype" w:hAnsi="Palatino Linotype" w:cs="Calibri Light"/>
          <w:color w:val="000000"/>
          <w:kern w:val="24"/>
        </w:rPr>
      </w:pPr>
      <w:bookmarkStart w:id="2" w:name="z"/>
      <w:bookmarkEnd w:id="2"/>
      <w:r w:rsidRPr="000E2D60">
        <w:rPr>
          <w:rFonts w:ascii="Palatino Linotype" w:hAnsi="Palatino Linotype" w:cs="Roboto"/>
          <w:color w:val="000000"/>
          <w:kern w:val="24"/>
        </w:rPr>
        <w:t>An increase in the plasma A</w:t>
      </w:r>
      <w:r w:rsidRPr="000E2D60">
        <w:rPr>
          <w:rFonts w:ascii="Palatino Linotype" w:hAnsi="Palatino Linotype" w:cs="Roboto"/>
          <w:color w:val="000000"/>
          <w:kern w:val="24"/>
          <w:lang w:val="el-GR"/>
        </w:rPr>
        <w:t xml:space="preserve">β42/40 </w:t>
      </w:r>
      <w:r w:rsidRPr="000E2D60">
        <w:rPr>
          <w:rFonts w:ascii="Palatino Linotype" w:hAnsi="Palatino Linotype" w:cs="Roboto"/>
          <w:color w:val="000000"/>
          <w:kern w:val="24"/>
        </w:rPr>
        <w:t xml:space="preserve">ratio </w:t>
      </w:r>
      <w:bookmarkStart w:id="3" w:name="b"/>
      <w:bookmarkEnd w:id="3"/>
      <w:r w:rsidRPr="000E2D60">
        <w:rPr>
          <w:rFonts w:ascii="Palatino Linotype" w:hAnsi="Palatino Linotype" w:cs="Roboto"/>
          <w:bCs/>
          <w:color w:val="000000"/>
          <w:kern w:val="24"/>
        </w:rPr>
        <w:t xml:space="preserve">level </w:t>
      </w:r>
      <w:proofErr w:type="gramStart"/>
      <w:r w:rsidRPr="000E2D60">
        <w:rPr>
          <w:rFonts w:ascii="Palatino Linotype" w:hAnsi="Palatino Linotype" w:cs="Roboto"/>
          <w:bCs/>
          <w:color w:val="000000"/>
          <w:kern w:val="24"/>
        </w:rPr>
        <w:t>is considered to be</w:t>
      </w:r>
      <w:proofErr w:type="gramEnd"/>
      <w:r w:rsidRPr="000E2D60">
        <w:rPr>
          <w:rFonts w:ascii="Palatino Linotype" w:hAnsi="Palatino Linotype" w:cs="Roboto"/>
          <w:bCs/>
          <w:color w:val="000000"/>
          <w:kern w:val="24"/>
        </w:rPr>
        <w:t xml:space="preserve"> beneficial as an indication that amyloid is moving from the brain to the plasma.</w:t>
      </w:r>
      <w:r w:rsidRPr="000E2D60">
        <w:rPr>
          <w:rStyle w:val="EndnoteReference"/>
          <w:rFonts w:ascii="Palatino Linotype" w:eastAsiaTheme="majorEastAsia" w:hAnsi="Palatino Linotype"/>
          <w:bCs/>
          <w:color w:val="000000"/>
          <w:kern w:val="24"/>
        </w:rPr>
        <w:t xml:space="preserve"> </w:t>
      </w:r>
      <w:r w:rsidRPr="000E2D60">
        <w:rPr>
          <w:rStyle w:val="EndnoteReference"/>
          <w:rFonts w:ascii="Palatino Linotype" w:eastAsiaTheme="majorEastAsia" w:hAnsi="Palatino Linotype"/>
          <w:bCs/>
          <w:color w:val="000000"/>
          <w:kern w:val="24"/>
        </w:rPr>
        <w:endnoteReference w:id="4"/>
      </w:r>
      <w:r w:rsidRPr="000E2D60">
        <w:rPr>
          <w:rFonts w:ascii="Palatino Linotype" w:hAnsi="Palatino Linotype" w:cs="Roboto"/>
          <w:bCs/>
          <w:color w:val="000000"/>
          <w:kern w:val="24"/>
        </w:rPr>
        <w:t xml:space="preserve">  Higher hemoglobin A1c levels are significantly associated with an increased risk of AD.</w:t>
      </w:r>
      <w:r w:rsidRPr="000E2D60">
        <w:rPr>
          <w:rStyle w:val="EndnoteReference"/>
          <w:rFonts w:ascii="Palatino Linotype" w:eastAsiaTheme="majorEastAsia" w:hAnsi="Palatino Linotype"/>
          <w:color w:val="000000"/>
          <w:kern w:val="24"/>
        </w:rPr>
        <w:endnoteReference w:id="5"/>
      </w:r>
      <w:r w:rsidRPr="000E2D60">
        <w:rPr>
          <w:rFonts w:ascii="Palatino Linotype" w:hAnsi="Palatino Linotype" w:cs="Roboto"/>
          <w:bCs/>
          <w:color w:val="000000"/>
          <w:kern w:val="24"/>
        </w:rPr>
        <w:t xml:space="preserve">  </w:t>
      </w:r>
      <w:r w:rsidRPr="000E2D60">
        <w:rPr>
          <w:rFonts w:ascii="Palatino Linotype" w:hAnsi="Palatino Linotype"/>
          <w:color w:val="000000"/>
          <w:shd w:val="clear" w:color="auto" w:fill="FFFFFF"/>
        </w:rPr>
        <w:t xml:space="preserve">Insulin resistance promotes the development of cognitive dysfunction by hyperinsulinemia and impaired insulin signaling. </w:t>
      </w:r>
      <w:r w:rsidRPr="000E2D60">
        <w:rPr>
          <w:rFonts w:ascii="Palatino Linotype" w:hAnsi="Palatino Linotype" w:cs="Calibri"/>
          <w:color w:val="000000"/>
          <w:kern w:val="24"/>
        </w:rPr>
        <w:t>Elevated levels of C-peptide are linked with insulin resistance and an increased risk of AD.</w:t>
      </w:r>
      <w:r w:rsidRPr="000E2D60">
        <w:rPr>
          <w:rStyle w:val="EndnoteReference"/>
          <w:rFonts w:ascii="Palatino Linotype" w:eastAsiaTheme="majorEastAsia" w:hAnsi="Palatino Linotype"/>
          <w:color w:val="000000"/>
          <w:kern w:val="24"/>
        </w:rPr>
        <w:endnoteReference w:id="6"/>
      </w:r>
      <w:r w:rsidRPr="000E2D60">
        <w:rPr>
          <w:rFonts w:ascii="Palatino Linotype" w:hAnsi="Palatino Linotype" w:cs="Calibri"/>
          <w:color w:val="000000"/>
          <w:kern w:val="24"/>
        </w:rPr>
        <w:t xml:space="preserve">  </w:t>
      </w:r>
      <w:r w:rsidRPr="007C0B76">
        <w:rPr>
          <w:rFonts w:ascii="Symbol" w:hAnsi="Symbol"/>
          <w:color w:val="000000"/>
        </w:rPr>
        <w:t>b</w:t>
      </w:r>
      <w:r w:rsidRPr="000E2D60">
        <w:rPr>
          <w:rFonts w:ascii="Palatino Linotype" w:hAnsi="Palatino Linotype"/>
          <w:color w:val="000000"/>
        </w:rPr>
        <w:noBreakHyphen/>
        <w:t>Hydroxybuty</w:t>
      </w:r>
      <w:r>
        <w:rPr>
          <w:rFonts w:ascii="Palatino Linotype" w:hAnsi="Palatino Linotype"/>
          <w:color w:val="000000"/>
        </w:rPr>
        <w:t>rate</w:t>
      </w:r>
      <w:r w:rsidRPr="000E2D60">
        <w:rPr>
          <w:rFonts w:ascii="Palatino Linotype" w:hAnsi="Palatino Linotype"/>
          <w:color w:val="000000"/>
        </w:rPr>
        <w:t xml:space="preserve"> (βOHB), the most prevalent type of ketone in the human body, may be involved in the pathogenesis of </w:t>
      </w:r>
      <w:hyperlink r:id="rId6" w:tooltip="Learn more about cognitive disorders from ScienceDirect's AI-generated Topic Pages" w:history="1">
        <w:r w:rsidRPr="000E2D60">
          <w:rPr>
            <w:rStyle w:val="Hyperlink"/>
            <w:rFonts w:ascii="Palatino Linotype" w:eastAsiaTheme="majorEastAsia" w:hAnsi="Palatino Linotype"/>
            <w:color w:val="000000"/>
          </w:rPr>
          <w:t>cognitive disorders</w:t>
        </w:r>
      </w:hyperlink>
      <w:r w:rsidRPr="000E2D60">
        <w:rPr>
          <w:rFonts w:ascii="Palatino Linotype" w:hAnsi="Palatino Linotype"/>
          <w:color w:val="000000"/>
        </w:rPr>
        <w:t>, especially AD, through a variety of protective mechanisms, such as enhancing </w:t>
      </w:r>
      <w:hyperlink r:id="rId7" w:tooltip="Learn more about mitochondrial metabolism from ScienceDirect's AI-generated Topic Pages" w:history="1">
        <w:r w:rsidRPr="000E2D60">
          <w:rPr>
            <w:rStyle w:val="Hyperlink"/>
            <w:rFonts w:ascii="Palatino Linotype" w:eastAsiaTheme="majorEastAsia" w:hAnsi="Palatino Linotype"/>
            <w:color w:val="000000"/>
          </w:rPr>
          <w:t>mitochondrial metabolism</w:t>
        </w:r>
      </w:hyperlink>
      <w:r w:rsidRPr="000E2D60">
        <w:rPr>
          <w:rFonts w:ascii="Palatino Linotype" w:hAnsi="Palatino Linotype"/>
          <w:color w:val="000000"/>
        </w:rPr>
        <w:t>, regulating signaling molecule, increasing </w:t>
      </w:r>
      <w:hyperlink r:id="rId8" w:tooltip="Learn more about histone acetylation from ScienceDirect's AI-generated Topic Pages" w:history="1">
        <w:r w:rsidRPr="000E2D60">
          <w:rPr>
            <w:rStyle w:val="Hyperlink"/>
            <w:rFonts w:ascii="Palatino Linotype" w:eastAsiaTheme="majorEastAsia" w:hAnsi="Palatino Linotype"/>
            <w:color w:val="000000"/>
          </w:rPr>
          <w:t>histone acetylation</w:t>
        </w:r>
      </w:hyperlink>
      <w:r w:rsidRPr="000E2D60">
        <w:rPr>
          <w:rFonts w:ascii="Palatino Linotype" w:hAnsi="Palatino Linotype"/>
          <w:color w:val="000000"/>
        </w:rPr>
        <w:t>, affecting the metabolism of Aβ and</w:t>
      </w:r>
      <w:r>
        <w:rPr>
          <w:rFonts w:ascii="Palatino Linotype" w:hAnsi="Palatino Linotype"/>
          <w:color w:val="000000"/>
        </w:rPr>
        <w:t xml:space="preserve"> tau proteins,</w:t>
      </w:r>
      <w:r w:rsidRPr="000E2D60">
        <w:rPr>
          <w:rFonts w:ascii="Palatino Linotype" w:hAnsi="Palatino Linotype"/>
          <w:color w:val="000000"/>
        </w:rPr>
        <w:t xml:space="preserve"> inhibiting inflammation and lipid metabolism, and regulating </w:t>
      </w:r>
      <w:hyperlink r:id="rId9" w:tooltip="Learn more about intestinal microbes from ScienceDirect's AI-generated Topic Pages" w:history="1">
        <w:r w:rsidRPr="000E2D60">
          <w:rPr>
            <w:rStyle w:val="Hyperlink"/>
            <w:rFonts w:ascii="Palatino Linotype" w:eastAsiaTheme="majorEastAsia" w:hAnsi="Palatino Linotype"/>
            <w:color w:val="000000"/>
          </w:rPr>
          <w:t>intestinal microbes</w:t>
        </w:r>
      </w:hyperlink>
      <w:r w:rsidRPr="000E2D60">
        <w:rPr>
          <w:rFonts w:ascii="Palatino Linotype" w:hAnsi="Palatino Linotype"/>
          <w:color w:val="000000"/>
        </w:rPr>
        <w:t>.</w:t>
      </w:r>
      <w:r w:rsidRPr="000E2D60">
        <w:rPr>
          <w:rStyle w:val="EndnoteReference"/>
          <w:rFonts w:ascii="Palatino Linotype" w:eastAsiaTheme="majorEastAsia" w:hAnsi="Palatino Linotype"/>
          <w:color w:val="000000"/>
        </w:rPr>
        <w:endnoteReference w:id="7"/>
      </w:r>
      <w:r w:rsidRPr="000E2D60">
        <w:rPr>
          <w:rFonts w:ascii="Palatino Linotype" w:hAnsi="Palatino Linotype"/>
          <w:color w:val="000000"/>
        </w:rPr>
        <w:t xml:space="preserve">  </w:t>
      </w:r>
      <w:r w:rsidRPr="000E2D60">
        <w:rPr>
          <w:rStyle w:val="Emphasis"/>
          <w:rFonts w:ascii="Palatino Linotype" w:hAnsi="Palatino Linotype"/>
          <w:color w:val="000000"/>
          <w:shd w:val="clear" w:color="auto" w:fill="FFFFFF"/>
        </w:rPr>
        <w:t>APOE</w:t>
      </w:r>
      <w:r w:rsidRPr="000E2D60">
        <w:rPr>
          <w:rFonts w:ascii="Palatino Linotype" w:hAnsi="Palatino Linotype"/>
          <w:color w:val="000000"/>
          <w:shd w:val="clear" w:color="auto" w:fill="FFFFFF"/>
        </w:rPr>
        <w:t> is a strong risk factor for AD (AD) and is associated with higher low-density lipoprotein cholesterol (LDL-C) levels. LDL-C is also associated with a higher risk of AD independent of </w:t>
      </w:r>
      <w:r w:rsidRPr="000E2D60">
        <w:rPr>
          <w:rStyle w:val="Emphasis"/>
          <w:rFonts w:ascii="Palatino Linotype" w:hAnsi="Palatino Linotype"/>
          <w:color w:val="000000"/>
          <w:shd w:val="clear" w:color="auto" w:fill="FFFFFF"/>
        </w:rPr>
        <w:t>APOE</w:t>
      </w:r>
      <w:r w:rsidRPr="000E2D60">
        <w:rPr>
          <w:rFonts w:ascii="Palatino Linotype" w:hAnsi="Palatino Linotype"/>
          <w:color w:val="000000"/>
          <w:shd w:val="clear" w:color="auto" w:fill="FFFFFF"/>
        </w:rPr>
        <w:t>.</w:t>
      </w:r>
      <w:r w:rsidRPr="000E2D60">
        <w:rPr>
          <w:rStyle w:val="EndnoteReference"/>
          <w:rFonts w:ascii="Palatino Linotype" w:eastAsiaTheme="majorEastAsia" w:hAnsi="Palatino Linotype"/>
          <w:color w:val="000000"/>
          <w:shd w:val="clear" w:color="auto" w:fill="FFFFFF"/>
        </w:rPr>
        <w:endnoteReference w:id="8"/>
      </w:r>
      <w:r w:rsidRPr="000E2D60">
        <w:rPr>
          <w:rFonts w:ascii="Palatino Linotype" w:hAnsi="Palatino Linotype"/>
          <w:color w:val="000000"/>
          <w:shd w:val="clear" w:color="auto" w:fill="FFFFFF"/>
        </w:rPr>
        <w:t xml:space="preserve">  </w:t>
      </w:r>
      <w:r w:rsidRPr="000E2D60">
        <w:rPr>
          <w:rFonts w:ascii="Palatino Linotype" w:hAnsi="Palatino Linotype"/>
          <w:color w:val="000000"/>
        </w:rPr>
        <w:t>Plasma pTau181 is significantly elevated in people with AD compared to control individuals.</w:t>
      </w:r>
      <w:r>
        <w:rPr>
          <w:rStyle w:val="EndnoteReference"/>
          <w:rFonts w:ascii="Palatino Linotype" w:eastAsiaTheme="majorEastAsia" w:hAnsi="Palatino Linotype"/>
          <w:color w:val="000000"/>
        </w:rPr>
        <w:endnoteReference w:id="9"/>
      </w:r>
      <w:r w:rsidRPr="000E2D60">
        <w:rPr>
          <w:rFonts w:ascii="Palatino Linotype" w:hAnsi="Palatino Linotype"/>
          <w:color w:val="000000"/>
        </w:rPr>
        <w:t xml:space="preserve"> Plasma pTau181 was found to be increased in people who convert to AD dementia from MCI, compared with those who converted to dementia due to non</w:t>
      </w:r>
      <w:r w:rsidRPr="000E2D60">
        <w:rPr>
          <w:rFonts w:ascii="Palatino Linotype" w:hAnsi="Palatino Linotype" w:cs="Cambria Math"/>
          <w:color w:val="000000"/>
        </w:rPr>
        <w:t>‐</w:t>
      </w:r>
      <w:r w:rsidRPr="000E2D60">
        <w:rPr>
          <w:rFonts w:ascii="Palatino Linotype" w:hAnsi="Palatino Linotype"/>
          <w:color w:val="000000"/>
        </w:rPr>
        <w:t>AD diseases.  H</w:t>
      </w:r>
      <w:r w:rsidRPr="000E2D60">
        <w:rPr>
          <w:rFonts w:ascii="Palatino Linotype" w:hAnsi="Palatino Linotype" w:cs="Calibri Light"/>
          <w:color w:val="000000"/>
          <w:kern w:val="24"/>
        </w:rPr>
        <w:t xml:space="preserve">igher </w:t>
      </w:r>
      <w:r>
        <w:rPr>
          <w:rFonts w:ascii="Palatino Linotype" w:hAnsi="Palatino Linotype" w:cs="Calibri Light"/>
          <w:color w:val="000000"/>
          <w:kern w:val="24"/>
        </w:rPr>
        <w:t xml:space="preserve">levels of p-Tau 181 indicate an </w:t>
      </w:r>
      <w:r w:rsidRPr="000E2D60">
        <w:rPr>
          <w:rFonts w:ascii="Palatino Linotype" w:hAnsi="Palatino Linotype" w:cs="Calibri Light"/>
          <w:color w:val="000000"/>
          <w:kern w:val="24"/>
        </w:rPr>
        <w:t>increased risk of progression of AD.</w:t>
      </w:r>
      <w:r w:rsidRPr="000E2D60">
        <w:rPr>
          <w:rStyle w:val="EndnoteReference"/>
          <w:rFonts w:ascii="Palatino Linotype" w:eastAsiaTheme="majorEastAsia" w:hAnsi="Palatino Linotype"/>
          <w:color w:val="000000"/>
          <w:kern w:val="24"/>
        </w:rPr>
        <w:endnoteReference w:id="10"/>
      </w:r>
      <w:r w:rsidRPr="000E2D60">
        <w:rPr>
          <w:rFonts w:ascii="Palatino Linotype" w:hAnsi="Palatino Linotype" w:cs="Calibri Light"/>
          <w:color w:val="000000"/>
          <w:kern w:val="24"/>
        </w:rPr>
        <w:t xml:space="preserve">  GFAP increases astrogliosis and neuroinflammation, thereby increasing the risk of </w:t>
      </w:r>
      <w:r w:rsidRPr="000E2D60">
        <w:rPr>
          <w:rFonts w:ascii="Palatino Linotype" w:hAnsi="Palatino Linotype" w:cs="Calibri Light"/>
          <w:color w:val="000000"/>
          <w:kern w:val="24"/>
        </w:rPr>
        <w:lastRenderedPageBreak/>
        <w:t>progression of AD.</w:t>
      </w:r>
      <w:r w:rsidRPr="000E2D60">
        <w:rPr>
          <w:rStyle w:val="EndnoteReference"/>
          <w:rFonts w:ascii="Palatino Linotype" w:eastAsiaTheme="majorEastAsia" w:hAnsi="Palatino Linotype"/>
          <w:color w:val="000000"/>
          <w:kern w:val="24"/>
        </w:rPr>
        <w:endnoteReference w:id="11"/>
      </w:r>
      <w:r w:rsidRPr="000E2D60">
        <w:rPr>
          <w:rFonts w:ascii="Palatino Linotype" w:hAnsi="Palatino Linotype" w:cs="Calibri Light"/>
          <w:color w:val="000000"/>
          <w:kern w:val="24"/>
        </w:rPr>
        <w:t xml:space="preserve">  </w:t>
      </w:r>
      <w:r w:rsidRPr="000E2D60">
        <w:rPr>
          <w:rFonts w:ascii="Palatino Linotype" w:hAnsi="Palatino Linotype" w:cs="Roboto"/>
          <w:bCs/>
          <w:color w:val="000000"/>
          <w:kern w:val="24"/>
        </w:rPr>
        <w:t xml:space="preserve">CRP is a </w:t>
      </w:r>
      <w:r w:rsidRPr="000E2D60">
        <w:rPr>
          <w:rFonts w:ascii="Palatino Linotype" w:hAnsi="Palatino Linotype" w:cs="Calibri Light"/>
          <w:color w:val="000000"/>
          <w:kern w:val="24"/>
        </w:rPr>
        <w:t xml:space="preserve">marker of inflammation (lower </w:t>
      </w:r>
      <w:r>
        <w:rPr>
          <w:rFonts w:ascii="Palatino Linotype" w:hAnsi="Palatino Linotype" w:cs="Calibri Light"/>
          <w:color w:val="000000"/>
          <w:kern w:val="24"/>
        </w:rPr>
        <w:t>indicates</w:t>
      </w:r>
      <w:r w:rsidRPr="000E2D60">
        <w:rPr>
          <w:rFonts w:ascii="Palatino Linotype" w:hAnsi="Palatino Linotype" w:cs="Calibri Light"/>
          <w:color w:val="000000"/>
          <w:kern w:val="24"/>
        </w:rPr>
        <w:t xml:space="preserve"> improve</w:t>
      </w:r>
      <w:r>
        <w:rPr>
          <w:rFonts w:ascii="Palatino Linotype" w:hAnsi="Palatino Linotype" w:cs="Calibri Light"/>
          <w:color w:val="000000"/>
          <w:kern w:val="24"/>
        </w:rPr>
        <w:t>ment</w:t>
      </w:r>
      <w:r w:rsidRPr="000E2D60">
        <w:rPr>
          <w:rFonts w:ascii="Palatino Linotype" w:hAnsi="Palatino Linotype" w:cs="Calibri Light"/>
          <w:color w:val="000000"/>
          <w:kern w:val="24"/>
        </w:rPr>
        <w:t xml:space="preserve">).  </w:t>
      </w:r>
      <w:r w:rsidRPr="000E2D60">
        <w:rPr>
          <w:rFonts w:ascii="Palatino Linotype" w:hAnsi="Palatino Linotype" w:cs="Calibri"/>
          <w:color w:val="000000"/>
          <w:kern w:val="24"/>
        </w:rPr>
        <w:t>Elevation in CRP is associated with an increased risk of AD, especially in ApoE4 carriers.</w:t>
      </w:r>
      <w:r w:rsidRPr="000E2D60">
        <w:rPr>
          <w:rStyle w:val="EndnoteReference"/>
          <w:rFonts w:ascii="Palatino Linotype" w:eastAsiaTheme="majorEastAsia" w:hAnsi="Palatino Linotype"/>
          <w:color w:val="000000"/>
          <w:kern w:val="24"/>
        </w:rPr>
        <w:endnoteReference w:id="12"/>
      </w:r>
      <w:r w:rsidRPr="000E2D60">
        <w:rPr>
          <w:rFonts w:ascii="Palatino Linotype" w:hAnsi="Palatino Linotype" w:cs="Calibri"/>
          <w:color w:val="000000"/>
          <w:kern w:val="24"/>
        </w:rPr>
        <w:t xml:space="preserve"> </w:t>
      </w:r>
      <w:r w:rsidRPr="000E2D60">
        <w:rPr>
          <w:rStyle w:val="EndnoteReference"/>
          <w:rFonts w:ascii="Palatino Linotype" w:eastAsiaTheme="majorEastAsia" w:hAnsi="Palatino Linotype"/>
          <w:color w:val="000000"/>
          <w:kern w:val="24"/>
        </w:rPr>
        <w:endnoteReference w:id="13"/>
      </w:r>
      <w:r w:rsidRPr="000E2D60">
        <w:rPr>
          <w:rFonts w:ascii="Palatino Linotype" w:hAnsi="Palatino Linotype" w:cs="Calibri"/>
          <w:color w:val="000000"/>
          <w:kern w:val="24"/>
        </w:rPr>
        <w:t xml:space="preserve">  </w:t>
      </w:r>
      <w:r w:rsidRPr="000E2D60">
        <w:rPr>
          <w:rFonts w:ascii="Palatino Linotype" w:hAnsi="Palatino Linotype" w:cs="Calibri Light"/>
          <w:color w:val="000000"/>
          <w:kern w:val="24"/>
        </w:rPr>
        <w:t>SAA is associated with the severity of senile early cognitive impairment; a marker for inflammation and astrogliosis; lower = beneficial.</w:t>
      </w:r>
      <w:r w:rsidRPr="000E2D60">
        <w:rPr>
          <w:rStyle w:val="EndnoteReference"/>
          <w:rFonts w:ascii="Palatino Linotype" w:eastAsiaTheme="majorEastAsia" w:hAnsi="Palatino Linotype"/>
          <w:color w:val="000000"/>
          <w:kern w:val="24"/>
        </w:rPr>
        <w:endnoteReference w:id="14"/>
      </w:r>
      <w:r w:rsidRPr="000E2D60">
        <w:rPr>
          <w:rFonts w:ascii="Palatino Linotype" w:hAnsi="Palatino Linotype" w:cs="Calibri Light"/>
          <w:color w:val="000000"/>
          <w:kern w:val="24"/>
        </w:rPr>
        <w:t xml:space="preserve">  </w:t>
      </w:r>
      <w:r w:rsidRPr="000E2D60">
        <w:rPr>
          <w:rStyle w:val="hgkelc"/>
          <w:rFonts w:ascii="Palatino Linotype" w:hAnsi="Palatino Linotype"/>
          <w:color w:val="000000"/>
          <w:lang w:val="en"/>
        </w:rPr>
        <w:t>Glycoprotein acetyls (</w:t>
      </w:r>
      <w:proofErr w:type="spellStart"/>
      <w:r w:rsidRPr="000E2D60">
        <w:rPr>
          <w:rFonts w:ascii="Palatino Linotype" w:hAnsi="Palatino Linotype"/>
          <w:color w:val="000000"/>
          <w:shd w:val="clear" w:color="auto" w:fill="FFFFFF"/>
        </w:rPr>
        <w:t>GlycA</w:t>
      </w:r>
      <w:proofErr w:type="spellEnd"/>
      <w:r w:rsidRPr="000E2D60">
        <w:rPr>
          <w:rFonts w:ascii="Palatino Linotype" w:hAnsi="Palatino Linotype"/>
          <w:color w:val="000000"/>
          <w:shd w:val="clear" w:color="auto" w:fill="FFFFFF"/>
        </w:rPr>
        <w:t>) is </w:t>
      </w:r>
      <w:r w:rsidRPr="000E2D60">
        <w:rPr>
          <w:rFonts w:ascii="Palatino Linotype" w:hAnsi="Palatino Linotype"/>
          <w:color w:val="000000"/>
        </w:rPr>
        <w:t>a composite biomarker that integrates the protein levels and</w:t>
      </w:r>
      <w:r w:rsidRPr="000E2D60">
        <w:rPr>
          <w:rFonts w:ascii="Palatino Linotype" w:hAnsi="Palatino Linotype"/>
          <w:color w:val="000000"/>
          <w:shd w:val="clear" w:color="auto" w:fill="FFFFFF"/>
        </w:rPr>
        <w:t> </w:t>
      </w:r>
      <w:r w:rsidRPr="000E2D60">
        <w:rPr>
          <w:rFonts w:ascii="Palatino Linotype" w:hAnsi="Palatino Linotype"/>
          <w:color w:val="000000"/>
        </w:rPr>
        <w:t>glycosylation states of several of the most abundant acute phase</w:t>
      </w:r>
      <w:r w:rsidRPr="000E2D60">
        <w:rPr>
          <w:rFonts w:ascii="Palatino Linotype" w:hAnsi="Palatino Linotype"/>
          <w:color w:val="000000"/>
          <w:shd w:val="clear" w:color="auto" w:fill="FFFFFF"/>
        </w:rPr>
        <w:t> </w:t>
      </w:r>
      <w:r w:rsidRPr="000E2D60">
        <w:rPr>
          <w:rFonts w:ascii="Palatino Linotype" w:hAnsi="Palatino Linotype"/>
          <w:color w:val="000000"/>
        </w:rPr>
        <w:t>proteins in serum</w:t>
      </w:r>
      <w:r w:rsidRPr="000E2D60">
        <w:rPr>
          <w:rFonts w:ascii="Palatino Linotype" w:hAnsi="Palatino Linotype"/>
          <w:color w:val="000000"/>
          <w:shd w:val="clear" w:color="auto" w:fill="FFFFFF"/>
        </w:rPr>
        <w:t xml:space="preserve">. As such, this may allow for a more stable measure of inflammation with low intra-individual variability and </w:t>
      </w:r>
      <w:r w:rsidRPr="000E2D60">
        <w:rPr>
          <w:rStyle w:val="hgkelc"/>
          <w:rFonts w:ascii="Palatino Linotype" w:hAnsi="Palatino Linotype"/>
          <w:color w:val="000000"/>
          <w:lang w:val="en"/>
        </w:rPr>
        <w:t>may provide a more sensitive measure than CRP.</w:t>
      </w:r>
      <w:r w:rsidRPr="000E2D60">
        <w:rPr>
          <w:rStyle w:val="EndnoteReference"/>
          <w:rFonts w:ascii="Palatino Linotype" w:eastAsiaTheme="majorEastAsia" w:hAnsi="Palatino Linotype"/>
          <w:color w:val="000000"/>
          <w:lang w:val="en"/>
        </w:rPr>
        <w:endnoteReference w:id="15"/>
      </w:r>
      <w:r w:rsidRPr="000E2D60">
        <w:rPr>
          <w:rStyle w:val="hgkelc"/>
          <w:rFonts w:ascii="Palatino Linotype" w:hAnsi="Palatino Linotype"/>
          <w:color w:val="000000"/>
          <w:lang w:val="en"/>
        </w:rPr>
        <w:t xml:space="preserve">  </w:t>
      </w:r>
      <w:r w:rsidRPr="000E2D60">
        <w:rPr>
          <w:rFonts w:ascii="Palatino Linotype" w:hAnsi="Palatino Linotype" w:cs="Calibri Light"/>
          <w:color w:val="000000"/>
          <w:kern w:val="24"/>
        </w:rPr>
        <w:t>Shorter telomeres are associated with an increased risk of AD.</w:t>
      </w:r>
      <w:r w:rsidRPr="000E2D60">
        <w:rPr>
          <w:rStyle w:val="EndnoteReference"/>
          <w:rFonts w:ascii="Palatino Linotype" w:eastAsiaTheme="majorEastAsia" w:hAnsi="Palatino Linotype"/>
          <w:color w:val="000000"/>
          <w:kern w:val="24"/>
        </w:rPr>
        <w:endnoteReference w:id="16"/>
      </w:r>
      <w:r w:rsidRPr="000E2D60">
        <w:rPr>
          <w:rFonts w:ascii="Palatino Linotype" w:hAnsi="Palatino Linotype" w:cs="Calibri Light"/>
          <w:color w:val="000000"/>
          <w:kern w:val="24"/>
        </w:rPr>
        <w:t xml:space="preserve">  </w:t>
      </w:r>
    </w:p>
    <w:p w14:paraId="305715E8" w14:textId="77777777" w:rsidR="00920888" w:rsidRPr="000E2D60" w:rsidRDefault="00920888" w:rsidP="00920888">
      <w:pPr>
        <w:autoSpaceDE w:val="0"/>
        <w:autoSpaceDN w:val="0"/>
        <w:adjustRightInd w:val="0"/>
        <w:rPr>
          <w:rFonts w:ascii="Palatino Linotype" w:hAnsi="Palatino Linotype" w:cs="Calibri Light"/>
          <w:color w:val="000000"/>
          <w:kern w:val="24"/>
        </w:rPr>
      </w:pPr>
    </w:p>
    <w:p w14:paraId="17F02CEA" w14:textId="77777777" w:rsidR="00920888" w:rsidRPr="000E2D60" w:rsidRDefault="00920888" w:rsidP="00920888">
      <w:pPr>
        <w:rPr>
          <w:rFonts w:ascii="Palatino Linotype" w:hAnsi="Palatino Linotype"/>
          <w:color w:val="000000"/>
        </w:rPr>
      </w:pPr>
      <w:r w:rsidRPr="000E2D60">
        <w:rPr>
          <w:rFonts w:ascii="Palatino Linotype" w:hAnsi="Palatino Linotype"/>
          <w:color w:val="000000"/>
        </w:rPr>
        <w:t>Blood samples were drawn after an overnight fast, plasma was prepared at each site following standardized protocols, frozen and stored at -80 degrees C, to allow</w:t>
      </w:r>
      <w:r w:rsidRPr="001B7898">
        <w:rPr>
          <w:rFonts w:ascii="Palatino Linotype" w:hAnsi="Palatino Linotype"/>
          <w:color w:val="000000"/>
        </w:rPr>
        <w:t xml:space="preserve"> measurement of biomarkers.</w:t>
      </w:r>
      <w:r>
        <w:rPr>
          <w:rStyle w:val="EndnoteReference"/>
          <w:rFonts w:ascii="Palatino Linotype" w:eastAsiaTheme="majorEastAsia" w:hAnsi="Palatino Linotype"/>
          <w:color w:val="000000"/>
        </w:rPr>
        <w:endnoteReference w:id="17"/>
      </w:r>
      <w:r w:rsidRPr="001B7898">
        <w:rPr>
          <w:rFonts w:ascii="Palatino Linotype" w:hAnsi="Palatino Linotype"/>
          <w:color w:val="000000"/>
        </w:rPr>
        <w:t xml:space="preserve">  </w:t>
      </w:r>
      <w:bookmarkStart w:id="4" w:name="microbiome"/>
      <w:bookmarkEnd w:id="4"/>
      <w:r w:rsidRPr="001B7898">
        <w:rPr>
          <w:rFonts w:ascii="Palatino Linotype" w:hAnsi="Palatino Linotype"/>
        </w:rPr>
        <w:t>Whole blood collected in EDTA tubes was used for telomere length.</w:t>
      </w:r>
      <w:r>
        <w:rPr>
          <w:rStyle w:val="EndnoteReference"/>
          <w:rFonts w:ascii="Palatino Linotype" w:eastAsiaTheme="majorEastAsia" w:hAnsi="Palatino Linotype"/>
        </w:rPr>
        <w:endnoteReference w:id="18"/>
      </w:r>
      <w:r>
        <w:rPr>
          <w:rFonts w:ascii="Palatino Linotype" w:hAnsi="Palatino Linotype"/>
        </w:rPr>
        <w:t xml:space="preserve"> </w:t>
      </w:r>
      <w:r>
        <w:rPr>
          <w:rStyle w:val="EndnoteReference"/>
          <w:rFonts w:ascii="Palatino Linotype" w:eastAsiaTheme="majorEastAsia" w:hAnsi="Palatino Linotype"/>
        </w:rPr>
        <w:endnoteReference w:id="19"/>
      </w:r>
      <w:r>
        <w:rPr>
          <w:rFonts w:ascii="Palatino Linotype" w:hAnsi="Palatino Linotype"/>
        </w:rPr>
        <w:t xml:space="preserve"> </w:t>
      </w:r>
      <w:r w:rsidRPr="001B7898">
        <w:rPr>
          <w:rFonts w:ascii="Palatino Linotype" w:hAnsi="Palatino Linotype"/>
          <w:color w:val="000000"/>
        </w:rPr>
        <w:t xml:space="preserve">One patient in the randomized control group did not provide sufficient blood to </w:t>
      </w:r>
      <w:r w:rsidRPr="000E2D60">
        <w:rPr>
          <w:rFonts w:ascii="Palatino Linotype" w:hAnsi="Palatino Linotype"/>
          <w:color w:val="000000"/>
        </w:rPr>
        <w:t>analyze and was unwilling to be redrawn.</w:t>
      </w:r>
    </w:p>
    <w:p w14:paraId="73F7D95B" w14:textId="77777777" w:rsidR="00920888" w:rsidRDefault="00920888" w:rsidP="00920888">
      <w:pPr>
        <w:ind w:right="-360"/>
        <w:rPr>
          <w:rFonts w:ascii="Palatino Linotype" w:hAnsi="Palatino Linotype"/>
          <w:u w:val="single"/>
        </w:rPr>
      </w:pPr>
    </w:p>
    <w:p w14:paraId="065A7BC9" w14:textId="77777777" w:rsidR="00920888" w:rsidRPr="008D3AD3" w:rsidRDefault="00920888" w:rsidP="00920888">
      <w:pPr>
        <w:ind w:right="-360"/>
        <w:rPr>
          <w:rFonts w:ascii="Palatino Linotype" w:hAnsi="Palatino Linotype"/>
          <w:u w:val="single"/>
        </w:rPr>
      </w:pPr>
      <w:r w:rsidRPr="008D3AD3">
        <w:rPr>
          <w:rFonts w:ascii="Palatino Linotype" w:hAnsi="Palatino Linotype"/>
          <w:u w:val="single"/>
        </w:rPr>
        <w:t xml:space="preserve">Microbiome </w:t>
      </w:r>
      <w:r>
        <w:rPr>
          <w:rFonts w:ascii="Palatino Linotype" w:hAnsi="Palatino Linotype"/>
          <w:u w:val="single"/>
        </w:rPr>
        <w:t>Taxa (Organisms)</w:t>
      </w:r>
      <w:r w:rsidRPr="008D3AD3">
        <w:rPr>
          <w:rFonts w:ascii="Palatino Linotype" w:hAnsi="Palatino Linotype"/>
          <w:u w:val="single"/>
        </w:rPr>
        <w:t>:</w:t>
      </w:r>
    </w:p>
    <w:p w14:paraId="584B8DEF" w14:textId="77777777" w:rsidR="00920888" w:rsidRPr="008D3AD3" w:rsidRDefault="00920888" w:rsidP="00920888">
      <w:pPr>
        <w:ind w:right="-360"/>
        <w:rPr>
          <w:rFonts w:ascii="Palatino Linotype" w:hAnsi="Palatino Linotype"/>
        </w:rPr>
      </w:pPr>
    </w:p>
    <w:p w14:paraId="6590E157" w14:textId="77777777" w:rsidR="00920888" w:rsidRPr="00C518D0" w:rsidRDefault="00920888" w:rsidP="00920888">
      <w:pPr>
        <w:rPr>
          <w:rFonts w:ascii="Palatino Linotype" w:hAnsi="Palatino Linotype"/>
        </w:rPr>
      </w:pPr>
      <w:r w:rsidRPr="00C518D0">
        <w:rPr>
          <w:rFonts w:ascii="Palatino Linotype" w:hAnsi="Palatino Linotype"/>
        </w:rPr>
        <w:t>Subject gut microbiome specimens were collected under the American Gut Project.</w:t>
      </w:r>
      <w:r w:rsidRPr="00C518D0">
        <w:rPr>
          <w:rStyle w:val="EndnoteReference"/>
          <w:rFonts w:ascii="Palatino Linotype" w:eastAsiaTheme="majorEastAsia" w:hAnsi="Palatino Linotype"/>
        </w:rPr>
        <w:endnoteReference w:id="20"/>
      </w:r>
      <w:r w:rsidRPr="00C518D0">
        <w:rPr>
          <w:rFonts w:ascii="Palatino Linotype" w:hAnsi="Palatino Linotype"/>
          <w:color w:val="000000"/>
        </w:rPr>
        <w:t xml:space="preserve">  </w:t>
      </w:r>
      <w:r w:rsidRPr="00C518D0">
        <w:rPr>
          <w:rFonts w:ascii="Palatino Linotype" w:hAnsi="Palatino Linotype"/>
        </w:rPr>
        <w:t xml:space="preserve">Subjects were instructed to use a sterile </w:t>
      </w:r>
      <w:proofErr w:type="spellStart"/>
      <w:r w:rsidRPr="00C518D0">
        <w:rPr>
          <w:rFonts w:ascii="Palatino Linotype" w:hAnsi="Palatino Linotype"/>
        </w:rPr>
        <w:t>Swube</w:t>
      </w:r>
      <w:proofErr w:type="spellEnd"/>
      <w:r w:rsidRPr="00C518D0">
        <w:rPr>
          <w:rFonts w:ascii="Palatino Linotype" w:hAnsi="Palatino Linotype"/>
        </w:rPr>
        <w:t xml:space="preserve"> to collect fecal material from used toilet paper, and to smear the material on a sterile FOBT card to fix nucleic acid. </w:t>
      </w:r>
      <w:r>
        <w:rPr>
          <w:rFonts w:ascii="Palatino Linotype" w:hAnsi="Palatino Linotype"/>
        </w:rPr>
        <w:t xml:space="preserve"> </w:t>
      </w:r>
      <w:r w:rsidRPr="00C518D0">
        <w:rPr>
          <w:rFonts w:ascii="Palatino Linotype" w:hAnsi="Palatino Linotype"/>
        </w:rPr>
        <w:t>Samples were extracted in triplicate, and the 16S V4 rRNA region was sequenced following the Earth Microbiome Project protocol</w:t>
      </w:r>
      <w:r>
        <w:rPr>
          <w:rStyle w:val="EndnoteReference"/>
          <w:rFonts w:ascii="Palatino Linotype" w:eastAsiaTheme="majorEastAsia" w:hAnsi="Palatino Linotype"/>
        </w:rPr>
        <w:endnoteReference w:id="21"/>
      </w:r>
      <w:r w:rsidRPr="00C518D0">
        <w:rPr>
          <w:rFonts w:ascii="Palatino Linotype" w:hAnsi="Palatino Linotype"/>
        </w:rPr>
        <w:t xml:space="preserve"> on the Illumina </w:t>
      </w:r>
      <w:proofErr w:type="spellStart"/>
      <w:r w:rsidRPr="00C518D0">
        <w:rPr>
          <w:rFonts w:ascii="Palatino Linotype" w:hAnsi="Palatino Linotype"/>
        </w:rPr>
        <w:t>MiSeq</w:t>
      </w:r>
      <w:proofErr w:type="spellEnd"/>
      <w:r w:rsidRPr="00C518D0">
        <w:rPr>
          <w:rFonts w:ascii="Palatino Linotype" w:hAnsi="Palatino Linotype"/>
        </w:rPr>
        <w:t xml:space="preserve"> </w:t>
      </w:r>
      <w:proofErr w:type="gramStart"/>
      <w:r w:rsidRPr="00C518D0">
        <w:rPr>
          <w:rFonts w:ascii="Palatino Linotype" w:hAnsi="Palatino Linotype"/>
        </w:rPr>
        <w:t>platform, and</w:t>
      </w:r>
      <w:proofErr w:type="gramEnd"/>
      <w:r w:rsidRPr="00C518D0">
        <w:rPr>
          <w:rFonts w:ascii="Palatino Linotype" w:hAnsi="Palatino Linotype"/>
        </w:rPr>
        <w:t xml:space="preserve"> deposited in </w:t>
      </w:r>
      <w:proofErr w:type="spellStart"/>
      <w:r w:rsidRPr="00C518D0">
        <w:rPr>
          <w:rFonts w:ascii="Palatino Linotype" w:hAnsi="Palatino Linotype"/>
        </w:rPr>
        <w:t>Qiita</w:t>
      </w:r>
      <w:proofErr w:type="spellEnd"/>
      <w:r w:rsidRPr="00C518D0">
        <w:rPr>
          <w:rFonts w:ascii="Palatino Linotype" w:hAnsi="Palatino Linotype"/>
        </w:rPr>
        <w:t xml:space="preserve"> under study 10317. Replicates were sequenced and processed with Deblur</w:t>
      </w:r>
      <w:r>
        <w:rPr>
          <w:rStyle w:val="EndnoteReference"/>
          <w:rFonts w:ascii="Palatino Linotype" w:eastAsiaTheme="majorEastAsia" w:hAnsi="Palatino Linotype"/>
        </w:rPr>
        <w:endnoteReference w:id="22"/>
      </w:r>
      <w:r>
        <w:rPr>
          <w:rFonts w:ascii="Palatino Linotype" w:hAnsi="Palatino Linotype"/>
        </w:rPr>
        <w:t xml:space="preserve"> </w:t>
      </w:r>
      <w:r w:rsidRPr="00C518D0">
        <w:rPr>
          <w:rFonts w:ascii="Palatino Linotype" w:hAnsi="Palatino Linotype"/>
        </w:rPr>
        <w:t xml:space="preserve"> separately, then merged. Amplicon Sequence Variants were filtered against Greengenes2 2022.10.</w:t>
      </w:r>
      <w:r>
        <w:rPr>
          <w:rStyle w:val="EndnoteReference"/>
          <w:rFonts w:ascii="Palatino Linotype" w:eastAsiaTheme="majorEastAsia" w:hAnsi="Palatino Linotype"/>
        </w:rPr>
        <w:endnoteReference w:id="23"/>
      </w:r>
      <w:r w:rsidRPr="00C518D0">
        <w:rPr>
          <w:rFonts w:ascii="Palatino Linotype" w:hAnsi="Palatino Linotype"/>
        </w:rPr>
        <w:t xml:space="preserve"> A rarefaction level of 1187 was selected which preserved all merged subject samples. Unweighted </w:t>
      </w:r>
      <w:proofErr w:type="spellStart"/>
      <w:r w:rsidRPr="00C518D0">
        <w:rPr>
          <w:rFonts w:ascii="Palatino Linotype" w:hAnsi="Palatino Linotype"/>
        </w:rPr>
        <w:t>UniFrac</w:t>
      </w:r>
      <w:proofErr w:type="spellEnd"/>
      <w:r w:rsidRPr="00C518D0">
        <w:rPr>
          <w:rFonts w:ascii="Palatino Linotype" w:hAnsi="Palatino Linotype"/>
        </w:rPr>
        <w:t xml:space="preserve"> was computed.</w:t>
      </w:r>
      <w:r>
        <w:rPr>
          <w:rStyle w:val="EndnoteReference"/>
          <w:rFonts w:ascii="Palatino Linotype" w:eastAsiaTheme="majorEastAsia" w:hAnsi="Palatino Linotype"/>
        </w:rPr>
        <w:endnoteReference w:id="24"/>
      </w:r>
      <w:r w:rsidRPr="00C518D0">
        <w:rPr>
          <w:rFonts w:ascii="Palatino Linotype" w:hAnsi="Palatino Linotype"/>
        </w:rPr>
        <w:t xml:space="preserve"> Procrustes analysis was performed using q2-diversity 2023.9.</w:t>
      </w:r>
      <w:r>
        <w:rPr>
          <w:rStyle w:val="EndnoteReference"/>
          <w:rFonts w:ascii="Palatino Linotype" w:eastAsiaTheme="majorEastAsia" w:hAnsi="Palatino Linotype"/>
        </w:rPr>
        <w:endnoteReference w:id="25"/>
      </w:r>
      <w:r w:rsidRPr="00C518D0">
        <w:rPr>
          <w:rFonts w:ascii="Palatino Linotype" w:hAnsi="Palatino Linotype"/>
        </w:rPr>
        <w:t xml:space="preserve"> </w:t>
      </w:r>
      <w:r>
        <w:rPr>
          <w:rFonts w:ascii="Palatino Linotype" w:hAnsi="Palatino Linotype"/>
        </w:rPr>
        <w:t xml:space="preserve"> </w:t>
      </w:r>
      <w:r w:rsidRPr="00C518D0">
        <w:rPr>
          <w:rFonts w:ascii="Palatino Linotype" w:hAnsi="Palatino Linotype"/>
        </w:rPr>
        <w:t>Convex hulls were computed using q2-convexhull (</w:t>
      </w:r>
      <w:proofErr w:type="spellStart"/>
      <w:r w:rsidRPr="00C518D0">
        <w:rPr>
          <w:rFonts w:ascii="Palatino Linotype" w:hAnsi="Palatino Linotype"/>
        </w:rPr>
        <w:t>unversioned</w:t>
      </w:r>
      <w:proofErr w:type="spellEnd"/>
      <w:r w:rsidRPr="00C518D0">
        <w:rPr>
          <w:rFonts w:ascii="Palatino Linotype" w:hAnsi="Palatino Linotype"/>
        </w:rPr>
        <w:t>). Mantel tests computed with scikit-bio version 0.5.9, unless otherwise mentioned</w:t>
      </w:r>
      <w:r>
        <w:rPr>
          <w:rFonts w:ascii="Palatino Linotype" w:hAnsi="Palatino Linotype"/>
        </w:rPr>
        <w:t>.</w:t>
      </w:r>
      <w:r w:rsidRPr="00C518D0">
        <w:rPr>
          <w:rFonts w:ascii="Palatino Linotype" w:hAnsi="Palatino Linotype"/>
        </w:rPr>
        <w:t xml:space="preserve"> </w:t>
      </w:r>
    </w:p>
    <w:p w14:paraId="0221A671" w14:textId="77777777" w:rsidR="00920888" w:rsidRDefault="00920888" w:rsidP="00920888">
      <w:pPr>
        <w:textAlignment w:val="baseline"/>
        <w:rPr>
          <w:rFonts w:ascii="Palatino Linotype" w:hAnsi="Palatino Linotype" w:cs="Segoe UI"/>
          <w:b/>
          <w:bCs/>
          <w:u w:val="single"/>
        </w:rPr>
      </w:pPr>
    </w:p>
    <w:p w14:paraId="5FFAFCBD" w14:textId="77777777" w:rsidR="00920888" w:rsidRPr="005C1D56" w:rsidRDefault="00920888" w:rsidP="00920888">
      <w:pPr>
        <w:textAlignment w:val="baseline"/>
        <w:rPr>
          <w:rFonts w:ascii="Palatino Linotype" w:hAnsi="Palatino Linotype" w:cs="Segoe UI"/>
          <w:b/>
          <w:bCs/>
        </w:rPr>
      </w:pPr>
      <w:r>
        <w:rPr>
          <w:rFonts w:ascii="Palatino Linotype" w:hAnsi="Palatino Linotype" w:cs="Segoe UI"/>
          <w:b/>
          <w:bCs/>
          <w:u w:val="single"/>
        </w:rPr>
        <w:t>Patient Recruitment</w:t>
      </w:r>
    </w:p>
    <w:p w14:paraId="3ABEC7A3" w14:textId="77777777" w:rsidR="00920888" w:rsidRPr="0092732B" w:rsidRDefault="00920888" w:rsidP="00920888">
      <w:pPr>
        <w:rPr>
          <w:rFonts w:ascii="Palatino Linotype" w:hAnsi="Palatino Linotype"/>
        </w:rPr>
      </w:pPr>
    </w:p>
    <w:tbl>
      <w:tblPr>
        <w:tblW w:w="58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945"/>
      </w:tblGrid>
      <w:tr w:rsidR="00920888" w:rsidRPr="0092732B" w14:paraId="66331B7E" w14:textId="77777777" w:rsidTr="00BA6D52">
        <w:trPr>
          <w:trHeight w:val="315"/>
        </w:trPr>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43FD950D"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Total Potential Subjects Screened </w:t>
            </w:r>
            <w:r w:rsidRPr="0092732B">
              <w:rPr>
                <w:rFonts w:ascii="Palatino Linotype" w:hAnsi="Palatino Linotype" w:cs="Calibri"/>
                <w:color w:val="000000"/>
              </w:rPr>
              <w:t> </w:t>
            </w:r>
          </w:p>
        </w:tc>
        <w:tc>
          <w:tcPr>
            <w:tcW w:w="945" w:type="dxa"/>
            <w:tcBorders>
              <w:top w:val="single" w:sz="6" w:space="0" w:color="auto"/>
              <w:left w:val="nil"/>
              <w:bottom w:val="single" w:sz="6" w:space="0" w:color="auto"/>
              <w:right w:val="single" w:sz="6" w:space="0" w:color="auto"/>
            </w:tcBorders>
            <w:shd w:val="clear" w:color="auto" w:fill="auto"/>
            <w:vAlign w:val="bottom"/>
            <w:hideMark/>
          </w:tcPr>
          <w:p w14:paraId="724BEF95"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1585</w:t>
            </w:r>
            <w:r w:rsidRPr="0092732B">
              <w:rPr>
                <w:rFonts w:ascii="Palatino Linotype" w:hAnsi="Palatino Linotype" w:cs="Calibri"/>
                <w:color w:val="000000"/>
              </w:rPr>
              <w:t> </w:t>
            </w:r>
          </w:p>
        </w:tc>
      </w:tr>
      <w:tr w:rsidR="00920888" w:rsidRPr="0092732B" w14:paraId="1823521E" w14:textId="77777777" w:rsidTr="00BA6D52">
        <w:trPr>
          <w:trHeight w:val="315"/>
        </w:trPr>
        <w:tc>
          <w:tcPr>
            <w:tcW w:w="4905" w:type="dxa"/>
            <w:tcBorders>
              <w:top w:val="nil"/>
              <w:left w:val="single" w:sz="6" w:space="0" w:color="auto"/>
              <w:bottom w:val="single" w:sz="6" w:space="0" w:color="auto"/>
              <w:right w:val="single" w:sz="6" w:space="0" w:color="auto"/>
            </w:tcBorders>
            <w:shd w:val="clear" w:color="auto" w:fill="auto"/>
            <w:hideMark/>
          </w:tcPr>
          <w:p w14:paraId="51B28E0F"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Enrolled</w:t>
            </w:r>
            <w:r w:rsidRPr="0092732B">
              <w:rPr>
                <w:rFonts w:ascii="Palatino Linotype" w:hAnsi="Palatino Linotype" w:cs="Calibri"/>
                <w:color w:val="000000"/>
              </w:rPr>
              <w:t> </w:t>
            </w:r>
          </w:p>
        </w:tc>
        <w:tc>
          <w:tcPr>
            <w:tcW w:w="945" w:type="dxa"/>
            <w:tcBorders>
              <w:top w:val="nil"/>
              <w:left w:val="nil"/>
              <w:bottom w:val="single" w:sz="6" w:space="0" w:color="auto"/>
              <w:right w:val="single" w:sz="6" w:space="0" w:color="auto"/>
            </w:tcBorders>
            <w:shd w:val="clear" w:color="auto" w:fill="auto"/>
            <w:vAlign w:val="bottom"/>
            <w:hideMark/>
          </w:tcPr>
          <w:p w14:paraId="4A00B4C2"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51</w:t>
            </w:r>
            <w:r w:rsidRPr="0092732B">
              <w:rPr>
                <w:rFonts w:ascii="Palatino Linotype" w:hAnsi="Palatino Linotype" w:cs="Calibri"/>
                <w:color w:val="000000"/>
              </w:rPr>
              <w:t> </w:t>
            </w:r>
          </w:p>
        </w:tc>
      </w:tr>
      <w:tr w:rsidR="00920888" w:rsidRPr="0092732B" w14:paraId="33879A0D" w14:textId="77777777" w:rsidTr="00BA6D52">
        <w:trPr>
          <w:trHeight w:val="315"/>
        </w:trPr>
        <w:tc>
          <w:tcPr>
            <w:tcW w:w="4905" w:type="dxa"/>
            <w:tcBorders>
              <w:top w:val="nil"/>
              <w:left w:val="single" w:sz="6" w:space="0" w:color="auto"/>
              <w:bottom w:val="single" w:sz="6" w:space="0" w:color="auto"/>
              <w:right w:val="single" w:sz="6" w:space="0" w:color="auto"/>
            </w:tcBorders>
            <w:shd w:val="clear" w:color="auto" w:fill="auto"/>
            <w:hideMark/>
          </w:tcPr>
          <w:p w14:paraId="1E1201FF"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Declined</w:t>
            </w:r>
            <w:r w:rsidRPr="0092732B">
              <w:rPr>
                <w:rFonts w:ascii="Palatino Linotype" w:hAnsi="Palatino Linotype" w:cs="Calibri"/>
                <w:color w:val="000000"/>
              </w:rPr>
              <w:t> </w:t>
            </w:r>
          </w:p>
        </w:tc>
        <w:tc>
          <w:tcPr>
            <w:tcW w:w="945" w:type="dxa"/>
            <w:tcBorders>
              <w:top w:val="nil"/>
              <w:left w:val="nil"/>
              <w:bottom w:val="single" w:sz="6" w:space="0" w:color="auto"/>
              <w:right w:val="single" w:sz="6" w:space="0" w:color="auto"/>
            </w:tcBorders>
            <w:shd w:val="clear" w:color="auto" w:fill="auto"/>
            <w:vAlign w:val="bottom"/>
            <w:hideMark/>
          </w:tcPr>
          <w:p w14:paraId="33E356D9"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102</w:t>
            </w:r>
            <w:r w:rsidRPr="0092732B">
              <w:rPr>
                <w:rFonts w:ascii="Palatino Linotype" w:hAnsi="Palatino Linotype" w:cs="Calibri"/>
                <w:color w:val="000000"/>
              </w:rPr>
              <w:t> </w:t>
            </w:r>
          </w:p>
        </w:tc>
      </w:tr>
      <w:tr w:rsidR="00920888" w:rsidRPr="0092732B" w14:paraId="088EB3DE" w14:textId="77777777" w:rsidTr="00BA6D52">
        <w:trPr>
          <w:trHeight w:val="315"/>
        </w:trPr>
        <w:tc>
          <w:tcPr>
            <w:tcW w:w="4905" w:type="dxa"/>
            <w:tcBorders>
              <w:top w:val="nil"/>
              <w:left w:val="single" w:sz="6" w:space="0" w:color="auto"/>
              <w:bottom w:val="single" w:sz="6" w:space="0" w:color="auto"/>
              <w:right w:val="single" w:sz="6" w:space="0" w:color="auto"/>
            </w:tcBorders>
            <w:shd w:val="clear" w:color="auto" w:fill="auto"/>
            <w:hideMark/>
          </w:tcPr>
          <w:p w14:paraId="742DA8AE"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Ineligible</w:t>
            </w:r>
            <w:r w:rsidRPr="0092732B">
              <w:rPr>
                <w:rFonts w:ascii="Palatino Linotype" w:hAnsi="Palatino Linotype" w:cs="Calibri"/>
                <w:color w:val="000000"/>
              </w:rPr>
              <w:t> </w:t>
            </w:r>
          </w:p>
        </w:tc>
        <w:tc>
          <w:tcPr>
            <w:tcW w:w="945" w:type="dxa"/>
            <w:tcBorders>
              <w:top w:val="nil"/>
              <w:left w:val="nil"/>
              <w:bottom w:val="single" w:sz="6" w:space="0" w:color="auto"/>
              <w:right w:val="single" w:sz="6" w:space="0" w:color="auto"/>
            </w:tcBorders>
            <w:shd w:val="clear" w:color="auto" w:fill="auto"/>
            <w:vAlign w:val="bottom"/>
            <w:hideMark/>
          </w:tcPr>
          <w:p w14:paraId="16AD11C0"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1300</w:t>
            </w:r>
            <w:r w:rsidRPr="0092732B">
              <w:rPr>
                <w:rFonts w:ascii="Palatino Linotype" w:hAnsi="Palatino Linotype" w:cs="Calibri"/>
                <w:color w:val="000000"/>
              </w:rPr>
              <w:t> </w:t>
            </w:r>
          </w:p>
        </w:tc>
      </w:tr>
      <w:tr w:rsidR="00920888" w:rsidRPr="0092732B" w14:paraId="04E2CFA4" w14:textId="77777777" w:rsidTr="00BA6D52">
        <w:trPr>
          <w:trHeight w:val="315"/>
        </w:trPr>
        <w:tc>
          <w:tcPr>
            <w:tcW w:w="4905" w:type="dxa"/>
            <w:tcBorders>
              <w:top w:val="nil"/>
              <w:left w:val="single" w:sz="6" w:space="0" w:color="auto"/>
              <w:bottom w:val="single" w:sz="6" w:space="0" w:color="auto"/>
              <w:right w:val="single" w:sz="6" w:space="0" w:color="auto"/>
            </w:tcBorders>
            <w:shd w:val="clear" w:color="auto" w:fill="auto"/>
            <w:hideMark/>
          </w:tcPr>
          <w:p w14:paraId="6596F934"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Incomplete screening when enrollment closed</w:t>
            </w:r>
            <w:r w:rsidRPr="0092732B">
              <w:rPr>
                <w:rFonts w:ascii="Palatino Linotype" w:hAnsi="Palatino Linotype" w:cs="Calibri"/>
                <w:color w:val="000000"/>
              </w:rPr>
              <w:t> </w:t>
            </w:r>
          </w:p>
        </w:tc>
        <w:tc>
          <w:tcPr>
            <w:tcW w:w="945" w:type="dxa"/>
            <w:tcBorders>
              <w:top w:val="nil"/>
              <w:left w:val="nil"/>
              <w:bottom w:val="single" w:sz="6" w:space="0" w:color="auto"/>
              <w:right w:val="single" w:sz="6" w:space="0" w:color="auto"/>
            </w:tcBorders>
            <w:shd w:val="clear" w:color="auto" w:fill="auto"/>
            <w:vAlign w:val="bottom"/>
            <w:hideMark/>
          </w:tcPr>
          <w:p w14:paraId="6BE32A83"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132</w:t>
            </w:r>
            <w:r w:rsidRPr="0092732B">
              <w:rPr>
                <w:rFonts w:ascii="Palatino Linotype" w:hAnsi="Palatino Linotype" w:cs="Calibri"/>
                <w:color w:val="000000"/>
              </w:rPr>
              <w:t> </w:t>
            </w:r>
          </w:p>
        </w:tc>
      </w:tr>
    </w:tbl>
    <w:p w14:paraId="0C447736" w14:textId="77777777" w:rsidR="00920888" w:rsidRPr="0092732B" w:rsidRDefault="00920888" w:rsidP="00920888">
      <w:pPr>
        <w:textAlignment w:val="baseline"/>
        <w:rPr>
          <w:rFonts w:ascii="Palatino Linotype" w:hAnsi="Palatino Linotype" w:cs="Segoe UI"/>
        </w:rPr>
      </w:pPr>
      <w:r w:rsidRPr="0092732B">
        <w:rPr>
          <w:rFonts w:ascii="Palatino Linotype" w:hAnsi="Palatino Linotype" w:cs="Calibri"/>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15"/>
        <w:gridCol w:w="975"/>
      </w:tblGrid>
      <w:tr w:rsidR="00920888" w:rsidRPr="0092732B" w14:paraId="5714A62B" w14:textId="77777777" w:rsidTr="00BA6D52">
        <w:trPr>
          <w:trHeight w:val="315"/>
        </w:trPr>
        <w:tc>
          <w:tcPr>
            <w:tcW w:w="42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9E01AC"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Recruitment Source for Enrolled</w:t>
            </w:r>
            <w:r w:rsidRPr="0092732B">
              <w:rPr>
                <w:rFonts w:ascii="Palatino Linotype" w:hAnsi="Palatino Linotype" w:cs="Calibri"/>
                <w:color w:val="000000"/>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7DB30004"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51</w:t>
            </w:r>
            <w:r w:rsidRPr="0092732B">
              <w:rPr>
                <w:rFonts w:ascii="Palatino Linotype" w:hAnsi="Palatino Linotype" w:cs="Calibri"/>
                <w:color w:val="000000"/>
              </w:rPr>
              <w:t> </w:t>
            </w:r>
          </w:p>
        </w:tc>
      </w:tr>
      <w:tr w:rsidR="00920888" w:rsidRPr="0092732B" w14:paraId="4DDFCDBE" w14:textId="77777777" w:rsidTr="00BA6D52">
        <w:trPr>
          <w:trHeight w:val="315"/>
        </w:trPr>
        <w:tc>
          <w:tcPr>
            <w:tcW w:w="42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379E1B"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Clinical trials database</w:t>
            </w:r>
            <w:r w:rsidRPr="0092732B">
              <w:rPr>
                <w:rFonts w:ascii="Palatino Linotype" w:hAnsi="Palatino Linotype" w:cs="Calibri"/>
                <w:color w:val="000000"/>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46B94D85"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8</w:t>
            </w:r>
            <w:r w:rsidRPr="0092732B">
              <w:rPr>
                <w:rFonts w:ascii="Palatino Linotype" w:hAnsi="Palatino Linotype" w:cs="Calibri"/>
                <w:color w:val="000000"/>
              </w:rPr>
              <w:t> </w:t>
            </w:r>
          </w:p>
        </w:tc>
      </w:tr>
      <w:tr w:rsidR="00920888" w:rsidRPr="0092732B" w14:paraId="687FE372" w14:textId="77777777" w:rsidTr="00BA6D52">
        <w:trPr>
          <w:trHeight w:val="315"/>
        </w:trPr>
        <w:tc>
          <w:tcPr>
            <w:tcW w:w="42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E4D77B"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Friend / word of mouth</w:t>
            </w:r>
            <w:r w:rsidRPr="0092732B">
              <w:rPr>
                <w:rFonts w:ascii="Palatino Linotype" w:hAnsi="Palatino Linotype" w:cs="Calibri"/>
                <w:color w:val="000000"/>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6F2B3AE9"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8</w:t>
            </w:r>
            <w:r w:rsidRPr="0092732B">
              <w:rPr>
                <w:rFonts w:ascii="Palatino Linotype" w:hAnsi="Palatino Linotype" w:cs="Calibri"/>
                <w:color w:val="000000"/>
              </w:rPr>
              <w:t> </w:t>
            </w:r>
          </w:p>
        </w:tc>
      </w:tr>
      <w:tr w:rsidR="00920888" w:rsidRPr="0092732B" w14:paraId="13037F1B" w14:textId="77777777" w:rsidTr="00BA6D52">
        <w:trPr>
          <w:trHeight w:val="315"/>
        </w:trPr>
        <w:tc>
          <w:tcPr>
            <w:tcW w:w="42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456E59"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Linea</w:t>
            </w:r>
            <w:r w:rsidRPr="0092732B">
              <w:rPr>
                <w:rFonts w:ascii="Palatino Linotype" w:hAnsi="Palatino Linotype" w:cs="Calibri"/>
                <w:color w:val="000000"/>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3BA70F52"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1</w:t>
            </w:r>
            <w:r w:rsidRPr="0092732B">
              <w:rPr>
                <w:rFonts w:ascii="Palatino Linotype" w:hAnsi="Palatino Linotype" w:cs="Calibri"/>
                <w:color w:val="000000"/>
              </w:rPr>
              <w:t> </w:t>
            </w:r>
          </w:p>
        </w:tc>
      </w:tr>
      <w:tr w:rsidR="00920888" w:rsidRPr="0092732B" w14:paraId="2A059514" w14:textId="77777777" w:rsidTr="00BA6D52">
        <w:trPr>
          <w:trHeight w:val="315"/>
        </w:trPr>
        <w:tc>
          <w:tcPr>
            <w:tcW w:w="42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2FD8C6"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Physician / medical provider</w:t>
            </w:r>
            <w:r w:rsidRPr="0092732B">
              <w:rPr>
                <w:rFonts w:ascii="Palatino Linotype" w:hAnsi="Palatino Linotype" w:cs="Calibri"/>
                <w:color w:val="000000"/>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2E9BCC9E"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30</w:t>
            </w:r>
            <w:r w:rsidRPr="0092732B">
              <w:rPr>
                <w:rFonts w:ascii="Palatino Linotype" w:hAnsi="Palatino Linotype" w:cs="Calibri"/>
                <w:color w:val="000000"/>
              </w:rPr>
              <w:t> </w:t>
            </w:r>
          </w:p>
        </w:tc>
      </w:tr>
      <w:tr w:rsidR="00920888" w:rsidRPr="0092732B" w14:paraId="07C0DD79" w14:textId="77777777" w:rsidTr="00BA6D52">
        <w:trPr>
          <w:trHeight w:val="330"/>
        </w:trPr>
        <w:tc>
          <w:tcPr>
            <w:tcW w:w="42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34E547" w14:textId="77777777" w:rsidR="00920888" w:rsidRPr="0092732B" w:rsidRDefault="00920888" w:rsidP="00BA6D52">
            <w:pPr>
              <w:textAlignment w:val="baseline"/>
              <w:rPr>
                <w:rFonts w:ascii="Palatino Linotype" w:hAnsi="Palatino Linotype"/>
              </w:rPr>
            </w:pPr>
            <w:r w:rsidRPr="0092732B">
              <w:rPr>
                <w:rFonts w:ascii="Palatino Linotype" w:hAnsi="Palatino Linotype"/>
              </w:rPr>
              <w:t>Podcast / YouTube / Radio / TV</w:t>
            </w:r>
            <w:r w:rsidRPr="0092732B">
              <w:rPr>
                <w:rFonts w:ascii="Palatino Linotype" w:hAnsi="Palatino Linotype" w:cs="Calibri"/>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0F4C9370"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2</w:t>
            </w:r>
            <w:r w:rsidRPr="0092732B">
              <w:rPr>
                <w:rFonts w:ascii="Palatino Linotype" w:hAnsi="Palatino Linotype" w:cs="Calibri"/>
                <w:color w:val="000000"/>
              </w:rPr>
              <w:t> </w:t>
            </w:r>
          </w:p>
        </w:tc>
      </w:tr>
      <w:tr w:rsidR="00920888" w:rsidRPr="0092732B" w14:paraId="6760AC02" w14:textId="77777777" w:rsidTr="00BA6D52">
        <w:trPr>
          <w:trHeight w:val="315"/>
        </w:trPr>
        <w:tc>
          <w:tcPr>
            <w:tcW w:w="42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FD1DC3" w14:textId="77777777" w:rsidR="00920888" w:rsidRPr="0092732B" w:rsidRDefault="00920888" w:rsidP="00BA6D52">
            <w:pPr>
              <w:textAlignment w:val="baseline"/>
              <w:rPr>
                <w:rFonts w:ascii="Palatino Linotype" w:hAnsi="Palatino Linotype"/>
              </w:rPr>
            </w:pPr>
            <w:r w:rsidRPr="0092732B">
              <w:rPr>
                <w:rFonts w:ascii="Palatino Linotype" w:hAnsi="Palatino Linotype"/>
              </w:rPr>
              <w:t>Search engine</w:t>
            </w:r>
            <w:r w:rsidRPr="0092732B">
              <w:rPr>
                <w:rFonts w:ascii="Palatino Linotype" w:hAnsi="Palatino Linotype" w:cs="Calibri"/>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656B7B28"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1</w:t>
            </w:r>
            <w:r w:rsidRPr="0092732B">
              <w:rPr>
                <w:rFonts w:ascii="Palatino Linotype" w:hAnsi="Palatino Linotype" w:cs="Calibri"/>
                <w:color w:val="000000"/>
              </w:rPr>
              <w:t> </w:t>
            </w:r>
          </w:p>
        </w:tc>
      </w:tr>
      <w:tr w:rsidR="00920888" w:rsidRPr="0092732B" w14:paraId="18E44B9D" w14:textId="77777777" w:rsidTr="00BA6D52">
        <w:trPr>
          <w:trHeight w:val="315"/>
        </w:trPr>
        <w:tc>
          <w:tcPr>
            <w:tcW w:w="42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B3B9F3" w14:textId="77777777" w:rsidR="00920888" w:rsidRPr="0092732B" w:rsidRDefault="00920888" w:rsidP="00BA6D52">
            <w:pPr>
              <w:textAlignment w:val="baseline"/>
              <w:rPr>
                <w:rFonts w:ascii="Palatino Linotype" w:hAnsi="Palatino Linotype"/>
              </w:rPr>
            </w:pPr>
            <w:r w:rsidRPr="0092732B">
              <w:rPr>
                <w:rFonts w:ascii="Palatino Linotype" w:hAnsi="Palatino Linotype"/>
                <w:color w:val="000000"/>
              </w:rPr>
              <w:t>Website</w:t>
            </w:r>
            <w:r w:rsidRPr="0092732B">
              <w:rPr>
                <w:rFonts w:ascii="Palatino Linotype" w:hAnsi="Palatino Linotype" w:cs="Calibri"/>
                <w:color w:val="000000"/>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43F13DFF" w14:textId="77777777" w:rsidR="00920888" w:rsidRPr="0092732B" w:rsidRDefault="00920888" w:rsidP="00BA6D52">
            <w:pPr>
              <w:jc w:val="right"/>
              <w:textAlignment w:val="baseline"/>
              <w:rPr>
                <w:rFonts w:ascii="Palatino Linotype" w:hAnsi="Palatino Linotype"/>
              </w:rPr>
            </w:pPr>
            <w:r w:rsidRPr="0092732B">
              <w:rPr>
                <w:rFonts w:ascii="Palatino Linotype" w:hAnsi="Palatino Linotype"/>
                <w:color w:val="000000"/>
              </w:rPr>
              <w:t>1</w:t>
            </w:r>
            <w:r w:rsidRPr="0092732B">
              <w:rPr>
                <w:rFonts w:ascii="Palatino Linotype" w:hAnsi="Palatino Linotype" w:cs="Calibri"/>
                <w:color w:val="000000"/>
              </w:rPr>
              <w:t> </w:t>
            </w:r>
          </w:p>
        </w:tc>
      </w:tr>
    </w:tbl>
    <w:p w14:paraId="093586B4" w14:textId="77777777" w:rsidR="00920888" w:rsidRDefault="00920888" w:rsidP="00920888">
      <w:pPr>
        <w:textAlignment w:val="baseline"/>
        <w:rPr>
          <w:rFonts w:ascii="Palatino Linotype" w:hAnsi="Palatino Linotype" w:cs="Calibri"/>
        </w:rPr>
      </w:pPr>
      <w:r w:rsidRPr="0092732B">
        <w:rPr>
          <w:rFonts w:ascii="Palatino Linotype" w:hAnsi="Palatino Linotype" w:cs="Calibri"/>
        </w:rPr>
        <w:t> </w:t>
      </w:r>
    </w:p>
    <w:p w14:paraId="657D5180" w14:textId="77777777" w:rsidR="00920888" w:rsidRDefault="00920888" w:rsidP="00920888">
      <w:pPr>
        <w:rPr>
          <w:rFonts w:ascii="Palatino Linotype" w:eastAsia="Calibri" w:hAnsi="Palatino Linotype"/>
          <w:color w:val="000000"/>
          <w:u w:val="single"/>
        </w:rPr>
      </w:pPr>
      <w:r>
        <w:rPr>
          <w:rFonts w:ascii="Palatino Linotype" w:eastAsia="Calibri" w:hAnsi="Palatino Linotype"/>
          <w:color w:val="000000"/>
          <w:u w:val="single"/>
        </w:rPr>
        <w:t>Statistical Methods</w:t>
      </w:r>
    </w:p>
    <w:p w14:paraId="13AC787D" w14:textId="77777777" w:rsidR="00920888" w:rsidRDefault="00920888" w:rsidP="00920888">
      <w:pPr>
        <w:rPr>
          <w:rFonts w:ascii="Palatino Linotype" w:eastAsia="Calibri" w:hAnsi="Palatino Linotype"/>
          <w:color w:val="000000"/>
          <w:u w:val="single"/>
        </w:rPr>
      </w:pPr>
    </w:p>
    <w:p w14:paraId="5A9716D8" w14:textId="77777777" w:rsidR="00920888" w:rsidRPr="00C518D0" w:rsidRDefault="00920888" w:rsidP="00920888">
      <w:pPr>
        <w:rPr>
          <w:rFonts w:ascii="Palatino Linotype" w:hAnsi="Palatino Linotype"/>
        </w:rPr>
      </w:pPr>
      <w:r w:rsidRPr="000E2D60">
        <w:rPr>
          <w:rFonts w:ascii="Palatino Linotype" w:eastAsia="Calibri" w:hAnsi="Palatino Linotype"/>
          <w:color w:val="000000"/>
        </w:rPr>
        <w:t xml:space="preserve">ADAS-Cog, </w:t>
      </w:r>
      <w:r w:rsidRPr="000E2D60">
        <w:rPr>
          <w:rFonts w:ascii="Palatino Linotype" w:hAnsi="Palatino Linotype"/>
          <w:color w:val="000000"/>
        </w:rPr>
        <w:t xml:space="preserve">CDR-SB, and CDR-Global </w:t>
      </w:r>
      <w:r w:rsidRPr="000E2D60">
        <w:rPr>
          <w:rFonts w:ascii="Palatino Linotype" w:eastAsia="Calibri" w:hAnsi="Palatino Linotype"/>
          <w:color w:val="000000"/>
        </w:rPr>
        <w:t xml:space="preserve">scales are numeric, so the analyses compared the change scores from baseline to 20 weeks using a Mann-Whitney-Wilcoxon rank-sum test.  ADAS-Cog and CDR-SB are continuous variables and the CDR-Global is ordinal.  CGIC was recorded as a qualitative change over baseline, so Fisher’s exact test was used to compare the groups using the </w:t>
      </w:r>
      <w:proofErr w:type="gramStart"/>
      <w:r w:rsidRPr="000E2D60">
        <w:rPr>
          <w:rFonts w:ascii="Palatino Linotype" w:eastAsia="Calibri" w:hAnsi="Palatino Linotype"/>
          <w:color w:val="000000"/>
        </w:rPr>
        <w:t>20 week</w:t>
      </w:r>
      <w:proofErr w:type="gramEnd"/>
      <w:r w:rsidRPr="000E2D60">
        <w:rPr>
          <w:rFonts w:ascii="Palatino Linotype" w:eastAsia="Calibri" w:hAnsi="Palatino Linotype"/>
          <w:color w:val="000000"/>
        </w:rPr>
        <w:t xml:space="preserve"> values. PHQ-9 scores were also analyzed using </w:t>
      </w:r>
      <w:r w:rsidRPr="000E2D60">
        <w:rPr>
          <w:rFonts w:ascii="Palatino Linotype" w:hAnsi="Palatino Linotype" w:cs="Arial"/>
          <w:color w:val="000000"/>
        </w:rPr>
        <w:t>a Mann-Whitney-Wilcoxon rank-sum test.</w:t>
      </w:r>
      <w:r w:rsidRPr="000E2D60">
        <w:rPr>
          <w:rFonts w:ascii="Palatino Linotype" w:eastAsia="Calibri" w:hAnsi="Palatino Linotype"/>
          <w:color w:val="000000"/>
        </w:rPr>
        <w:t xml:space="preserve"> Stata Version 16.1 was used for all analyses</w:t>
      </w:r>
      <w:r>
        <w:rPr>
          <w:rFonts w:ascii="Palatino Linotype" w:eastAsia="Calibri" w:hAnsi="Palatino Linotype"/>
          <w:color w:val="000000"/>
        </w:rPr>
        <w:t xml:space="preserve"> other than microbiome analyses which used </w:t>
      </w:r>
      <w:r w:rsidRPr="00C518D0">
        <w:rPr>
          <w:rFonts w:ascii="Palatino Linotype" w:hAnsi="Palatino Linotype"/>
        </w:rPr>
        <w:t>SciPy v1.10.</w:t>
      </w:r>
    </w:p>
    <w:p w14:paraId="71544896" w14:textId="77777777" w:rsidR="00920888" w:rsidRPr="000E2D60" w:rsidRDefault="00920888" w:rsidP="00920888">
      <w:pPr>
        <w:rPr>
          <w:rFonts w:ascii="Palatino Linotype" w:eastAsia="Calibri" w:hAnsi="Palatino Linotype"/>
          <w:color w:val="000000"/>
        </w:rPr>
      </w:pPr>
    </w:p>
    <w:p w14:paraId="4971A6D1" w14:textId="77777777" w:rsidR="00920888" w:rsidRDefault="00920888" w:rsidP="00920888">
      <w:pPr>
        <w:rPr>
          <w:rFonts w:ascii="Palatino Linotype" w:hAnsi="Palatino Linotype" w:cs="Palatino Linotype"/>
          <w:color w:val="000000"/>
          <w:u w:val="single"/>
        </w:rPr>
      </w:pPr>
      <w:r w:rsidRPr="000E2D60">
        <w:rPr>
          <w:rFonts w:ascii="Palatino Linotype" w:hAnsi="Palatino Linotype"/>
          <w:color w:val="000000"/>
        </w:rPr>
        <w:t xml:space="preserve">Since there is an increasingly large body of research showing that similar multimodal lifestyle changes such as exercise, healthy diet, stress management, and social support may reduce the risk of dementia and slow its progression, as well as beneficially affect many other chronic diseases, the direction of the results of these lifestyle changes on </w:t>
      </w:r>
      <w:r>
        <w:rPr>
          <w:rFonts w:ascii="Palatino Linotype" w:hAnsi="Palatino Linotype"/>
          <w:color w:val="000000"/>
        </w:rPr>
        <w:t>cognition and function</w:t>
      </w:r>
      <w:r w:rsidRPr="000E2D60">
        <w:rPr>
          <w:rFonts w:ascii="Palatino Linotype" w:hAnsi="Palatino Linotype"/>
          <w:color w:val="000000"/>
        </w:rPr>
        <w:t xml:space="preserve"> testing is highly unlikely to be detrimental.  In this context, the use of one-tailed statistical tests is appropriate and more likely to be clinically relevant.</w:t>
      </w:r>
      <w:r w:rsidRPr="000E2D60">
        <w:rPr>
          <w:rStyle w:val="EndnoteReference"/>
          <w:rFonts w:ascii="Palatino Linotype" w:eastAsiaTheme="majorEastAsia" w:hAnsi="Palatino Linotype"/>
          <w:color w:val="000000"/>
        </w:rPr>
        <w:endnoteReference w:id="26"/>
      </w:r>
      <w:r w:rsidRPr="000E2D60">
        <w:rPr>
          <w:rFonts w:ascii="Palatino Linotype" w:hAnsi="Palatino Linotype"/>
          <w:color w:val="000000"/>
        </w:rPr>
        <w:t xml:space="preserve">  For</w:t>
      </w:r>
      <w:r>
        <w:rPr>
          <w:rFonts w:ascii="Palatino Linotype" w:hAnsi="Palatino Linotype"/>
          <w:color w:val="000000"/>
        </w:rPr>
        <w:t> </w:t>
      </w:r>
      <w:r w:rsidRPr="000E2D60">
        <w:rPr>
          <w:rFonts w:ascii="Palatino Linotype" w:hAnsi="Palatino Linotype"/>
          <w:color w:val="000000"/>
        </w:rPr>
        <w:t xml:space="preserve">these reasons, and to reduce the risk of type 2 errors, we used one-tailed tests for describing changes in </w:t>
      </w:r>
      <w:r>
        <w:rPr>
          <w:rFonts w:ascii="Palatino Linotype" w:hAnsi="Palatino Linotype"/>
          <w:color w:val="000000"/>
        </w:rPr>
        <w:t>cognition and function</w:t>
      </w:r>
      <w:r w:rsidRPr="000E2D60">
        <w:rPr>
          <w:rFonts w:ascii="Palatino Linotype" w:hAnsi="Palatino Linotype"/>
          <w:color w:val="000000"/>
        </w:rPr>
        <w:t xml:space="preserve">.  </w:t>
      </w:r>
      <w:bookmarkStart w:id="5" w:name="r"/>
      <w:bookmarkEnd w:id="5"/>
      <w:r>
        <w:rPr>
          <w:rFonts w:ascii="Palatino Linotype" w:hAnsi="Palatino Linotype"/>
          <w:color w:val="000000"/>
        </w:rPr>
        <w:t>Changes in biomarkers were secondary outcomes presented to support the primary outcome results.  Therefore, we did not apply a multiple testing correction and only nominal p-values are reported.  Two-tailed tests were used to analyze changes in biomarkers since the direction of change in these measures as well as PHQ-9 testing</w:t>
      </w:r>
      <w:r>
        <w:rPr>
          <w:rStyle w:val="apple-converted-space"/>
          <w:rFonts w:ascii="Palatino Linotype" w:hAnsi="Palatino Linotype"/>
          <w:color w:val="000000"/>
        </w:rPr>
        <w:t> </w:t>
      </w:r>
      <w:r>
        <w:rPr>
          <w:rFonts w:ascii="Palatino Linotype" w:hAnsi="Palatino Linotype"/>
          <w:i/>
          <w:iCs/>
          <w:color w:val="000000"/>
        </w:rPr>
        <w:t>a priori</w:t>
      </w:r>
      <w:r>
        <w:rPr>
          <w:rStyle w:val="apple-converted-space"/>
          <w:rFonts w:ascii="Palatino Linotype" w:hAnsi="Palatino Linotype"/>
          <w:color w:val="000000"/>
        </w:rPr>
        <w:t> </w:t>
      </w:r>
      <w:r>
        <w:rPr>
          <w:rFonts w:ascii="Palatino Linotype" w:hAnsi="Palatino Linotype"/>
          <w:color w:val="000000"/>
        </w:rPr>
        <w:t>was unclear, as well as PHQ-9 testing.   </w:t>
      </w:r>
    </w:p>
    <w:p w14:paraId="2819713A" w14:textId="77777777" w:rsidR="00920888" w:rsidRDefault="00920888" w:rsidP="00920888">
      <w:pPr>
        <w:widowControl w:val="0"/>
        <w:tabs>
          <w:tab w:val="left" w:pos="2060"/>
          <w:tab w:val="left" w:pos="10260"/>
          <w:tab w:val="left" w:pos="10530"/>
        </w:tabs>
        <w:autoSpaceDE w:val="0"/>
        <w:autoSpaceDN w:val="0"/>
        <w:spacing w:line="230" w:lineRule="auto"/>
        <w:ind w:right="1759"/>
        <w:rPr>
          <w:rFonts w:ascii="Palatino Linotype" w:hAnsi="Palatino Linotype" w:cs="Palatino Linotype"/>
          <w:color w:val="000000"/>
          <w:u w:val="single"/>
        </w:rPr>
      </w:pPr>
    </w:p>
    <w:p w14:paraId="7319749E" w14:textId="77777777" w:rsidR="00920888" w:rsidRPr="000E2D60" w:rsidRDefault="00920888" w:rsidP="00920888">
      <w:pPr>
        <w:widowControl w:val="0"/>
        <w:tabs>
          <w:tab w:val="left" w:pos="2060"/>
          <w:tab w:val="left" w:pos="10260"/>
          <w:tab w:val="left" w:pos="10530"/>
        </w:tabs>
        <w:autoSpaceDE w:val="0"/>
        <w:autoSpaceDN w:val="0"/>
        <w:spacing w:line="230" w:lineRule="auto"/>
        <w:ind w:right="1759"/>
        <w:rPr>
          <w:rFonts w:ascii="Palatino Linotype" w:hAnsi="Palatino Linotype" w:cs="Palatino Linotype"/>
          <w:color w:val="000000"/>
          <w:u w:val="single"/>
        </w:rPr>
      </w:pPr>
      <w:r w:rsidRPr="000E2D60">
        <w:rPr>
          <w:rFonts w:ascii="Palatino Linotype" w:hAnsi="Palatino Linotype" w:cs="Palatino Linotype"/>
          <w:color w:val="000000"/>
          <w:u w:val="single"/>
        </w:rPr>
        <w:t>Correlations with Degree of Lifestyle Changes:</w:t>
      </w:r>
    </w:p>
    <w:p w14:paraId="329BB43B" w14:textId="77777777" w:rsidR="00920888" w:rsidRPr="000E2D60" w:rsidRDefault="00920888" w:rsidP="00920888">
      <w:pPr>
        <w:widowControl w:val="0"/>
        <w:tabs>
          <w:tab w:val="left" w:pos="2060"/>
          <w:tab w:val="left" w:pos="10260"/>
          <w:tab w:val="left" w:pos="10530"/>
        </w:tabs>
        <w:autoSpaceDE w:val="0"/>
        <w:autoSpaceDN w:val="0"/>
        <w:spacing w:line="230" w:lineRule="auto"/>
        <w:ind w:right="-270"/>
        <w:rPr>
          <w:rFonts w:ascii="Palatino Linotype" w:eastAsia="Calibri" w:hAnsi="Palatino Linotype"/>
          <w:color w:val="000000"/>
        </w:rPr>
      </w:pPr>
    </w:p>
    <w:p w14:paraId="1A5E0564" w14:textId="77777777" w:rsidR="00920888" w:rsidRPr="000E2D60" w:rsidRDefault="00920888" w:rsidP="00920888">
      <w:pPr>
        <w:widowControl w:val="0"/>
        <w:tabs>
          <w:tab w:val="left" w:pos="2060"/>
          <w:tab w:val="left" w:pos="10260"/>
          <w:tab w:val="left" w:pos="10530"/>
        </w:tabs>
        <w:autoSpaceDE w:val="0"/>
        <w:autoSpaceDN w:val="0"/>
        <w:spacing w:line="230" w:lineRule="auto"/>
        <w:ind w:right="-270"/>
        <w:rPr>
          <w:rFonts w:ascii="Palatino Linotype" w:hAnsi="Palatino Linotype" w:cs="Palatino Linotype"/>
          <w:color w:val="000000"/>
        </w:rPr>
      </w:pPr>
      <w:r w:rsidRPr="000E2D60">
        <w:rPr>
          <w:rFonts w:ascii="Palatino Linotype" w:eastAsia="Calibri" w:hAnsi="Palatino Linotype"/>
          <w:color w:val="000000"/>
        </w:rPr>
        <w:t xml:space="preserve">To assess the correlation between the degree of lifestyle change and the degree of change in measures of </w:t>
      </w:r>
      <w:r>
        <w:rPr>
          <w:rFonts w:ascii="Palatino Linotype" w:eastAsia="Calibri" w:hAnsi="Palatino Linotype"/>
          <w:color w:val="000000"/>
        </w:rPr>
        <w:t>cognition and function</w:t>
      </w:r>
      <w:r w:rsidRPr="000E2D60">
        <w:rPr>
          <w:rFonts w:ascii="Palatino Linotype" w:eastAsia="Calibri" w:hAnsi="Palatino Linotype"/>
          <w:color w:val="000000"/>
        </w:rPr>
        <w:t xml:space="preserve"> and also with biomarkers, we used a formula </w:t>
      </w:r>
      <w:r>
        <w:rPr>
          <w:rFonts w:ascii="Palatino Linotype" w:eastAsia="Calibri" w:hAnsi="Palatino Linotype"/>
          <w:color w:val="000000"/>
        </w:rPr>
        <w:t xml:space="preserve">(please see Supplement) </w:t>
      </w:r>
      <w:r w:rsidRPr="000E2D60">
        <w:rPr>
          <w:rFonts w:ascii="Palatino Linotype" w:eastAsia="Calibri" w:hAnsi="Palatino Linotype"/>
          <w:color w:val="000000"/>
        </w:rPr>
        <w:t>devised i</w:t>
      </w:r>
      <w:r w:rsidRPr="000E2D60">
        <w:rPr>
          <w:rFonts w:ascii="Palatino Linotype" w:hAnsi="Palatino Linotype" w:cs="Palatino Linotype"/>
          <w:color w:val="000000"/>
        </w:rPr>
        <w:t xml:space="preserve">n earlier clinical trials to correlate the degree of all four </w:t>
      </w:r>
      <w:r w:rsidRPr="000E2D60">
        <w:rPr>
          <w:rFonts w:ascii="Palatino Linotype" w:hAnsi="Palatino Linotype" w:cs="Palatino Linotype"/>
          <w:color w:val="000000"/>
        </w:rPr>
        <w:lastRenderedPageBreak/>
        <w:t>modalities of these lifestyle changes (diet, exercise, stress management, and social support) with a variety of endpoint measures called a “lifestyle index.”</w:t>
      </w:r>
      <w:r w:rsidRPr="000E2D60">
        <w:rPr>
          <w:rStyle w:val="EndnoteReference"/>
          <w:rFonts w:ascii="Palatino Linotype" w:eastAsiaTheme="majorEastAsia" w:hAnsi="Palatino Linotype"/>
          <w:color w:val="000000"/>
        </w:rPr>
        <w:endnoteReference w:id="27"/>
      </w:r>
      <w:r w:rsidRPr="000E2D60">
        <w:rPr>
          <w:rFonts w:ascii="Palatino Linotype" w:hAnsi="Palatino Linotype" w:cs="Palatino Linotype"/>
          <w:color w:val="000000"/>
        </w:rPr>
        <w:t xml:space="preserve">  In these earlier studies, we found a statistically significant correlation between the degree of lifestyle index change and the degree of change in percent diameter stenosis of coronary atherosclerosis; of changes in PSA levels in men with prostate cancer; in changes in LNCaP cell growth; and in telomere length.</w:t>
      </w:r>
      <w:r w:rsidRPr="000E2D60">
        <w:rPr>
          <w:rStyle w:val="EndnoteReference"/>
          <w:rFonts w:ascii="Palatino Linotype" w:eastAsiaTheme="majorEastAsia" w:hAnsi="Palatino Linotype"/>
          <w:color w:val="000000"/>
        </w:rPr>
        <w:endnoteReference w:id="28"/>
      </w:r>
      <w:r w:rsidRPr="000E2D60">
        <w:rPr>
          <w:rFonts w:ascii="Palatino Linotype" w:hAnsi="Palatino Linotype" w:cs="Palatino Linotype"/>
          <w:color w:val="000000"/>
        </w:rPr>
        <w:t xml:space="preserve"> </w:t>
      </w:r>
      <w:r w:rsidRPr="000E2D60">
        <w:rPr>
          <w:rStyle w:val="EndnoteReference"/>
          <w:rFonts w:ascii="Palatino Linotype" w:eastAsiaTheme="majorEastAsia" w:hAnsi="Palatino Linotype"/>
          <w:color w:val="000000"/>
        </w:rPr>
        <w:endnoteReference w:id="29"/>
      </w:r>
    </w:p>
    <w:p w14:paraId="24018B85" w14:textId="77777777" w:rsidR="00920888" w:rsidRPr="000E2D60" w:rsidRDefault="00920888" w:rsidP="00920888">
      <w:pPr>
        <w:widowControl w:val="0"/>
        <w:tabs>
          <w:tab w:val="left" w:pos="2060"/>
          <w:tab w:val="left" w:pos="10260"/>
          <w:tab w:val="left" w:pos="10530"/>
        </w:tabs>
        <w:autoSpaceDE w:val="0"/>
        <w:autoSpaceDN w:val="0"/>
        <w:spacing w:line="230" w:lineRule="auto"/>
        <w:ind w:right="-270"/>
        <w:rPr>
          <w:rFonts w:ascii="Palatino Linotype" w:hAnsi="Palatino Linotype" w:cs="Palatino Linotype"/>
          <w:color w:val="000000"/>
        </w:rPr>
      </w:pPr>
    </w:p>
    <w:p w14:paraId="6A523E03" w14:textId="77777777" w:rsidR="00920888" w:rsidRPr="000E2D60" w:rsidRDefault="00920888" w:rsidP="00920888">
      <w:pPr>
        <w:rPr>
          <w:rFonts w:ascii="Palatino Linotype" w:hAnsi="Palatino Linotype"/>
          <w:color w:val="000000"/>
        </w:rPr>
      </w:pPr>
      <w:r w:rsidRPr="000E2D60">
        <w:rPr>
          <w:rFonts w:ascii="Palatino Linotype" w:hAnsi="Palatino Linotype"/>
          <w:color w:val="000000"/>
        </w:rPr>
        <w:t xml:space="preserve">For the numeric variables (ADAS-cog, CDR-SB, and CDR Global and all the biomarkers as well as the Lifestyle Index at 20 weeks and the change in the Lifestyle Index from baseline to 20 weeks), the Spearman rank correlation was used.  The CGIC is ordinal, so the non-parametric (rank-based) </w:t>
      </w:r>
      <w:proofErr w:type="spellStart"/>
      <w:r w:rsidRPr="000E2D60">
        <w:rPr>
          <w:rFonts w:ascii="Palatino Linotype" w:hAnsi="Palatino Linotype"/>
          <w:color w:val="000000"/>
        </w:rPr>
        <w:t>Jonckheere</w:t>
      </w:r>
      <w:proofErr w:type="spellEnd"/>
      <w:r w:rsidRPr="000E2D60">
        <w:rPr>
          <w:rFonts w:ascii="Palatino Linotype" w:hAnsi="Palatino Linotype"/>
          <w:color w:val="000000"/>
        </w:rPr>
        <w:t xml:space="preserve">-Terpstra test for trend was used in the values of the change in biomarkers as well as the Lifestyle Index tests.  </w:t>
      </w:r>
    </w:p>
    <w:p w14:paraId="7021EAFA" w14:textId="77777777" w:rsidR="00920888" w:rsidRPr="000E2D60" w:rsidRDefault="00920888" w:rsidP="00920888">
      <w:pPr>
        <w:rPr>
          <w:rFonts w:ascii="Palatino Linotype" w:hAnsi="Palatino Linotype"/>
          <w:color w:val="000000"/>
        </w:rPr>
      </w:pPr>
    </w:p>
    <w:p w14:paraId="60407C9E" w14:textId="77777777" w:rsidR="00920888" w:rsidRDefault="00920888" w:rsidP="00920888">
      <w:pPr>
        <w:rPr>
          <w:rFonts w:ascii="Palatino Linotype" w:hAnsi="Palatino Linotype" w:cs="Arial"/>
          <w:color w:val="000000"/>
        </w:rPr>
      </w:pPr>
      <w:r w:rsidRPr="000E2D60">
        <w:rPr>
          <w:rFonts w:ascii="Palatino Linotype" w:hAnsi="Palatino Linotype"/>
          <w:color w:val="000000"/>
        </w:rPr>
        <w:t xml:space="preserve">To determine the degree of lifestyle change needed to stop or improve worsening of </w:t>
      </w:r>
      <w:r>
        <w:rPr>
          <w:rFonts w:ascii="Palatino Linotype" w:hAnsi="Palatino Linotype"/>
          <w:color w:val="000000"/>
        </w:rPr>
        <w:t>cognition and function</w:t>
      </w:r>
      <w:r w:rsidRPr="000E2D60">
        <w:rPr>
          <w:rFonts w:ascii="Palatino Linotype" w:hAnsi="Palatino Linotype"/>
          <w:color w:val="000000"/>
        </w:rPr>
        <w:t xml:space="preserve"> in these patients across both groups, we assessed the point at which 20-week values of the lifestyle index or change in the lifestyle index corresponded to no decline in cognitive performance.  T</w:t>
      </w:r>
      <w:r w:rsidRPr="000E2D60">
        <w:rPr>
          <w:rFonts w:ascii="Palatino Linotype" w:hAnsi="Palatino Linotype" w:cs="Arial"/>
          <w:color w:val="000000"/>
        </w:rPr>
        <w:t xml:space="preserve">he numeric </w:t>
      </w:r>
      <w:r>
        <w:rPr>
          <w:rFonts w:ascii="Palatino Linotype" w:hAnsi="Palatino Linotype" w:cs="Arial"/>
          <w:color w:val="000000"/>
        </w:rPr>
        <w:t>cognition and function</w:t>
      </w:r>
      <w:r w:rsidRPr="000E2D60">
        <w:rPr>
          <w:rFonts w:ascii="Palatino Linotype" w:hAnsi="Palatino Linotype" w:cs="Arial"/>
          <w:color w:val="000000"/>
        </w:rPr>
        <w:t xml:space="preserve">ing scores (ADAS-cog, CDR Sum of Boxes and CDR Global) were regressed on both the lifestyle index at 20 weeks and the change in the lifestyle index from baseline to 20 weeks.  The form of the linear regression equations for either lifestyle variable </w:t>
      </w:r>
      <w:proofErr w:type="gramStart"/>
      <w:r w:rsidRPr="000E2D60">
        <w:rPr>
          <w:rFonts w:ascii="Palatino Linotype" w:hAnsi="Palatino Linotype" w:cs="Arial"/>
          <w:color w:val="000000"/>
        </w:rPr>
        <w:t>is:</w:t>
      </w:r>
      <w:proofErr w:type="gramEnd"/>
      <w:r w:rsidRPr="000E2D60">
        <w:rPr>
          <w:rFonts w:ascii="Palatino Linotype" w:hAnsi="Palatino Linotype" w:cs="Arial"/>
          <w:color w:val="000000"/>
        </w:rPr>
        <w:t xml:space="preserve"> change in cognition = a + b*(lifestyle).  Solving for the value of the lifestyle variable associated with no change in cognition </w:t>
      </w:r>
      <w:proofErr w:type="gramStart"/>
      <w:r w:rsidRPr="000E2D60">
        <w:rPr>
          <w:rFonts w:ascii="Palatino Linotype" w:hAnsi="Palatino Linotype" w:cs="Arial"/>
          <w:color w:val="000000"/>
        </w:rPr>
        <w:t>gives:</w:t>
      </w:r>
      <w:proofErr w:type="gramEnd"/>
      <w:r w:rsidRPr="000E2D60">
        <w:rPr>
          <w:rFonts w:ascii="Palatino Linotype" w:hAnsi="Palatino Linotype" w:cs="Arial"/>
          <w:color w:val="000000"/>
        </w:rPr>
        <w:t xml:space="preserve"> lifestyle=-a/b.</w:t>
      </w:r>
    </w:p>
    <w:p w14:paraId="24F9A6B9" w14:textId="77777777" w:rsidR="00920888" w:rsidRDefault="00920888" w:rsidP="00920888">
      <w:pPr>
        <w:textAlignment w:val="baseline"/>
        <w:rPr>
          <w:rFonts w:ascii="Palatino Linotype" w:hAnsi="Palatino Linotype"/>
          <w:color w:val="000000"/>
        </w:rPr>
      </w:pPr>
    </w:p>
    <w:p w14:paraId="187DBB36" w14:textId="77777777" w:rsidR="00920888" w:rsidRDefault="00920888" w:rsidP="00920888">
      <w:pPr>
        <w:widowControl w:val="0"/>
        <w:tabs>
          <w:tab w:val="left" w:pos="2060"/>
          <w:tab w:val="left" w:pos="10260"/>
          <w:tab w:val="left" w:pos="10530"/>
        </w:tabs>
        <w:autoSpaceDE w:val="0"/>
        <w:autoSpaceDN w:val="0"/>
        <w:spacing w:line="230" w:lineRule="auto"/>
        <w:ind w:right="-270"/>
        <w:rPr>
          <w:rFonts w:ascii="Palatino Linotype" w:hAnsi="Palatino Linotype"/>
          <w:b/>
          <w:bCs/>
          <w:color w:val="000000"/>
          <w:u w:val="single"/>
        </w:rPr>
      </w:pPr>
      <w:r>
        <w:rPr>
          <w:rFonts w:ascii="Palatino Linotype" w:hAnsi="Palatino Linotype"/>
          <w:b/>
          <w:bCs/>
          <w:color w:val="000000"/>
          <w:u w:val="single"/>
        </w:rPr>
        <w:t xml:space="preserve">Lifestyle/Adherence Formula: </w:t>
      </w:r>
    </w:p>
    <w:p w14:paraId="2A83BC58" w14:textId="77777777" w:rsidR="00920888" w:rsidRDefault="00920888" w:rsidP="00920888">
      <w:pPr>
        <w:widowControl w:val="0"/>
        <w:tabs>
          <w:tab w:val="left" w:pos="2060"/>
          <w:tab w:val="left" w:pos="10260"/>
          <w:tab w:val="left" w:pos="10530"/>
        </w:tabs>
        <w:autoSpaceDE w:val="0"/>
        <w:autoSpaceDN w:val="0"/>
        <w:spacing w:line="230" w:lineRule="auto"/>
        <w:ind w:right="-270"/>
        <w:rPr>
          <w:rFonts w:ascii="Palatino Linotype" w:hAnsi="Palatino Linotype"/>
          <w:b/>
          <w:bCs/>
          <w:color w:val="000000"/>
          <w:u w:val="single"/>
        </w:rPr>
      </w:pPr>
    </w:p>
    <w:p w14:paraId="1ADD3883" w14:textId="77777777" w:rsidR="00920888" w:rsidRPr="000E2D60" w:rsidRDefault="00920888" w:rsidP="00920888">
      <w:pPr>
        <w:widowControl w:val="0"/>
        <w:tabs>
          <w:tab w:val="left" w:pos="2060"/>
          <w:tab w:val="left" w:pos="10260"/>
          <w:tab w:val="left" w:pos="10530"/>
        </w:tabs>
        <w:autoSpaceDE w:val="0"/>
        <w:autoSpaceDN w:val="0"/>
        <w:spacing w:line="230" w:lineRule="auto"/>
        <w:ind w:right="-270"/>
        <w:rPr>
          <w:rFonts w:ascii="Palatino Linotype" w:hAnsi="Palatino Linotype" w:cs="ScalaLancetPro"/>
          <w:color w:val="000000"/>
        </w:rPr>
      </w:pPr>
      <w:r w:rsidRPr="000E2D60">
        <w:rPr>
          <w:rFonts w:ascii="Palatino Linotype" w:hAnsi="Palatino Linotype" w:cs="ScalaLancetPro"/>
          <w:color w:val="000000"/>
        </w:rPr>
        <w:t>We calculated the mean percentage of adherence according to the following formula:</w:t>
      </w:r>
    </w:p>
    <w:p w14:paraId="33CDCA70" w14:textId="77777777" w:rsidR="00920888" w:rsidRPr="000E2D60" w:rsidRDefault="00920888" w:rsidP="00920888">
      <w:pPr>
        <w:widowControl w:val="0"/>
        <w:tabs>
          <w:tab w:val="left" w:pos="2060"/>
          <w:tab w:val="left" w:pos="10260"/>
          <w:tab w:val="left" w:pos="10530"/>
        </w:tabs>
        <w:autoSpaceDE w:val="0"/>
        <w:autoSpaceDN w:val="0"/>
        <w:spacing w:line="230" w:lineRule="auto"/>
        <w:ind w:right="-270"/>
        <w:rPr>
          <w:rFonts w:ascii="Palatino Linotype" w:hAnsi="Palatino Linotype" w:cs="ScalaLancetPro"/>
          <w:color w:val="000000"/>
        </w:rPr>
      </w:pPr>
      <w:r w:rsidRPr="000E2D60">
        <w:rPr>
          <w:rFonts w:ascii="Palatino Linotype" w:hAnsi="Palatino Linotype" w:cs="Palatino Linotype"/>
          <w:noProof/>
          <w:color w:val="000000"/>
        </w:rPr>
        <w:drawing>
          <wp:inline distT="0" distB="0" distL="0" distR="0" wp14:anchorId="309F07B2" wp14:editId="5FF6F242">
            <wp:extent cx="3477895" cy="593725"/>
            <wp:effectExtent l="0" t="0" r="0" b="0"/>
            <wp:docPr id="4" name="Picture 6" descr="A black and white math equation&#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black and white math equation&#10;&#10;Description automatically generated with medium confidence"/>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7895" cy="593725"/>
                    </a:xfrm>
                    <a:prstGeom prst="rect">
                      <a:avLst/>
                    </a:prstGeom>
                    <a:noFill/>
                    <a:ln>
                      <a:noFill/>
                    </a:ln>
                  </pic:spPr>
                </pic:pic>
              </a:graphicData>
            </a:graphic>
          </wp:inline>
        </w:drawing>
      </w:r>
    </w:p>
    <w:p w14:paraId="78DC0426" w14:textId="77777777" w:rsidR="00920888" w:rsidRPr="000E2D60" w:rsidRDefault="00920888" w:rsidP="00920888">
      <w:pPr>
        <w:widowControl w:val="0"/>
        <w:tabs>
          <w:tab w:val="left" w:pos="2060"/>
          <w:tab w:val="left" w:pos="10260"/>
          <w:tab w:val="left" w:pos="10530"/>
        </w:tabs>
        <w:autoSpaceDE w:val="0"/>
        <w:autoSpaceDN w:val="0"/>
        <w:spacing w:line="230" w:lineRule="auto"/>
        <w:ind w:right="-270"/>
        <w:rPr>
          <w:rFonts w:ascii="Palatino Linotype" w:hAnsi="Palatino Linotype" w:cs="Palatino Linotype"/>
          <w:color w:val="000000"/>
        </w:rPr>
      </w:pPr>
      <w:r w:rsidRPr="000E2D60">
        <w:rPr>
          <w:rFonts w:ascii="Palatino Linotype" w:hAnsi="Palatino Linotype" w:cs="ScalaLancetPro"/>
          <w:color w:val="000000"/>
        </w:rPr>
        <w:t>where t indicates support-group attendance (% sessions attended/month), u indicates stress-reduction activity days per week, v indicates stress-reduction activity minutes per week, x exercise days per week, y exercise minutes per week, and z adherence to diet. Adherence to exercise and stress management was assessed by dividing the self-reported number of minutes per week by the average number of minutes requested in the intervention per week (180 and 420, respectively). Dietary adherence was calculated in the following way:</w:t>
      </w:r>
    </w:p>
    <w:p w14:paraId="2B98215D" w14:textId="77777777" w:rsidR="00920888" w:rsidRPr="000E2D60" w:rsidRDefault="00920888" w:rsidP="00920888">
      <w:pPr>
        <w:widowControl w:val="0"/>
        <w:tabs>
          <w:tab w:val="left" w:pos="2060"/>
          <w:tab w:val="left" w:pos="10260"/>
          <w:tab w:val="left" w:pos="10530"/>
        </w:tabs>
        <w:autoSpaceDE w:val="0"/>
        <w:autoSpaceDN w:val="0"/>
        <w:spacing w:line="230" w:lineRule="auto"/>
        <w:ind w:right="-270"/>
        <w:rPr>
          <w:rFonts w:ascii="Palatino Linotype" w:hAnsi="Palatino Linotype" w:cs="Palatino Linotype"/>
          <w:color w:val="000000"/>
        </w:rPr>
      </w:pPr>
      <w:r w:rsidRPr="000E2D60">
        <w:rPr>
          <w:rFonts w:ascii="Palatino Linotype" w:hAnsi="Palatino Linotype" w:cs="Palatino Linotype"/>
          <w:noProof/>
          <w:color w:val="000000"/>
        </w:rPr>
        <w:drawing>
          <wp:inline distT="0" distB="0" distL="0" distR="0" wp14:anchorId="1FB8A977" wp14:editId="0A4A0BC2">
            <wp:extent cx="3775075" cy="648970"/>
            <wp:effectExtent l="0" t="0" r="0" b="0"/>
            <wp:docPr id="5" name="Picture 4" descr="A black line with numbers and symbol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 black line with numbers and symbols&#10;&#10;Description automatically generated"/>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5075" cy="648970"/>
                    </a:xfrm>
                    <a:prstGeom prst="rect">
                      <a:avLst/>
                    </a:prstGeom>
                    <a:noFill/>
                    <a:ln>
                      <a:noFill/>
                    </a:ln>
                  </pic:spPr>
                </pic:pic>
              </a:graphicData>
            </a:graphic>
          </wp:inline>
        </w:drawing>
      </w:r>
    </w:p>
    <w:p w14:paraId="0644B47F" w14:textId="77777777" w:rsidR="00920888" w:rsidRPr="000E2D60" w:rsidRDefault="00920888" w:rsidP="00920888">
      <w:pPr>
        <w:pStyle w:val="Pa6"/>
        <w:rPr>
          <w:rFonts w:ascii="Palatino Linotype" w:hAnsi="Palatino Linotype" w:cs="Palatino Linotype"/>
          <w:color w:val="000000"/>
        </w:rPr>
      </w:pPr>
      <w:r w:rsidRPr="000E2D60">
        <w:rPr>
          <w:rFonts w:ascii="Palatino Linotype" w:hAnsi="Palatino Linotype" w:cs="ScalaLancetPro"/>
          <w:color w:val="000000"/>
        </w:rPr>
        <w:lastRenderedPageBreak/>
        <w:t>Increases in scores (mean percentage of adherence) reflect improved adherence to the recommended four components of the intervention—nutrition, stress management, exercise, and social support. We included dietary fat and cholesterol as surrogate measures of dietary adherence (not because they are the most important dietary components) because these can be quantified as continuous variables. We used a semiquantitative food frequency questionnaire to assess consumption of other recommended foods.</w:t>
      </w:r>
      <w:r w:rsidRPr="000E2D60">
        <w:rPr>
          <w:rStyle w:val="A5"/>
          <w:rFonts w:ascii="Palatino Linotype" w:hAnsi="Palatino Linotype"/>
          <w:color w:val="000000"/>
        </w:rPr>
        <w:t xml:space="preserve"> </w:t>
      </w:r>
      <w:r w:rsidRPr="000E2D60">
        <w:rPr>
          <w:rFonts w:ascii="Palatino Linotype" w:hAnsi="Palatino Linotype" w:cs="ScalaLancetPro"/>
          <w:color w:val="000000"/>
        </w:rPr>
        <w:t>A lifestyle index score of 1.0 suggested 100% adherence. Scores could exceed 1.0 for individuals who completed more hours of exercise and stress management than required.</w:t>
      </w:r>
    </w:p>
    <w:p w14:paraId="14CD1919" w14:textId="77777777" w:rsidR="00920888" w:rsidRPr="000E2D60" w:rsidRDefault="00920888" w:rsidP="00920888">
      <w:pPr>
        <w:spacing w:after="120"/>
        <w:rPr>
          <w:rFonts w:ascii="Palatino Linotype" w:hAnsi="Palatino Linotype" w:cs="Arial"/>
          <w:color w:val="000000"/>
        </w:rPr>
      </w:pPr>
    </w:p>
    <w:p w14:paraId="1B4886F6" w14:textId="77777777" w:rsidR="00920888" w:rsidRPr="004F288A" w:rsidRDefault="00920888" w:rsidP="00920888">
      <w:pPr>
        <w:tabs>
          <w:tab w:val="left" w:pos="709"/>
        </w:tabs>
        <w:autoSpaceDE w:val="0"/>
        <w:autoSpaceDN w:val="0"/>
        <w:adjustRightInd w:val="0"/>
        <w:ind w:left="-360"/>
        <w:rPr>
          <w:rFonts w:ascii="Palatino Linotype" w:hAnsi="Palatino Linotype"/>
          <w:b/>
          <w:bCs/>
          <w:color w:val="000000"/>
          <w:u w:val="single"/>
        </w:rPr>
      </w:pPr>
      <w:r w:rsidRPr="004F288A">
        <w:rPr>
          <w:rFonts w:ascii="Palatino Linotype" w:hAnsi="Palatino Linotype"/>
          <w:b/>
          <w:bCs/>
          <w:color w:val="000000"/>
          <w:u w:val="single"/>
        </w:rPr>
        <w:t>Additional Microbiome Analyses:</w:t>
      </w:r>
    </w:p>
    <w:p w14:paraId="486E4BA8" w14:textId="77777777" w:rsidR="00920888" w:rsidRDefault="00920888" w:rsidP="00920888">
      <w:pPr>
        <w:tabs>
          <w:tab w:val="left" w:pos="709"/>
        </w:tabs>
        <w:autoSpaceDE w:val="0"/>
        <w:autoSpaceDN w:val="0"/>
        <w:adjustRightInd w:val="0"/>
        <w:ind w:left="-360"/>
        <w:rPr>
          <w:rFonts w:ascii="Palatino Linotype" w:hAnsi="Palatino Linotype"/>
          <w:color w:val="000000"/>
        </w:rPr>
      </w:pPr>
    </w:p>
    <w:p w14:paraId="4A594007" w14:textId="77777777" w:rsidR="00920888" w:rsidRPr="007A2ED2" w:rsidRDefault="00920888" w:rsidP="00920888">
      <w:pPr>
        <w:rPr>
          <w:rFonts w:ascii="Palatino Linotype" w:hAnsi="Palatino Linotype"/>
        </w:rPr>
      </w:pPr>
      <w:r w:rsidRPr="007A2ED2">
        <w:rPr>
          <w:rFonts w:ascii="Palatino Linotype" w:hAnsi="Palatino Linotype"/>
        </w:rPr>
        <w:t xml:space="preserve">Overall microbiome composition after 20 weeks changed significantly from baseline in the intervention </w:t>
      </w:r>
      <w:r>
        <w:rPr>
          <w:rFonts w:ascii="Palatino Linotype" w:hAnsi="Palatino Linotype"/>
        </w:rPr>
        <w:t>but not</w:t>
      </w:r>
      <w:r w:rsidRPr="007A2ED2">
        <w:rPr>
          <w:rFonts w:ascii="Palatino Linotype" w:hAnsi="Palatino Linotype"/>
        </w:rPr>
        <w:t xml:space="preserve"> the control group. These results suggest the intervention affects the gut microbiome, and further show that subjects undergoing intervention change in the same way </w:t>
      </w:r>
      <w:r>
        <w:rPr>
          <w:rFonts w:ascii="Palatino Linotype" w:hAnsi="Palatino Linotype"/>
        </w:rPr>
        <w:t xml:space="preserve">and </w:t>
      </w:r>
      <w:r w:rsidRPr="007A2ED2">
        <w:rPr>
          <w:rFonts w:ascii="Palatino Linotype" w:hAnsi="Palatino Linotype"/>
        </w:rPr>
        <w:t xml:space="preserve">towards a more similar microbiome configuration than is exhibited at baseline. The specific observations that support this idea are as follows. </w:t>
      </w:r>
    </w:p>
    <w:p w14:paraId="5CFA17C5" w14:textId="77777777" w:rsidR="00920888" w:rsidRPr="007A2ED2" w:rsidRDefault="00920888" w:rsidP="00920888">
      <w:pPr>
        <w:rPr>
          <w:rFonts w:ascii="Palatino Linotype" w:hAnsi="Palatino Linotype"/>
        </w:rPr>
      </w:pPr>
    </w:p>
    <w:p w14:paraId="016EC87F" w14:textId="77777777" w:rsidR="00920888" w:rsidRDefault="00920888" w:rsidP="00920888">
      <w:pPr>
        <w:rPr>
          <w:rFonts w:ascii="Palatino Linotype" w:hAnsi="Palatino Linotype"/>
        </w:rPr>
      </w:pPr>
      <w:r w:rsidRPr="007A2ED2">
        <w:rPr>
          <w:rFonts w:ascii="Palatino Linotype" w:hAnsi="Palatino Linotype"/>
        </w:rPr>
        <w:t>First, we observed that the intervention group exhibited a significantly greater pre-post difference in the whole microbiome over time (Mann Whitney U, u=30; p=1.1e-7) using leave-one-out Procrustes analysis (supplemental methods) (</w:t>
      </w:r>
      <w:r>
        <w:rPr>
          <w:rFonts w:ascii="Palatino Linotype" w:hAnsi="Palatino Linotype"/>
        </w:rPr>
        <w:t>figure 5</w:t>
      </w:r>
      <w:r w:rsidRPr="007A2ED2">
        <w:rPr>
          <w:rFonts w:ascii="Palatino Linotype" w:hAnsi="Palatino Linotype"/>
        </w:rPr>
        <w:t xml:space="preserve">). </w:t>
      </w:r>
    </w:p>
    <w:p w14:paraId="120E6125" w14:textId="77777777" w:rsidR="00920888" w:rsidRDefault="00920888" w:rsidP="00920888">
      <w:pPr>
        <w:rPr>
          <w:rFonts w:ascii="Palatino Linotype" w:hAnsi="Palatino Linotype"/>
        </w:rPr>
      </w:pPr>
    </w:p>
    <w:p w14:paraId="4CB173FA" w14:textId="77777777" w:rsidR="00920888" w:rsidRDefault="00920888" w:rsidP="00920888">
      <w:pPr>
        <w:rPr>
          <w:rFonts w:ascii="Palatino Linotype" w:hAnsi="Palatino Linotype"/>
        </w:rPr>
      </w:pPr>
      <w:bookmarkStart w:id="6" w:name="OLE_LINK39"/>
      <w:bookmarkStart w:id="7" w:name="OLE_LINK40"/>
      <w:r w:rsidRPr="00324295">
        <w:rPr>
          <w:noProof/>
        </w:rPr>
        <w:drawing>
          <wp:inline distT="0" distB="0" distL="0" distR="0" wp14:anchorId="55B1B691" wp14:editId="1DB5AF25">
            <wp:extent cx="4814570" cy="3587115"/>
            <wp:effectExtent l="0" t="0" r="0" b="0"/>
            <wp:docPr id="6" name="image1.png" descr="A graph of a patient's reaction&#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A graph of a patient's reaction&#10;&#10;Description automatically generated with medium confidence"/>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4570" cy="3587115"/>
                    </a:xfrm>
                    <a:prstGeom prst="rect">
                      <a:avLst/>
                    </a:prstGeom>
                    <a:noFill/>
                    <a:ln>
                      <a:noFill/>
                    </a:ln>
                  </pic:spPr>
                </pic:pic>
              </a:graphicData>
            </a:graphic>
          </wp:inline>
        </w:drawing>
      </w:r>
    </w:p>
    <w:p w14:paraId="4EBB1141" w14:textId="77777777" w:rsidR="00920888" w:rsidRDefault="00920888" w:rsidP="00920888">
      <w:r>
        <w:lastRenderedPageBreak/>
        <w:t xml:space="preserve">Figure 5: plot depicting the disparity distribution from running a leave-one-out Procrustes analysis on the unweighted </w:t>
      </w:r>
      <w:proofErr w:type="spellStart"/>
      <w:r>
        <w:t>UniFrac</w:t>
      </w:r>
      <w:proofErr w:type="spellEnd"/>
      <w:r>
        <w:t xml:space="preserve"> distance matrix, stratified by treatment group. This plot shows that the differences pre-post at the whole microbiome level are smaller in the control group than the intervention group, suggesting that the intervention has an effect at the whole microbiome level. </w:t>
      </w:r>
    </w:p>
    <w:bookmarkEnd w:id="6"/>
    <w:bookmarkEnd w:id="7"/>
    <w:p w14:paraId="7991BB28" w14:textId="77777777" w:rsidR="00920888" w:rsidRDefault="00920888" w:rsidP="00920888">
      <w:pPr>
        <w:rPr>
          <w:rFonts w:ascii="Palatino Linotype" w:hAnsi="Palatino Linotype"/>
        </w:rPr>
      </w:pPr>
    </w:p>
    <w:p w14:paraId="66C5F7D9" w14:textId="77777777" w:rsidR="00920888" w:rsidRDefault="00920888" w:rsidP="00920888">
      <w:pPr>
        <w:rPr>
          <w:rFonts w:ascii="Palatino Linotype" w:hAnsi="Palatino Linotype"/>
        </w:rPr>
      </w:pPr>
      <w:r w:rsidRPr="007A2ED2">
        <w:rPr>
          <w:rFonts w:ascii="Palatino Linotype" w:hAnsi="Palatino Linotype"/>
        </w:rPr>
        <w:t xml:space="preserve">We further observed a significant reduction in the differences among subject microbiomes with the intervention (Mann Whitney U, p=3.06e-9) with a leave-one-out </w:t>
      </w:r>
      <w:bookmarkStart w:id="8" w:name="OLE_LINK41"/>
      <w:bookmarkStart w:id="9" w:name="OLE_LINK42"/>
      <w:r w:rsidRPr="007A2ED2">
        <w:rPr>
          <w:rFonts w:ascii="Palatino Linotype" w:hAnsi="Palatino Linotype"/>
        </w:rPr>
        <w:t>Convex Hull analysis (supplemental methods). No difference in the distribution of Convex Hull volumes was observed in the control group between baseline and 20 weeks (f</w:t>
      </w:r>
      <w:r>
        <w:rPr>
          <w:rFonts w:ascii="Palatino Linotype" w:hAnsi="Palatino Linotype"/>
        </w:rPr>
        <w:t>igure 6</w:t>
      </w:r>
      <w:r w:rsidRPr="007A2ED2">
        <w:rPr>
          <w:rFonts w:ascii="Palatino Linotype" w:hAnsi="Palatino Linotype"/>
        </w:rPr>
        <w:t>, Mann Whitney U, u=0; p=0.392). These results suggest that no change occurred in the control group, but the significant reduction in volume of microbiome configuration space occupied by the intervention subjects suggests they change to similar microbiomes overall during the intervention.</w:t>
      </w:r>
    </w:p>
    <w:p w14:paraId="53C22582" w14:textId="77777777" w:rsidR="00920888" w:rsidRDefault="00920888" w:rsidP="00920888">
      <w:pPr>
        <w:rPr>
          <w:rFonts w:ascii="Palatino Linotype" w:hAnsi="Palatino Linotype"/>
        </w:rPr>
      </w:pPr>
    </w:p>
    <w:p w14:paraId="5A25D8B9" w14:textId="77777777" w:rsidR="00920888" w:rsidRDefault="00920888" w:rsidP="00920888">
      <w:bookmarkStart w:id="10" w:name="OLE_LINK43"/>
      <w:bookmarkStart w:id="11" w:name="OLE_LINK44"/>
      <w:r>
        <w:rPr>
          <w:noProof/>
        </w:rPr>
        <w:drawing>
          <wp:anchor distT="114300" distB="114300" distL="114300" distR="114300" simplePos="0" relativeHeight="251659264" behindDoc="0" locked="0" layoutInCell="1" allowOverlap="1" wp14:anchorId="5E0CE971" wp14:editId="30648D70">
            <wp:simplePos x="0" y="0"/>
            <wp:positionH relativeFrom="column">
              <wp:posOffset>0</wp:posOffset>
            </wp:positionH>
            <wp:positionV relativeFrom="paragraph">
              <wp:posOffset>280035</wp:posOffset>
            </wp:positionV>
            <wp:extent cx="4891405" cy="3660775"/>
            <wp:effectExtent l="0" t="0" r="0" b="0"/>
            <wp:wrapTopAndBottom/>
            <wp:docPr id="1731723356" name="image2.png" descr="A diagram of a patient's number&#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A diagram of a patient's number&#10;&#10;Description automatically generated with medium confidence"/>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1405" cy="3660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F80BA4" w14:textId="77777777" w:rsidR="00920888" w:rsidRDefault="00920888" w:rsidP="00920888"/>
    <w:p w14:paraId="5EE39BFF" w14:textId="77777777" w:rsidR="00920888" w:rsidRDefault="00920888" w:rsidP="00920888">
      <w:r>
        <w:t xml:space="preserve">Figure 6: plot depicting total volumes from a leave-one-out convex hull analysis on principal coordinates of the unweighted </w:t>
      </w:r>
      <w:proofErr w:type="spellStart"/>
      <w:r>
        <w:t>UniFrac</w:t>
      </w:r>
      <w:proofErr w:type="spellEnd"/>
      <w:r>
        <w:t xml:space="preserve"> distance matrix, stratified by timepoint and treatment group. Significance levels are denoted by asterisks: '***' indicates a p-value &lt; 0.0001, signifying a highly statistically significant correlation between groups based on the Mann-Whitney U test, while “</w:t>
      </w:r>
      <w:proofErr w:type="spellStart"/>
      <w:r>
        <w:t>n.s</w:t>
      </w:r>
      <w:proofErr w:type="spellEnd"/>
      <w:r>
        <w:t xml:space="preserve">.” indicates no significant correlation between groups. This analysis demonstrates that </w:t>
      </w:r>
      <w:r>
        <w:lastRenderedPageBreak/>
        <w:t>the control group occupied the same volume of microbiome configuration space pre- and post-treatment, but that the treatment group started off with greater spread and converged on smaller spread after treatment, suggesting that the treatment resulted in more similar microbiomes.</w:t>
      </w:r>
    </w:p>
    <w:bookmarkEnd w:id="8"/>
    <w:bookmarkEnd w:id="9"/>
    <w:bookmarkEnd w:id="10"/>
    <w:bookmarkEnd w:id="11"/>
    <w:p w14:paraId="5CE4646B" w14:textId="77777777" w:rsidR="00920888" w:rsidRDefault="00920888" w:rsidP="00920888">
      <w:pPr>
        <w:rPr>
          <w:rFonts w:ascii="Palatino Linotype" w:hAnsi="Palatino Linotype"/>
        </w:rPr>
      </w:pPr>
    </w:p>
    <w:p w14:paraId="40ED5475" w14:textId="77777777" w:rsidR="00920888" w:rsidRDefault="00920888" w:rsidP="00920888">
      <w:pPr>
        <w:rPr>
          <w:rFonts w:ascii="Palatino Linotype" w:hAnsi="Palatino Linotype"/>
        </w:rPr>
      </w:pPr>
    </w:p>
    <w:p w14:paraId="6BCDE272" w14:textId="77777777" w:rsidR="00920888" w:rsidRDefault="00920888" w:rsidP="00920888">
      <w:pPr>
        <w:ind w:right="-180"/>
        <w:rPr>
          <w:rFonts w:ascii="Palatino Linotype" w:hAnsi="Palatino Linotype"/>
        </w:rPr>
      </w:pPr>
      <w:r>
        <w:rPr>
          <w:rFonts w:ascii="Palatino Linotype" w:hAnsi="Palatino Linotype"/>
        </w:rPr>
        <w:t>Also</w:t>
      </w:r>
      <w:r w:rsidRPr="007A2ED2">
        <w:rPr>
          <w:rFonts w:ascii="Palatino Linotype" w:hAnsi="Palatino Linotype"/>
        </w:rPr>
        <w:t xml:space="preserve">, we adapted the </w:t>
      </w:r>
      <w:proofErr w:type="spellStart"/>
      <w:r w:rsidRPr="007A2ED2">
        <w:rPr>
          <w:rFonts w:ascii="Palatino Linotype" w:hAnsi="Palatino Linotype"/>
        </w:rPr>
        <w:t>BIRDMAn</w:t>
      </w:r>
      <w:proofErr w:type="spellEnd"/>
      <w:r w:rsidRPr="007A2ED2">
        <w:rPr>
          <w:rFonts w:ascii="Palatino Linotype" w:hAnsi="Palatino Linotype"/>
        </w:rPr>
        <w:t xml:space="preserve"> Bayesian inferential regression differential abundance model to identify the Amplicon Sequence Variants </w:t>
      </w:r>
      <w:r>
        <w:rPr>
          <w:rFonts w:ascii="Palatino Linotype" w:hAnsi="Palatino Linotype"/>
        </w:rPr>
        <w:t>(</w:t>
      </w:r>
      <w:r w:rsidRPr="007A2ED2">
        <w:rPr>
          <w:rFonts w:ascii="Palatino Linotype" w:hAnsi="Palatino Linotype"/>
        </w:rPr>
        <w:t>ASV</w:t>
      </w:r>
      <w:r>
        <w:rPr>
          <w:rFonts w:ascii="Palatino Linotype" w:hAnsi="Palatino Linotype"/>
        </w:rPr>
        <w:t>)</w:t>
      </w:r>
      <w:r w:rsidRPr="007A2ED2">
        <w:rPr>
          <w:rFonts w:ascii="Palatino Linotype" w:hAnsi="Palatino Linotype"/>
        </w:rPr>
        <w:t xml:space="preserve"> that changed specifically between the pre-intervention timepoint and the post-intervention timepoint in the intervention but not the control group.</w:t>
      </w:r>
      <w:r>
        <w:rPr>
          <w:rStyle w:val="EndnoteReference"/>
          <w:rFonts w:ascii="Palatino Linotype" w:eastAsiaTheme="majorEastAsia" w:hAnsi="Palatino Linotype"/>
        </w:rPr>
        <w:endnoteReference w:id="30"/>
      </w:r>
      <w:r w:rsidRPr="007A2ED2">
        <w:rPr>
          <w:rFonts w:ascii="Palatino Linotype" w:hAnsi="Palatino Linotype"/>
        </w:rPr>
        <w:t xml:space="preserve"> This sensitive statistical method designed for microbiome data tests which ASV</w:t>
      </w:r>
      <w:r>
        <w:rPr>
          <w:rFonts w:ascii="Palatino Linotype" w:hAnsi="Palatino Linotype"/>
        </w:rPr>
        <w:t>s</w:t>
      </w:r>
      <w:r w:rsidRPr="007A2ED2">
        <w:rPr>
          <w:rFonts w:ascii="Palatino Linotype" w:hAnsi="Palatino Linotype"/>
        </w:rPr>
        <w:t xml:space="preserve"> differ between timepoints. ASVs associating with both timepoints were detected (fig</w:t>
      </w:r>
      <w:r>
        <w:rPr>
          <w:rFonts w:ascii="Palatino Linotype" w:hAnsi="Palatino Linotype"/>
        </w:rPr>
        <w:t>ure 7</w:t>
      </w:r>
      <w:r w:rsidRPr="007A2ED2">
        <w:rPr>
          <w:rFonts w:ascii="Palatino Linotype" w:hAnsi="Palatino Linotype"/>
        </w:rPr>
        <w:t>). Positive values are associated with baseline, and negative values associated with 20-weeks. A log ratio was formed from the differential taxa, which exhibits a significant difference between timepoints for the intervention group but not the control group (fig</w:t>
      </w:r>
      <w:r>
        <w:rPr>
          <w:rFonts w:ascii="Palatino Linotype" w:hAnsi="Palatino Linotype"/>
        </w:rPr>
        <w:t>ure 8</w:t>
      </w:r>
      <w:r w:rsidRPr="007A2ED2">
        <w:rPr>
          <w:rFonts w:ascii="Palatino Linotype" w:hAnsi="Palatino Linotype"/>
        </w:rPr>
        <w:t xml:space="preserve">, paired </w:t>
      </w:r>
      <w:r>
        <w:rPr>
          <w:rFonts w:ascii="Palatino Linotype" w:hAnsi="Palatino Linotype"/>
        </w:rPr>
        <w:t>t</w:t>
      </w:r>
      <w:r w:rsidRPr="007A2ED2">
        <w:rPr>
          <w:rFonts w:ascii="Palatino Linotype" w:hAnsi="Palatino Linotype"/>
        </w:rPr>
        <w:t xml:space="preserve">-test, Control t=-0.383, p=0.706; Intervention t=-5.88; p=1.17e-5). </w:t>
      </w:r>
    </w:p>
    <w:p w14:paraId="5475165D" w14:textId="77777777" w:rsidR="00920888" w:rsidRDefault="00920888" w:rsidP="00920888">
      <w:pPr>
        <w:rPr>
          <w:rFonts w:ascii="Palatino Linotype" w:hAnsi="Palatino Linotype"/>
        </w:rPr>
      </w:pPr>
      <w:bookmarkStart w:id="12" w:name="OLE_LINK45"/>
      <w:bookmarkStart w:id="13" w:name="OLE_LINK46"/>
    </w:p>
    <w:p w14:paraId="2AE7DDA8" w14:textId="77777777" w:rsidR="00920888" w:rsidRDefault="00920888" w:rsidP="00920888">
      <w:pPr>
        <w:rPr>
          <w:rFonts w:ascii="Palatino Linotype" w:hAnsi="Palatino Linotype"/>
        </w:rPr>
      </w:pPr>
      <w:r w:rsidRPr="00BC0025">
        <w:rPr>
          <w:noProof/>
        </w:rPr>
        <w:lastRenderedPageBreak/>
        <w:drawing>
          <wp:inline distT="0" distB="0" distL="0" distR="0" wp14:anchorId="1C92BF0E" wp14:editId="44B84CDC">
            <wp:extent cx="4439285" cy="7494905"/>
            <wp:effectExtent l="0" t="0" r="0" b="0"/>
            <wp:docPr id="7" name="image4.png"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Description automatically generated"/>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9285" cy="7494905"/>
                    </a:xfrm>
                    <a:prstGeom prst="rect">
                      <a:avLst/>
                    </a:prstGeom>
                    <a:noFill/>
                    <a:ln>
                      <a:noFill/>
                    </a:ln>
                  </pic:spPr>
                </pic:pic>
              </a:graphicData>
            </a:graphic>
          </wp:inline>
        </w:drawing>
      </w:r>
    </w:p>
    <w:p w14:paraId="1C2F30C7" w14:textId="77777777" w:rsidR="00920888" w:rsidRDefault="00920888" w:rsidP="00920888">
      <w:r>
        <w:t xml:space="preserve">Figure 7: plot visualizing the top 10 and bottom 10 differentially abundant taxa identified using </w:t>
      </w:r>
      <w:proofErr w:type="spellStart"/>
      <w:r>
        <w:t>BIRDMAn</w:t>
      </w:r>
      <w:proofErr w:type="spellEnd"/>
      <w:r>
        <w:t xml:space="preserve"> within the intervention group with timepoint as a fixed effect and subject as a random effect. </w:t>
      </w:r>
    </w:p>
    <w:bookmarkEnd w:id="12"/>
    <w:bookmarkEnd w:id="13"/>
    <w:p w14:paraId="596F055A" w14:textId="77777777" w:rsidR="00920888" w:rsidRDefault="00920888" w:rsidP="00920888">
      <w:pPr>
        <w:rPr>
          <w:rFonts w:ascii="Palatino Linotype" w:hAnsi="Palatino Linotype"/>
        </w:rPr>
      </w:pPr>
    </w:p>
    <w:p w14:paraId="132D3D57" w14:textId="77777777" w:rsidR="00920888" w:rsidRDefault="00920888" w:rsidP="00920888">
      <w:pPr>
        <w:rPr>
          <w:rFonts w:ascii="Palatino Linotype" w:hAnsi="Palatino Linotype"/>
        </w:rPr>
      </w:pPr>
    </w:p>
    <w:p w14:paraId="4996FECF" w14:textId="77777777" w:rsidR="00920888" w:rsidRDefault="00920888" w:rsidP="00920888">
      <w:pPr>
        <w:rPr>
          <w:rFonts w:ascii="Palatino Linotype" w:hAnsi="Palatino Linotype"/>
        </w:rPr>
      </w:pPr>
    </w:p>
    <w:p w14:paraId="40BA1AA0" w14:textId="77777777" w:rsidR="00920888" w:rsidRDefault="00920888" w:rsidP="00920888">
      <w:pPr>
        <w:rPr>
          <w:rFonts w:ascii="Palatino Linotype" w:hAnsi="Palatino Linotype"/>
        </w:rPr>
      </w:pPr>
    </w:p>
    <w:p w14:paraId="3E9C3448" w14:textId="77777777" w:rsidR="00920888" w:rsidRDefault="00920888" w:rsidP="00920888">
      <w:pPr>
        <w:rPr>
          <w:rFonts w:ascii="Palatino Linotype" w:hAnsi="Palatino Linotype"/>
        </w:rPr>
      </w:pPr>
    </w:p>
    <w:p w14:paraId="098E84ED" w14:textId="77777777" w:rsidR="00920888" w:rsidRDefault="00920888" w:rsidP="00920888">
      <w:pPr>
        <w:rPr>
          <w:rFonts w:ascii="Palatino Linotype" w:hAnsi="Palatino Linotype"/>
        </w:rPr>
      </w:pPr>
      <w:bookmarkStart w:id="14" w:name="OLE_LINK47"/>
      <w:bookmarkStart w:id="15" w:name="OLE_LINK48"/>
      <w:r w:rsidRPr="00B612D3">
        <w:rPr>
          <w:noProof/>
        </w:rPr>
        <w:drawing>
          <wp:inline distT="0" distB="0" distL="0" distR="0" wp14:anchorId="6D69666A" wp14:editId="6B8B6B98">
            <wp:extent cx="5939790" cy="4642485"/>
            <wp:effectExtent l="0" t="0" r="0" b="0"/>
            <wp:docPr id="8" name="image3.png" descr="A computer screen shot of a networ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descr="A computer screen shot of a network&#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4642485"/>
                    </a:xfrm>
                    <a:prstGeom prst="rect">
                      <a:avLst/>
                    </a:prstGeom>
                    <a:noFill/>
                    <a:ln>
                      <a:noFill/>
                    </a:ln>
                  </pic:spPr>
                </pic:pic>
              </a:graphicData>
            </a:graphic>
          </wp:inline>
        </w:drawing>
      </w:r>
    </w:p>
    <w:p w14:paraId="3B8E389D" w14:textId="77777777" w:rsidR="00920888" w:rsidRDefault="00920888" w:rsidP="00920888">
      <w:pPr>
        <w:rPr>
          <w:rFonts w:ascii="Palatino Linotype" w:hAnsi="Palatino Linotype"/>
        </w:rPr>
      </w:pPr>
    </w:p>
    <w:p w14:paraId="5A1EA192" w14:textId="77777777" w:rsidR="00920888" w:rsidRDefault="00920888" w:rsidP="00920888">
      <w:r>
        <w:t xml:space="preserve">Figure 8: plot depicting log-ratios of differentially abundant taxa at baseline and 20 weeks using the ASVs identified as differential between timepoints in the intervention group. n=41 subjects at baseline, and n=43 subjects at 20 weeks had non-zero sums for the numerator and denominator taxa. To account for this, only subjects with log ratios at both timepoints were included (n=38). Significance was tested with a paired T-test which assumes related samples (Control: t=-0.383, p=0.706; Intervention t=-5.88, p=1.17e-5). These results suggest the intervention is associated with changes in the microbiome, which were not observed in the control group, and offers potential taxa of interest for further study. </w:t>
      </w:r>
    </w:p>
    <w:bookmarkEnd w:id="14"/>
    <w:bookmarkEnd w:id="15"/>
    <w:p w14:paraId="64294344" w14:textId="77777777" w:rsidR="00920888" w:rsidRDefault="00920888" w:rsidP="00920888">
      <w:pPr>
        <w:rPr>
          <w:rFonts w:ascii="Palatino Linotype" w:hAnsi="Palatino Linotype"/>
        </w:rPr>
      </w:pPr>
    </w:p>
    <w:p w14:paraId="1E0670C1" w14:textId="77777777" w:rsidR="00920888" w:rsidRDefault="00920888" w:rsidP="00920888">
      <w:pPr>
        <w:rPr>
          <w:rFonts w:ascii="Palatino Linotype" w:hAnsi="Palatino Linotype"/>
        </w:rPr>
      </w:pPr>
      <w:r w:rsidRPr="00F76339">
        <w:rPr>
          <w:rFonts w:ascii="Palatino Linotype" w:hAnsi="Palatino Linotype"/>
        </w:rPr>
        <w:t>In</w:t>
      </w:r>
      <w:r>
        <w:rPr>
          <w:rFonts w:ascii="Palatino Linotype" w:hAnsi="Palatino Linotype"/>
        </w:rPr>
        <w:t> </w:t>
      </w:r>
      <w:r w:rsidRPr="00F76339">
        <w:rPr>
          <w:rFonts w:ascii="Palatino Linotype" w:hAnsi="Palatino Linotype"/>
        </w:rPr>
        <w:t xml:space="preserve">humans, there is mixed evidence for interpretation of </w:t>
      </w:r>
      <w:proofErr w:type="spellStart"/>
      <w:r w:rsidRPr="004C2A42">
        <w:rPr>
          <w:rFonts w:ascii="Palatino Linotype" w:hAnsi="Palatino Linotype"/>
          <w:i/>
          <w:iCs/>
        </w:rPr>
        <w:t>Prevotella</w:t>
      </w:r>
      <w:proofErr w:type="spellEnd"/>
      <w:r w:rsidRPr="00F76339">
        <w:rPr>
          <w:rFonts w:ascii="Palatino Linotype" w:hAnsi="Palatino Linotype"/>
        </w:rPr>
        <w:t xml:space="preserve"> in AD patients, with some evidence for its enrichment in AD patients and negative correlation with </w:t>
      </w:r>
      <w:r>
        <w:rPr>
          <w:rFonts w:ascii="Palatino Linotype" w:hAnsi="Palatino Linotype"/>
        </w:rPr>
        <w:t>cognition and function</w:t>
      </w:r>
      <w:r w:rsidRPr="00F76339">
        <w:rPr>
          <w:rFonts w:ascii="Palatino Linotype" w:hAnsi="Palatino Linotype"/>
        </w:rPr>
        <w:t xml:space="preserve"> [10.3233/JAD-201040], and some evidence for its negative correlation with cognitive impairment,</w:t>
      </w:r>
      <w:r>
        <w:rPr>
          <w:rStyle w:val="EndnoteReference"/>
          <w:rFonts w:ascii="Palatino Linotype" w:eastAsiaTheme="majorEastAsia" w:hAnsi="Palatino Linotype"/>
        </w:rPr>
        <w:endnoteReference w:id="31"/>
      </w:r>
      <w:r w:rsidRPr="00F76339">
        <w:rPr>
          <w:rFonts w:ascii="Palatino Linotype" w:hAnsi="Palatino Linotype"/>
        </w:rPr>
        <w:t xml:space="preserve"> suggesting that further investigation using </w:t>
      </w:r>
      <w:r w:rsidRPr="00F76339">
        <w:rPr>
          <w:rFonts w:ascii="Palatino Linotype" w:hAnsi="Palatino Linotype"/>
        </w:rPr>
        <w:lastRenderedPageBreak/>
        <w:t xml:space="preserve">higher-resolution techniques such as shotgun metagenomics would be rewarding. </w:t>
      </w:r>
      <w:proofErr w:type="spellStart"/>
      <w:r w:rsidRPr="00F76339">
        <w:rPr>
          <w:rFonts w:ascii="Palatino Linotype" w:hAnsi="Palatino Linotype"/>
          <w:i/>
        </w:rPr>
        <w:t>Turicibacter</w:t>
      </w:r>
      <w:proofErr w:type="spellEnd"/>
      <w:r w:rsidRPr="00F76339">
        <w:rPr>
          <w:rFonts w:ascii="Palatino Linotype" w:hAnsi="Palatino Linotype"/>
        </w:rPr>
        <w:t xml:space="preserve"> is implicated in regulation of gut serotonin (5-HT) production, also prompting further investigation.</w:t>
      </w:r>
      <w:r>
        <w:rPr>
          <w:rStyle w:val="EndnoteReference"/>
          <w:rFonts w:ascii="Palatino Linotype" w:eastAsiaTheme="majorEastAsia" w:hAnsi="Palatino Linotype"/>
        </w:rPr>
        <w:endnoteReference w:id="32"/>
      </w:r>
      <w:r>
        <w:rPr>
          <w:rFonts w:ascii="Palatino Linotype" w:hAnsi="Palatino Linotype"/>
        </w:rPr>
        <w:t xml:space="preserve"> </w:t>
      </w:r>
      <w:r w:rsidRPr="00F76339">
        <w:rPr>
          <w:rFonts w:ascii="Palatino Linotype" w:hAnsi="Palatino Linotype"/>
        </w:rPr>
        <w:t>Therefore, follow-up studies to determine whether these specific taxa or individual strains within them act as biomarkers that predict AD progression or response to treatments for AD would be valuable.</w:t>
      </w:r>
    </w:p>
    <w:p w14:paraId="782068E9" w14:textId="77777777" w:rsidR="00920888" w:rsidRDefault="00920888" w:rsidP="00920888">
      <w:pPr>
        <w:rPr>
          <w:rFonts w:ascii="Palatino Linotype" w:hAnsi="Palatino Linotype"/>
        </w:rPr>
      </w:pPr>
    </w:p>
    <w:p w14:paraId="0E65B9D2" w14:textId="77777777" w:rsidR="00920888" w:rsidRDefault="00920888" w:rsidP="00920888">
      <w:pPr>
        <w:rPr>
          <w:rFonts w:ascii="Palatino Linotype" w:hAnsi="Palatino Linotype"/>
        </w:rPr>
      </w:pPr>
      <w:r>
        <w:rPr>
          <w:rFonts w:ascii="Palatino Linotype" w:hAnsi="Palatino Linotype"/>
        </w:rPr>
        <w:t>Taken together</w:t>
      </w:r>
      <w:r w:rsidRPr="00F76339">
        <w:rPr>
          <w:rFonts w:ascii="Palatino Linotype" w:hAnsi="Palatino Linotype"/>
        </w:rPr>
        <w:t xml:space="preserve">, </w:t>
      </w:r>
      <w:r>
        <w:rPr>
          <w:rFonts w:ascii="Palatino Linotype" w:hAnsi="Palatino Linotype"/>
        </w:rPr>
        <w:t xml:space="preserve">these </w:t>
      </w:r>
      <w:r w:rsidRPr="00F76339">
        <w:rPr>
          <w:rFonts w:ascii="Palatino Linotype" w:hAnsi="Palatino Linotype"/>
        </w:rPr>
        <w:t>four complementary statistical approaches with different underlying bases suggest that the intervention changes the overall microbiome more than would be expected by chance over the same period</w:t>
      </w:r>
      <w:r>
        <w:rPr>
          <w:rFonts w:ascii="Palatino Linotype" w:hAnsi="Palatino Linotype"/>
        </w:rPr>
        <w:t xml:space="preserve"> in ways that may be beneficial</w:t>
      </w:r>
      <w:r w:rsidRPr="00F76339">
        <w:rPr>
          <w:rFonts w:ascii="Palatino Linotype" w:hAnsi="Palatino Linotype"/>
        </w:rPr>
        <w:t>, and the fourth also provides leads on specific taxa for follow-up.</w:t>
      </w:r>
    </w:p>
    <w:p w14:paraId="6F965479" w14:textId="77777777" w:rsidR="00920888" w:rsidRDefault="00920888" w:rsidP="00920888">
      <w:pPr>
        <w:rPr>
          <w:rFonts w:ascii="Palatino Linotype" w:hAnsi="Palatino Linotype"/>
        </w:rPr>
      </w:pPr>
    </w:p>
    <w:p w14:paraId="7533A615" w14:textId="77777777" w:rsidR="00920888" w:rsidRDefault="00920888" w:rsidP="00920888">
      <w:pPr>
        <w:tabs>
          <w:tab w:val="left" w:pos="709"/>
        </w:tabs>
        <w:autoSpaceDE w:val="0"/>
        <w:autoSpaceDN w:val="0"/>
        <w:adjustRightInd w:val="0"/>
        <w:rPr>
          <w:rFonts w:ascii="Palatino Linotype" w:hAnsi="Palatino Linotype"/>
          <w:color w:val="000000"/>
        </w:rPr>
      </w:pPr>
      <w:r>
        <w:rPr>
          <w:rFonts w:ascii="Palatino Linotype" w:hAnsi="Palatino Linotype"/>
        </w:rPr>
        <w:t>A</w:t>
      </w:r>
      <w:r w:rsidRPr="007A2ED2">
        <w:rPr>
          <w:rFonts w:ascii="Palatino Linotype" w:hAnsi="Palatino Linotype"/>
        </w:rPr>
        <w:t xml:space="preserve">s a complementary approach, we used Mantel tests to identify relationships between the control and </w:t>
      </w:r>
      <w:r>
        <w:rPr>
          <w:rFonts w:ascii="Palatino Linotype" w:hAnsi="Palatino Linotype"/>
        </w:rPr>
        <w:t>intervention group</w:t>
      </w:r>
      <w:r w:rsidRPr="007A2ED2">
        <w:rPr>
          <w:rFonts w:ascii="Palatino Linotype" w:hAnsi="Palatino Linotype"/>
        </w:rPr>
        <w:t xml:space="preserve"> at the whole microbiome level [PMID: 6018555]. The Mantel correlations between timepoints within groups were significant, with greater variation explained in the control group (Mantel using Pearson, control r</w:t>
      </w:r>
      <w:r w:rsidRPr="007A2ED2">
        <w:rPr>
          <w:rFonts w:ascii="Palatino Linotype" w:hAnsi="Palatino Linotype"/>
          <w:vertAlign w:val="superscript"/>
        </w:rPr>
        <w:t>2</w:t>
      </w:r>
      <w:r w:rsidRPr="007A2ED2">
        <w:rPr>
          <w:rFonts w:ascii="Palatino Linotype" w:hAnsi="Palatino Linotype"/>
        </w:rPr>
        <w:t>=0.312, p=0.001; intervention r</w:t>
      </w:r>
      <w:r w:rsidRPr="007A2ED2">
        <w:rPr>
          <w:rFonts w:ascii="Palatino Linotype" w:hAnsi="Palatino Linotype"/>
          <w:vertAlign w:val="superscript"/>
        </w:rPr>
        <w:t>2</w:t>
      </w:r>
      <w:r w:rsidRPr="007A2ED2">
        <w:rPr>
          <w:rFonts w:ascii="Palatino Linotype" w:hAnsi="Palatino Linotype"/>
        </w:rPr>
        <w:t xml:space="preserve">=0.243, p=0.001). This analysis demonstrates that the change in the microbiome is greater in the intervention group than in the control group, because the subject-subject relationships are less correlated in the intervention group. </w:t>
      </w:r>
    </w:p>
    <w:p w14:paraId="597764B2" w14:textId="77777777" w:rsidR="00920888" w:rsidRDefault="00920888" w:rsidP="00920888">
      <w:pPr>
        <w:tabs>
          <w:tab w:val="left" w:pos="709"/>
        </w:tabs>
        <w:autoSpaceDE w:val="0"/>
        <w:autoSpaceDN w:val="0"/>
        <w:adjustRightInd w:val="0"/>
        <w:ind w:left="-360"/>
        <w:rPr>
          <w:rFonts w:ascii="Palatino Linotype" w:hAnsi="Palatino Linotype"/>
          <w:color w:val="000000"/>
        </w:rPr>
      </w:pPr>
    </w:p>
    <w:p w14:paraId="545EDE40" w14:textId="77777777" w:rsidR="00920888" w:rsidRPr="00DE33C2" w:rsidRDefault="00920888" w:rsidP="00920888">
      <w:pPr>
        <w:tabs>
          <w:tab w:val="left" w:pos="709"/>
        </w:tabs>
        <w:autoSpaceDE w:val="0"/>
        <w:autoSpaceDN w:val="0"/>
        <w:adjustRightInd w:val="0"/>
        <w:rPr>
          <w:rFonts w:ascii="Palatino Linotype" w:hAnsi="Palatino Linotype"/>
          <w:color w:val="000000"/>
        </w:rPr>
      </w:pPr>
      <w:r>
        <w:rPr>
          <w:rFonts w:ascii="Palatino Linotype" w:hAnsi="Palatino Linotype"/>
        </w:rPr>
        <w:t>T</w:t>
      </w:r>
      <w:r w:rsidRPr="007A2ED2">
        <w:rPr>
          <w:rFonts w:ascii="Palatino Linotype" w:hAnsi="Palatino Linotype"/>
        </w:rPr>
        <w:t xml:space="preserve">he differences at the whole microbiome level within subject between pre- and post-intervention timepoints differ significantly between the control and intervention groups (Mann Whitney U, u=178722; p=0.023). The null hypothesis for this analysis is that differences in microbiomes between timepoints within an individual are not affected by group membership. </w:t>
      </w:r>
    </w:p>
    <w:p w14:paraId="56811211" w14:textId="77777777" w:rsidR="00920888" w:rsidRPr="007A2ED2" w:rsidRDefault="00920888" w:rsidP="00920888">
      <w:pPr>
        <w:rPr>
          <w:rFonts w:ascii="Palatino Linotype" w:hAnsi="Palatino Linotype"/>
        </w:rPr>
      </w:pPr>
    </w:p>
    <w:p w14:paraId="494709CC" w14:textId="77777777" w:rsidR="00A67711" w:rsidRDefault="00A67711"/>
    <w:sectPr w:rsidR="00A677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E70A" w14:textId="77777777" w:rsidR="00B85B45" w:rsidRDefault="00B85B45" w:rsidP="00920888">
      <w:r>
        <w:separator/>
      </w:r>
    </w:p>
  </w:endnote>
  <w:endnote w:type="continuationSeparator" w:id="0">
    <w:p w14:paraId="06EB8064" w14:textId="77777777" w:rsidR="00B85B45" w:rsidRDefault="00B85B45" w:rsidP="00920888">
      <w:r>
        <w:continuationSeparator/>
      </w:r>
    </w:p>
  </w:endnote>
  <w:endnote w:id="1">
    <w:p w14:paraId="102D28B3" w14:textId="77777777" w:rsidR="00920888" w:rsidRPr="00ED68C9" w:rsidRDefault="00920888" w:rsidP="00920888">
      <w:pPr>
        <w:rPr>
          <w:rFonts w:ascii="Palatino Linotype" w:hAnsi="Palatino Linotype"/>
          <w:sz w:val="20"/>
          <w:szCs w:val="20"/>
        </w:rPr>
      </w:pPr>
    </w:p>
    <w:p w14:paraId="2F7F049D"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Lin J, Smith DL, Esteves K, Drury S. Telomere length measurement by qPCR - Summary of critical factors and recommendations for assay design. Psychoneuroendocrinology. 2019 Jan;99:271-278. doi: 10.1016/j.psyneuen.2018.10.005. Epub 2018 Oct 10. PMID: 30343983; PMCID: PMC6363640.</w:t>
      </w:r>
    </w:p>
    <w:p w14:paraId="36E0CD9B" w14:textId="77777777" w:rsidR="00920888" w:rsidRPr="00ED68C9" w:rsidRDefault="00920888" w:rsidP="00920888">
      <w:pPr>
        <w:pStyle w:val="EndnoteText"/>
      </w:pPr>
    </w:p>
  </w:endnote>
  <w:endnote w:id="2">
    <w:p w14:paraId="693C9397" w14:textId="77777777" w:rsidR="00920888" w:rsidRPr="000F09DD" w:rsidRDefault="00920888" w:rsidP="00920888">
      <w:pPr>
        <w:pStyle w:val="EndnoteText"/>
        <w:rPr>
          <w:rFonts w:cs="Arial"/>
          <w:noProof/>
        </w:rPr>
      </w:pPr>
      <w:r w:rsidRPr="000F09DD">
        <w:rPr>
          <w:rStyle w:val="EndnoteReference"/>
        </w:rPr>
        <w:endnoteRef/>
      </w:r>
      <w:r w:rsidRPr="000F09DD">
        <w:t xml:space="preserve"> </w:t>
      </w:r>
      <w:r w:rsidRPr="000F09DD">
        <w:rPr>
          <w:rFonts w:cs="Arial"/>
          <w:noProof/>
        </w:rPr>
        <w:t>Soininen, P., Kangas, A. J., Würtz, P., Suna, T. &amp; Ala-Korpela, M. Quantitative serum nuclear magnetic resonance metabolomics in cardiovascular epidemiology and genetics. Circ. Cardiovasc. Genet. 8, 192–206 (2015).</w:t>
      </w:r>
      <w:r>
        <w:rPr>
          <w:rFonts w:cs="Arial"/>
          <w:noProof/>
        </w:rPr>
        <w:t xml:space="preserve"> </w:t>
      </w:r>
    </w:p>
    <w:p w14:paraId="53F6F15B" w14:textId="77777777" w:rsidR="00920888" w:rsidRPr="000F09DD" w:rsidRDefault="00920888" w:rsidP="00920888">
      <w:pPr>
        <w:pStyle w:val="EndnoteText"/>
      </w:pPr>
    </w:p>
  </w:endnote>
  <w:endnote w:id="3">
    <w:p w14:paraId="4396004F" w14:textId="77777777" w:rsidR="00920888" w:rsidRPr="000F09DD" w:rsidRDefault="00920888" w:rsidP="00920888">
      <w:pPr>
        <w:pStyle w:val="EndnoteText"/>
        <w:rPr>
          <w:rFonts w:cs="Arial"/>
          <w:noProof/>
        </w:rPr>
      </w:pPr>
      <w:r w:rsidRPr="000F09DD">
        <w:rPr>
          <w:rStyle w:val="EndnoteReference"/>
        </w:rPr>
        <w:endnoteRef/>
      </w:r>
      <w:r w:rsidRPr="000F09DD">
        <w:t xml:space="preserve"> </w:t>
      </w:r>
      <w:r w:rsidRPr="000F09DD">
        <w:rPr>
          <w:rFonts w:cs="Arial"/>
          <w:noProof/>
        </w:rPr>
        <w:t>Soininen, P. et al. High-throughput serum NMR metabonomics for cost-effective holistic studies on systemic metabolism. Analyst 134, 1781–1785 (2009).</w:t>
      </w:r>
    </w:p>
    <w:p w14:paraId="6C969EC7" w14:textId="77777777" w:rsidR="00920888" w:rsidRPr="000F09DD" w:rsidRDefault="00920888" w:rsidP="00920888">
      <w:pPr>
        <w:pStyle w:val="EndnoteText"/>
      </w:pPr>
    </w:p>
  </w:endnote>
  <w:endnote w:id="4">
    <w:p w14:paraId="69562E74" w14:textId="77777777" w:rsidR="00920888" w:rsidRPr="00ED68C9" w:rsidRDefault="00920888" w:rsidP="00920888">
      <w:pPr>
        <w:rPr>
          <w:rFonts w:ascii="Palatino Linotype" w:hAnsi="Palatino Linotype" w:cs="Arial"/>
          <w:vanish/>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sz w:val="20"/>
          <w:szCs w:val="20"/>
        </w:rPr>
        <w:t>Doecke JD, Pérez-Grijalba V, Fandos N, Fowler C, Villemagne VL, Masters CL, Pesini P, Sarasa M; AIBL Research Group. Total Aβ</w:t>
      </w:r>
      <w:r w:rsidRPr="00ED68C9">
        <w:rPr>
          <w:rFonts w:ascii="Palatino Linotype" w:hAnsi="Palatino Linotype"/>
          <w:sz w:val="20"/>
          <w:szCs w:val="20"/>
          <w:vertAlign w:val="subscript"/>
        </w:rPr>
        <w:t>42</w:t>
      </w:r>
      <w:r w:rsidRPr="00ED68C9">
        <w:rPr>
          <w:rFonts w:ascii="Palatino Linotype" w:hAnsi="Palatino Linotype"/>
          <w:sz w:val="20"/>
          <w:szCs w:val="20"/>
        </w:rPr>
        <w:t>/Aβ</w:t>
      </w:r>
      <w:r w:rsidRPr="00ED68C9">
        <w:rPr>
          <w:rFonts w:ascii="Palatino Linotype" w:hAnsi="Palatino Linotype"/>
          <w:sz w:val="20"/>
          <w:szCs w:val="20"/>
          <w:vertAlign w:val="subscript"/>
        </w:rPr>
        <w:t>40</w:t>
      </w:r>
      <w:r w:rsidRPr="00ED68C9">
        <w:rPr>
          <w:rFonts w:ascii="Palatino Linotype" w:hAnsi="Palatino Linotype"/>
          <w:sz w:val="20"/>
          <w:szCs w:val="20"/>
        </w:rPr>
        <w:t> ratio in plasma predicts amyloid-PET status, independent of clinical AD diagnosis. Neurology. 2020 Apr 14;94(15</w:t>
      </w:r>
      <w:r w:rsidRPr="00ED68C9">
        <w:rPr>
          <w:rFonts w:ascii="Palatino Linotype" w:hAnsi="Palatino Linotype"/>
          <w:sz w:val="20"/>
          <w:szCs w:val="20"/>
        </w:rPr>
        <w:t>):e1580-e1591. doi: 10.1212/WNL.0000000000009240. Epub 2020 Mar 16. PMID: 32179698; PMCID: PMC7251518.</w:t>
      </w:r>
      <w:r w:rsidRPr="00ED68C9">
        <w:rPr>
          <w:rFonts w:ascii="Palatino Linotype" w:hAnsi="Palatino Linotype" w:cs="Arial"/>
          <w:vanish/>
          <w:sz w:val="20"/>
          <w:szCs w:val="20"/>
        </w:rPr>
        <w:t>Bottom of Form</w:t>
      </w:r>
    </w:p>
    <w:p w14:paraId="2A410337" w14:textId="77777777" w:rsidR="00920888" w:rsidRPr="00ED68C9" w:rsidRDefault="00920888" w:rsidP="00920888">
      <w:pPr>
        <w:rPr>
          <w:rFonts w:ascii="Palatino Linotype" w:hAnsi="Palatino Linotype"/>
          <w:sz w:val="20"/>
          <w:szCs w:val="20"/>
        </w:rPr>
      </w:pPr>
    </w:p>
    <w:p w14:paraId="1B251E1D" w14:textId="77777777" w:rsidR="00920888" w:rsidRPr="00ED68C9" w:rsidRDefault="00920888" w:rsidP="00920888">
      <w:pPr>
        <w:pStyle w:val="EndnoteText"/>
      </w:pPr>
    </w:p>
  </w:endnote>
  <w:endnote w:id="5">
    <w:p w14:paraId="7A00FCCC"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Noguchi-Shinohara M, Yuki-Nozaki S, Abe C, Mori A, </w:t>
      </w:r>
      <w:r w:rsidRPr="00ED68C9">
        <w:rPr>
          <w:rFonts w:ascii="Palatino Linotype" w:hAnsi="Palatino Linotype" w:cs="Segoe UI"/>
          <w:color w:val="212121"/>
          <w:sz w:val="20"/>
          <w:szCs w:val="20"/>
          <w:shd w:val="clear" w:color="auto" w:fill="FFFFFF"/>
        </w:rPr>
        <w:t>Horimoto M, Yokogawa M, Ishida N, Suga Y, Ishizaki J, Ishimiya M, Nakamura H, Komai K, Nakamura H, Shibata M, Ohara T, Hata J, Ninomiya T, Yamada M; Japan Prospective Studies Collaboration for Aging and Dementia (JPSC-AD) study group. Diabetes Mellitus, Elevated Hemoglobin A1c, and Glycated Albumin Are Associated with the Presence of All-Cause Dementia and Alzheimer's Disease: The JPSC-AD Study. J Alzheimers Dis. 2022;85(1):235-247. doi: 10.3233/JAD-215153. PMID: 34806607.</w:t>
      </w:r>
    </w:p>
    <w:p w14:paraId="12EF1C24" w14:textId="77777777" w:rsidR="00920888" w:rsidRPr="00ED68C9" w:rsidRDefault="00920888" w:rsidP="00920888">
      <w:pPr>
        <w:pStyle w:val="EndnoteText"/>
      </w:pPr>
    </w:p>
  </w:endnote>
  <w:endnote w:id="6">
    <w:p w14:paraId="7A17587B" w14:textId="77777777" w:rsidR="00920888" w:rsidRPr="004F696E"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4F696E">
        <w:rPr>
          <w:rFonts w:ascii="Palatino Linotype" w:hAnsi="Palatino Linotype"/>
          <w:sz w:val="20"/>
          <w:szCs w:val="20"/>
        </w:rPr>
        <w:t xml:space="preserve"> </w:t>
      </w:r>
      <w:r w:rsidRPr="004F696E">
        <w:rPr>
          <w:rFonts w:ascii="Palatino Linotype" w:hAnsi="Palatino Linotype" w:cs="Helvetica Neue"/>
          <w:color w:val="3F3F3F"/>
          <w:sz w:val="20"/>
          <w:szCs w:val="20"/>
        </w:rPr>
        <w:t xml:space="preserve">Arnold SE, </w:t>
      </w:r>
      <w:r w:rsidRPr="004F696E">
        <w:rPr>
          <w:rFonts w:ascii="Palatino Linotype" w:hAnsi="Palatino Linotype" w:cs="Helvetica Neue"/>
          <w:color w:val="3F3F3F"/>
          <w:sz w:val="20"/>
          <w:szCs w:val="20"/>
        </w:rPr>
        <w:t>Arvanitakis Z, Macauley-Rambach SL, Koenig AM, Wang HY, Ahima RS, Craft S, Gandy S, Buettner C, Stoeckel LE, Holtzman DM, Nathan DM. Brain insulin resistance in type 2 diabetes and Alzheimer disease: concepts and conundrums. Nat Rev Neurol. 2018;14(3):168-81. Epub 2018/01/30. doi: 10.1038/nrneurol.2017.185. PubMed PMID: 29377010; PMCID: PMC6098968.</w:t>
      </w:r>
    </w:p>
    <w:p w14:paraId="6CAA6ADB" w14:textId="77777777" w:rsidR="00920888" w:rsidRPr="00ED68C9" w:rsidRDefault="00920888" w:rsidP="00920888">
      <w:pPr>
        <w:pStyle w:val="EndnoteText"/>
      </w:pPr>
    </w:p>
  </w:endnote>
  <w:endnote w:id="7">
    <w:p w14:paraId="60D23D48"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Wang JH, Guo L, Wang S, Yu NW, Guo FQ. The potential pharmacological mechanisms of β-hydroxybutyrate for improving cognitive functions. </w:t>
      </w:r>
      <w:r w:rsidRPr="00ED68C9">
        <w:rPr>
          <w:rFonts w:ascii="Palatino Linotype" w:hAnsi="Palatino Linotype" w:cs="Segoe UI"/>
          <w:color w:val="212121"/>
          <w:sz w:val="20"/>
          <w:szCs w:val="20"/>
          <w:shd w:val="clear" w:color="auto" w:fill="FFFFFF"/>
        </w:rPr>
        <w:t xml:space="preserve">Curr Opin Pharmacol. 2022 </w:t>
      </w:r>
      <w:r w:rsidRPr="00ED68C9">
        <w:rPr>
          <w:rFonts w:ascii="Palatino Linotype" w:hAnsi="Palatino Linotype" w:cs="Segoe UI"/>
          <w:color w:val="212121"/>
          <w:sz w:val="20"/>
          <w:szCs w:val="20"/>
          <w:shd w:val="clear" w:color="auto" w:fill="FFFFFF"/>
        </w:rPr>
        <w:t>Feb;62:15-22. doi: 10.1016/j.coph.2021.10.005. Epub 2021 Dec 7. PMID: 34891124.</w:t>
      </w:r>
    </w:p>
    <w:p w14:paraId="7C85D862" w14:textId="77777777" w:rsidR="00920888" w:rsidRPr="00ED68C9" w:rsidRDefault="00920888" w:rsidP="00920888">
      <w:pPr>
        <w:pStyle w:val="EndnoteText"/>
      </w:pPr>
    </w:p>
  </w:endnote>
  <w:endnote w:id="8">
    <w:p w14:paraId="35CB10A7"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Wingo AP, </w:t>
      </w:r>
      <w:r w:rsidRPr="00ED68C9">
        <w:rPr>
          <w:rFonts w:ascii="Palatino Linotype" w:hAnsi="Palatino Linotype" w:cs="Segoe UI"/>
          <w:color w:val="212121"/>
          <w:sz w:val="20"/>
          <w:szCs w:val="20"/>
          <w:shd w:val="clear" w:color="auto" w:fill="FFFFFF"/>
        </w:rPr>
        <w:t>Vattathil SM, Liu J, Fan W, Cutler DJ, Levey AI, Schneider JA, Bennett DA, Wingo TS. LDL cholesterol is associated with higher AD neuropathology burden independent of APOE. J Neurol Neurosurg Psychiatry. 2022 Jun 30;93(9):930–8. doi: 10.1136/jnnp-2021-328164. Epub ahead of print. PMID: 35772923; PMCID: PMC9380478.</w:t>
      </w:r>
    </w:p>
    <w:p w14:paraId="4A4AA378" w14:textId="77777777" w:rsidR="00920888" w:rsidRPr="00ED68C9" w:rsidRDefault="00920888" w:rsidP="00920888">
      <w:pPr>
        <w:pStyle w:val="EndnoteText"/>
      </w:pPr>
    </w:p>
  </w:endnote>
  <w:endnote w:id="9">
    <w:p w14:paraId="2C6E1367" w14:textId="77777777" w:rsidR="00920888" w:rsidRPr="004622EA" w:rsidRDefault="00920888" w:rsidP="00920888">
      <w:pPr>
        <w:pStyle w:val="EndnoteText"/>
        <w:rPr>
          <w:rFonts w:cs="Segoe UI"/>
          <w:color w:val="212121"/>
          <w:shd w:val="clear" w:color="auto" w:fill="FFFFFF"/>
        </w:rPr>
      </w:pPr>
      <w:r w:rsidRPr="004622EA">
        <w:rPr>
          <w:rStyle w:val="EndnoteReference"/>
        </w:rPr>
        <w:endnoteRef/>
      </w:r>
      <w:r w:rsidRPr="004622EA">
        <w:t xml:space="preserve"> </w:t>
      </w:r>
      <w:r w:rsidRPr="004622EA">
        <w:rPr>
          <w:rFonts w:cs="Segoe UI"/>
          <w:color w:val="212121"/>
          <w:shd w:val="clear" w:color="auto" w:fill="FFFFFF"/>
        </w:rPr>
        <w:t xml:space="preserve">Kivisäkk P, Carlyle BC, Sweeney T, Trombetta BA, LaCasse K, El-Mufti L, Tuncali I, Chibnik LB, Das S, Scherzer CR, Johnson KA, Dickerson BC, Gomez-Isla T, Blacker D, Oakley DH, Frosch MP, Hyman BT, Aghvanyan A, Bathala P, Campbell C, Sigal G, Stengelin M, Arnold SE. Plasma biomarkers for diagnosis of Alzheimer's disease and prediction of cognitive decline in individuals with mild cognitive impairment. Front Neurol. 2023 Mar </w:t>
      </w:r>
      <w:r w:rsidRPr="004622EA">
        <w:rPr>
          <w:rFonts w:cs="Segoe UI"/>
          <w:color w:val="212121"/>
          <w:shd w:val="clear" w:color="auto" w:fill="FFFFFF"/>
        </w:rPr>
        <w:t>2;14:1069411. doi: 10.3389/fneur.2023.1069411. PMID: 36937522; PMCID: PMC10018178.</w:t>
      </w:r>
    </w:p>
    <w:p w14:paraId="15EB23F9" w14:textId="77777777" w:rsidR="00920888" w:rsidRDefault="00920888" w:rsidP="00920888">
      <w:pPr>
        <w:pStyle w:val="EndnoteText"/>
      </w:pPr>
    </w:p>
  </w:endnote>
  <w:endnote w:id="10">
    <w:p w14:paraId="78CFBADB"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olor w:val="212121"/>
          <w:sz w:val="20"/>
          <w:szCs w:val="20"/>
          <w:shd w:val="clear" w:color="auto" w:fill="FFFFFF"/>
        </w:rPr>
        <w:t xml:space="preserve">Meng J, Lei P. Plasma pTau181 as a biomarker for Alzheimer's disease. </w:t>
      </w:r>
      <w:r w:rsidRPr="00ED68C9">
        <w:rPr>
          <w:rFonts w:ascii="Palatino Linotype" w:hAnsi="Palatino Linotype"/>
          <w:color w:val="212121"/>
          <w:sz w:val="20"/>
          <w:szCs w:val="20"/>
          <w:shd w:val="clear" w:color="auto" w:fill="FFFFFF"/>
        </w:rPr>
        <w:t>MedComm (2020). 2020 May 22;1(1):74-76. doi: 10.1002/mco2.1. PMID: 34766110; PMCID: PMC8489665.</w:t>
      </w:r>
    </w:p>
    <w:p w14:paraId="544054A0" w14:textId="77777777" w:rsidR="00920888" w:rsidRPr="00ED68C9" w:rsidRDefault="00920888" w:rsidP="00920888">
      <w:pPr>
        <w:pStyle w:val="EndnoteText"/>
      </w:pPr>
    </w:p>
  </w:endnote>
  <w:endnote w:id="11">
    <w:p w14:paraId="42FB5BB6"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olor w:val="212121"/>
          <w:sz w:val="20"/>
          <w:szCs w:val="20"/>
          <w:shd w:val="clear" w:color="auto" w:fill="FFFFFF"/>
        </w:rPr>
        <w:t xml:space="preserve">Kim KY, Shin KY, Chang KA. GFAP as a Potential Biomarker for Alzheimer's Disease: A Systematic Review and Meta-Analysis. Cells. 2023 May 4;12(9):1309. </w:t>
      </w:r>
      <w:r w:rsidRPr="00ED68C9">
        <w:rPr>
          <w:rFonts w:ascii="Palatino Linotype" w:hAnsi="Palatino Linotype"/>
          <w:color w:val="212121"/>
          <w:sz w:val="20"/>
          <w:szCs w:val="20"/>
          <w:shd w:val="clear" w:color="auto" w:fill="FFFFFF"/>
        </w:rPr>
        <w:t>doi: 10.3390/cells12091309. PMID: 37174709; PMCID: PMC10177296.</w:t>
      </w:r>
    </w:p>
    <w:p w14:paraId="3FFA29F0" w14:textId="77777777" w:rsidR="00920888" w:rsidRPr="00ED68C9" w:rsidRDefault="00920888" w:rsidP="00920888">
      <w:pPr>
        <w:pStyle w:val="EndnoteText"/>
      </w:pPr>
    </w:p>
  </w:endnote>
  <w:endnote w:id="12">
    <w:p w14:paraId="7B27A756"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Royall DR. Reader Response: Impact of C-Reactive Protein on Cognition and Alzheimer Disease Biomarkers in Homozygous APOE </w:t>
      </w:r>
      <w:r w:rsidRPr="00ED68C9">
        <w:rPr>
          <w:color w:val="212121"/>
          <w:sz w:val="20"/>
          <w:szCs w:val="20"/>
          <w:shd w:val="clear" w:color="auto" w:fill="FFFFFF"/>
        </w:rPr>
        <w:t>ɛ</w:t>
      </w:r>
      <w:r w:rsidRPr="00ED68C9">
        <w:rPr>
          <w:rFonts w:ascii="Palatino Linotype" w:hAnsi="Palatino Linotype" w:cs="Segoe UI"/>
          <w:color w:val="212121"/>
          <w:sz w:val="20"/>
          <w:szCs w:val="20"/>
          <w:shd w:val="clear" w:color="auto" w:fill="FFFFFF"/>
        </w:rPr>
        <w:t xml:space="preserve">4 Carriers. Neurology. 2022 Nov 15;99(20):918-919. </w:t>
      </w:r>
      <w:r w:rsidRPr="00ED68C9">
        <w:rPr>
          <w:rFonts w:ascii="Palatino Linotype" w:hAnsi="Palatino Linotype" w:cs="Segoe UI"/>
          <w:color w:val="212121"/>
          <w:sz w:val="20"/>
          <w:szCs w:val="20"/>
          <w:shd w:val="clear" w:color="auto" w:fill="FFFFFF"/>
        </w:rPr>
        <w:t>doi: 10.1212/WNL.0000000000201508. PMID: 36376090.</w:t>
      </w:r>
    </w:p>
    <w:p w14:paraId="3B4B9590" w14:textId="77777777" w:rsidR="00920888" w:rsidRPr="00ED68C9" w:rsidRDefault="00920888" w:rsidP="00920888">
      <w:pPr>
        <w:pStyle w:val="EndnoteText"/>
      </w:pPr>
    </w:p>
  </w:endnote>
  <w:endnote w:id="13">
    <w:p w14:paraId="5DB590CC"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Watanabe Y, Kitamura K, Nakamura K, </w:t>
      </w:r>
      <w:r w:rsidRPr="00ED68C9">
        <w:rPr>
          <w:rFonts w:ascii="Palatino Linotype" w:hAnsi="Palatino Linotype" w:cs="Segoe UI"/>
          <w:color w:val="212121"/>
          <w:sz w:val="20"/>
          <w:szCs w:val="20"/>
          <w:shd w:val="clear" w:color="auto" w:fill="FFFFFF"/>
        </w:rPr>
        <w:t>Sanpei K, Wakasugi M, Yokoseki A, Onodera O, Ikeuchi T, Kuwano R, Momotsu T, Narita I, Endo N. Elevated C-Reactive Protein Is Associated with Cognitive Decline in Outpatients of a General Hospital: The Project in Sado for Total Health (PROST). Dement Geriatr Cogn Dis Extra. 2016 Jan 19;6(1):10-9. doi: 10.1159/000442585. PMID: 26933436; PMCID: PMC4772636.</w:t>
      </w:r>
    </w:p>
    <w:p w14:paraId="1980D9FF" w14:textId="77777777" w:rsidR="00920888" w:rsidRPr="00ED68C9" w:rsidRDefault="00920888" w:rsidP="00920888">
      <w:pPr>
        <w:pStyle w:val="EndnoteText"/>
      </w:pPr>
    </w:p>
  </w:endnote>
  <w:endnote w:id="14">
    <w:p w14:paraId="7F37D716"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Kindy MS, Yu J, Guo JT, Zhu H. Apolipoprotein Serum Amyloid A in Alzheimer's Disease. J </w:t>
      </w:r>
      <w:r w:rsidRPr="00ED68C9">
        <w:rPr>
          <w:rFonts w:ascii="Palatino Linotype" w:hAnsi="Palatino Linotype" w:cs="Segoe UI"/>
          <w:color w:val="212121"/>
          <w:sz w:val="20"/>
          <w:szCs w:val="20"/>
          <w:shd w:val="clear" w:color="auto" w:fill="FFFFFF"/>
        </w:rPr>
        <w:t>Alzheimers Dis. 1999 Oct;1(3):155-167. doi: 10.3233/jad-1999-1303. PMID: 12214001.</w:t>
      </w:r>
    </w:p>
    <w:p w14:paraId="1C4363D3" w14:textId="77777777" w:rsidR="00920888" w:rsidRPr="00ED68C9" w:rsidRDefault="00920888" w:rsidP="00920888">
      <w:pPr>
        <w:pStyle w:val="EndnoteText"/>
      </w:pPr>
    </w:p>
  </w:endnote>
  <w:endnote w:id="15">
    <w:p w14:paraId="605960A7"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olor w:val="212121"/>
          <w:sz w:val="20"/>
          <w:szCs w:val="20"/>
          <w:shd w:val="clear" w:color="auto" w:fill="FFFFFF"/>
        </w:rPr>
        <w:t xml:space="preserve">Regan P, McClean PL, Smyth T, Doherty M. </w:t>
      </w:r>
      <w:r w:rsidRPr="00ED68C9">
        <w:rPr>
          <w:rFonts w:ascii="Palatino Linotype" w:hAnsi="Palatino Linotype"/>
          <w:color w:val="212121"/>
          <w:sz w:val="20"/>
          <w:szCs w:val="20"/>
          <w:shd w:val="clear" w:color="auto" w:fill="FFFFFF"/>
        </w:rPr>
        <w:t xml:space="preserve">Early Stage Glycosylation Biomarkers in Alzheimer's Disease. Medicines (Basel). 2019 Sep 3;6(3):92. </w:t>
      </w:r>
      <w:r w:rsidRPr="00ED68C9">
        <w:rPr>
          <w:rFonts w:ascii="Palatino Linotype" w:hAnsi="Palatino Linotype"/>
          <w:color w:val="212121"/>
          <w:sz w:val="20"/>
          <w:szCs w:val="20"/>
          <w:shd w:val="clear" w:color="auto" w:fill="FFFFFF"/>
        </w:rPr>
        <w:t>doi: 10.3390/medicines6030092. PMID: 31484367; PMCID: PMC6789538.</w:t>
      </w:r>
    </w:p>
    <w:p w14:paraId="5FDDE00D" w14:textId="77777777" w:rsidR="00920888" w:rsidRPr="00ED68C9" w:rsidRDefault="00920888" w:rsidP="00920888">
      <w:pPr>
        <w:pStyle w:val="EndnoteText"/>
      </w:pPr>
    </w:p>
  </w:endnote>
  <w:endnote w:id="16">
    <w:p w14:paraId="5DE93673"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Rodríguez-Fernández B, </w:t>
      </w:r>
      <w:r w:rsidRPr="00ED68C9">
        <w:rPr>
          <w:rFonts w:ascii="Palatino Linotype" w:hAnsi="Palatino Linotype" w:cs="Segoe UI"/>
          <w:color w:val="212121"/>
          <w:sz w:val="20"/>
          <w:szCs w:val="20"/>
          <w:shd w:val="clear" w:color="auto" w:fill="FFFFFF"/>
        </w:rPr>
        <w:t>Vilor-Tejedor N, Arenaza-Urquijo EM, Sánchez-Benavides G, Suárez-Calvet M, Operto G, Minguillón C, Fauria K, Kollmorgen G, Suridjan I, de Moura MC, Piñeyro D, Esteller M, Blennow K, Zetterberg H, De Vivo I, Molinuevo JL, Navarro A, Gispert JD, Sala-Vila A, Crous-Bou M; ALFA study. Genetically predicted telomere length and Alzheimer's disease endophenotypes: a Mendelian randomization study. Alzheimers Res Ther. 2022 Nov 7;14(1):167. doi: 10.1186/s13195-022-01101-9. PMID: 36345036; PMCID: PMC9641781.</w:t>
      </w:r>
    </w:p>
    <w:p w14:paraId="56DAD0EA" w14:textId="77777777" w:rsidR="00920888" w:rsidRPr="00ED68C9" w:rsidRDefault="00920888" w:rsidP="00920888">
      <w:pPr>
        <w:pStyle w:val="EndnoteText"/>
      </w:pPr>
    </w:p>
  </w:endnote>
  <w:endnote w:id="17">
    <w:p w14:paraId="238D7382" w14:textId="77777777" w:rsidR="00920888" w:rsidRPr="00470D73" w:rsidRDefault="00920888" w:rsidP="00920888">
      <w:pPr>
        <w:rPr>
          <w:rFonts w:ascii="Palatino Linotype" w:hAnsi="Palatino Linotype"/>
          <w:sz w:val="20"/>
          <w:szCs w:val="20"/>
        </w:rPr>
      </w:pPr>
      <w:r w:rsidRPr="00470D73">
        <w:rPr>
          <w:rStyle w:val="EndnoteReference"/>
          <w:rFonts w:ascii="Palatino Linotype" w:eastAsiaTheme="majorEastAsia" w:hAnsi="Palatino Linotype"/>
          <w:sz w:val="20"/>
          <w:szCs w:val="20"/>
        </w:rPr>
        <w:endnoteRef/>
      </w:r>
      <w:r w:rsidRPr="00470D73">
        <w:rPr>
          <w:rFonts w:ascii="Palatino Linotype" w:hAnsi="Palatino Linotype"/>
          <w:sz w:val="20"/>
          <w:szCs w:val="20"/>
        </w:rPr>
        <w:t xml:space="preserve"> Lin, J., et al., Analyses and comparisons of telomerase activity and telomere length in human T and B cells: insights for epidemiology of telomere maintenance. J Immunol Methods, 2010. </w:t>
      </w:r>
      <w:r w:rsidRPr="00470D73">
        <w:rPr>
          <w:rFonts w:ascii="Palatino Linotype" w:hAnsi="Palatino Linotype"/>
          <w:b/>
          <w:bCs/>
          <w:sz w:val="20"/>
          <w:szCs w:val="20"/>
        </w:rPr>
        <w:t>352</w:t>
      </w:r>
      <w:r w:rsidRPr="00470D73">
        <w:rPr>
          <w:rFonts w:ascii="Palatino Linotype" w:hAnsi="Palatino Linotype"/>
          <w:sz w:val="20"/>
          <w:szCs w:val="20"/>
        </w:rPr>
        <w:t>(1-2): p. 71-80.</w:t>
      </w:r>
    </w:p>
    <w:p w14:paraId="0494F52F" w14:textId="77777777" w:rsidR="00920888" w:rsidRDefault="00920888" w:rsidP="00920888">
      <w:pPr>
        <w:pStyle w:val="EndnoteText"/>
      </w:pPr>
    </w:p>
  </w:endnote>
  <w:endnote w:id="18">
    <w:p w14:paraId="618EACF7" w14:textId="77777777" w:rsidR="00920888" w:rsidRPr="00470D73" w:rsidRDefault="00920888" w:rsidP="00920888">
      <w:pPr>
        <w:rPr>
          <w:rFonts w:ascii="Palatino Linotype" w:hAnsi="Palatino Linotype"/>
          <w:sz w:val="20"/>
          <w:szCs w:val="20"/>
        </w:rPr>
      </w:pPr>
      <w:r w:rsidRPr="00470D73">
        <w:rPr>
          <w:rStyle w:val="EndnoteReference"/>
          <w:rFonts w:ascii="Palatino Linotype" w:eastAsiaTheme="majorEastAsia" w:hAnsi="Palatino Linotype"/>
          <w:sz w:val="20"/>
          <w:szCs w:val="20"/>
        </w:rPr>
        <w:endnoteRef/>
      </w:r>
      <w:r w:rsidRPr="00470D73">
        <w:rPr>
          <w:rFonts w:ascii="Palatino Linotype" w:hAnsi="Palatino Linotype"/>
          <w:sz w:val="20"/>
          <w:szCs w:val="20"/>
        </w:rPr>
        <w:t xml:space="preserve"> Cawthon, R.M., Telomere measurement by quantitative PCR. Nucleic Acids Res, 2002. </w:t>
      </w:r>
      <w:r w:rsidRPr="00470D73">
        <w:rPr>
          <w:rFonts w:ascii="Palatino Linotype" w:hAnsi="Palatino Linotype"/>
          <w:b/>
          <w:bCs/>
          <w:sz w:val="20"/>
          <w:szCs w:val="20"/>
        </w:rPr>
        <w:t>30</w:t>
      </w:r>
      <w:r w:rsidRPr="00470D73">
        <w:rPr>
          <w:rFonts w:ascii="Palatino Linotype" w:hAnsi="Palatino Linotype"/>
          <w:sz w:val="20"/>
          <w:szCs w:val="20"/>
        </w:rPr>
        <w:t>(10): p. e47.</w:t>
      </w:r>
    </w:p>
    <w:p w14:paraId="398E75F8" w14:textId="77777777" w:rsidR="00920888" w:rsidRDefault="00920888" w:rsidP="00920888">
      <w:pPr>
        <w:pStyle w:val="EndnoteText"/>
      </w:pPr>
    </w:p>
  </w:endnote>
  <w:endnote w:id="19">
    <w:p w14:paraId="295076B3" w14:textId="77777777" w:rsidR="00920888" w:rsidRPr="00D0037B" w:rsidRDefault="00920888" w:rsidP="00920888">
      <w:pPr>
        <w:rPr>
          <w:rFonts w:ascii="Palatino Linotype" w:hAnsi="Palatino Linotype"/>
          <w:sz w:val="20"/>
          <w:szCs w:val="20"/>
        </w:rPr>
      </w:pPr>
      <w:r>
        <w:rPr>
          <w:rStyle w:val="EndnoteReference"/>
          <w:rFonts w:eastAsiaTheme="majorEastAsia"/>
        </w:rPr>
        <w:endnoteRef/>
      </w:r>
      <w:r w:rsidRPr="00D0037B">
        <w:rPr>
          <w:rFonts w:ascii="Palatino Linotype" w:hAnsi="Palatino Linotype"/>
          <w:sz w:val="20"/>
          <w:szCs w:val="20"/>
        </w:rPr>
        <w:t xml:space="preserve">Details of the telomere length assay can be found at Telomere Research Network: </w:t>
      </w:r>
      <w:hyperlink r:id="rId1" w:history="1">
        <w:r w:rsidRPr="00D0037B">
          <w:rPr>
            <w:rStyle w:val="Hyperlink"/>
            <w:rFonts w:ascii="Palatino Linotype" w:eastAsiaTheme="majorEastAsia" w:hAnsi="Palatino Linotype"/>
            <w:sz w:val="20"/>
            <w:szCs w:val="20"/>
          </w:rPr>
          <w:t>https://trn.tulane.edu/wp-content/uploads/sites/445/2021/07/Lin-qPCR-protocol-01072020.pdf</w:t>
        </w:r>
      </w:hyperlink>
    </w:p>
    <w:p w14:paraId="0EE66F12" w14:textId="77777777" w:rsidR="00920888" w:rsidRPr="00D0037B" w:rsidRDefault="00920888" w:rsidP="00920888">
      <w:pPr>
        <w:rPr>
          <w:rFonts w:ascii="Palatino Linotype" w:hAnsi="Palatino Linotype"/>
          <w:sz w:val="20"/>
          <w:szCs w:val="20"/>
        </w:rPr>
      </w:pPr>
    </w:p>
  </w:endnote>
  <w:endnote w:id="20">
    <w:p w14:paraId="393FC84D" w14:textId="77777777" w:rsidR="00920888" w:rsidRPr="008D3AD3" w:rsidRDefault="00920888" w:rsidP="00920888">
      <w:pPr>
        <w:rPr>
          <w:rFonts w:ascii="Palatino Linotype" w:hAnsi="Palatino Linotype"/>
          <w:sz w:val="20"/>
          <w:szCs w:val="20"/>
        </w:rPr>
      </w:pPr>
      <w:r w:rsidRPr="008D3AD3">
        <w:rPr>
          <w:rStyle w:val="EndnoteReference"/>
          <w:rFonts w:ascii="Palatino Linotype" w:eastAsiaTheme="majorEastAsia" w:hAnsi="Palatino Linotype"/>
          <w:sz w:val="20"/>
          <w:szCs w:val="20"/>
        </w:rPr>
        <w:endnoteRef/>
      </w:r>
      <w:r w:rsidRPr="008D3AD3">
        <w:rPr>
          <w:rFonts w:ascii="Palatino Linotype" w:hAnsi="Palatino Linotype"/>
          <w:sz w:val="20"/>
          <w:szCs w:val="20"/>
        </w:rPr>
        <w:t xml:space="preserve"> </w:t>
      </w:r>
      <w:r w:rsidRPr="008D3AD3">
        <w:rPr>
          <w:rFonts w:ascii="Palatino Linotype" w:hAnsi="Palatino Linotype" w:cs="Segoe UI"/>
          <w:color w:val="212121"/>
          <w:sz w:val="20"/>
          <w:szCs w:val="20"/>
          <w:shd w:val="clear" w:color="auto" w:fill="FFFFFF"/>
        </w:rPr>
        <w:t xml:space="preserve">McDonald D, Hyde E, </w:t>
      </w:r>
      <w:r w:rsidRPr="008D3AD3">
        <w:rPr>
          <w:rFonts w:ascii="Palatino Linotype" w:hAnsi="Palatino Linotype" w:cs="Segoe UI"/>
          <w:color w:val="212121"/>
          <w:sz w:val="20"/>
          <w:szCs w:val="20"/>
          <w:shd w:val="clear" w:color="auto" w:fill="FFFFFF"/>
        </w:rPr>
        <w:t>Debelius JW, Morton JT, Gonzalez A, Ackermann G, Aksenov AA, Behsaz B, Brennan C, Chen Y, DeRight Goldasich L, Dorrestein PC, Dunn RR, Fahimipour AK, Gaffney J, Gilbert JA, Gogul G, Green JL, Hugenholtz P, Humphrey G, Huttenhower C, Jackson MA, Janssen S, Jeste DV, Jiang L, Kelley ST, Knights D, Kosciolek T, Ladau J, Leach J, Marotz C, Meleshko D, Melnik AV, Metcalf JL, Mohimani H, Montassier E, Navas-Molina J, Nguyen TT, Peddada S, Pevzner P, Pollard KS, Rahnavard G, Robbins-Pianka A, Sangwan N, Shorenstein J, Smarr L, Song SJ, Spector T, Swafford AD, Thackray VG, Thompson LR, Tripathi A, Vázquez-Baeza Y, Vrbanac A, Wischmeyer P, Wolfe E, Zhu Q; American Gut Consortium; Knight R. American Gut: an Open Platform for Citizen Science Microbiome Research. mSystems. 2018 May 15;3(3</w:t>
      </w:r>
      <w:r w:rsidRPr="008D3AD3">
        <w:rPr>
          <w:rFonts w:ascii="Palatino Linotype" w:hAnsi="Palatino Linotype" w:cs="Segoe UI"/>
          <w:color w:val="212121"/>
          <w:sz w:val="20"/>
          <w:szCs w:val="20"/>
          <w:shd w:val="clear" w:color="auto" w:fill="FFFFFF"/>
        </w:rPr>
        <w:t>):e00031-18. doi: 10.1128/mSystems.00031-18. PMID: 29795809; PMCID: PMC5954204.</w:t>
      </w:r>
    </w:p>
    <w:p w14:paraId="5EF405BE" w14:textId="77777777" w:rsidR="00920888" w:rsidRDefault="00920888" w:rsidP="00920888">
      <w:pPr>
        <w:pStyle w:val="EndnoteText"/>
      </w:pPr>
    </w:p>
  </w:endnote>
  <w:endnote w:id="21">
    <w:p w14:paraId="528D26B5" w14:textId="77777777" w:rsidR="00920888" w:rsidRPr="00C518D0" w:rsidRDefault="00920888" w:rsidP="00920888">
      <w:pPr>
        <w:rPr>
          <w:rFonts w:ascii="Palatino Linotype" w:hAnsi="Palatino Linotype"/>
          <w:sz w:val="20"/>
          <w:szCs w:val="20"/>
        </w:rPr>
      </w:pPr>
      <w:r w:rsidRPr="00C518D0">
        <w:rPr>
          <w:rStyle w:val="EndnoteReference"/>
          <w:rFonts w:ascii="Palatino Linotype" w:eastAsiaTheme="majorEastAsia" w:hAnsi="Palatino Linotype"/>
          <w:sz w:val="20"/>
          <w:szCs w:val="20"/>
        </w:rPr>
        <w:endnoteRef/>
      </w:r>
      <w:r w:rsidRPr="00C518D0">
        <w:rPr>
          <w:rFonts w:ascii="Palatino Linotype" w:hAnsi="Palatino Linotype"/>
          <w:sz w:val="20"/>
          <w:szCs w:val="20"/>
        </w:rPr>
        <w:t xml:space="preserve"> </w:t>
      </w:r>
      <w:r w:rsidRPr="00C518D0">
        <w:rPr>
          <w:rFonts w:ascii="Palatino Linotype" w:hAnsi="Palatino Linotype" w:cs="Segoe UI"/>
          <w:color w:val="212121"/>
          <w:sz w:val="20"/>
          <w:szCs w:val="20"/>
          <w:shd w:val="clear" w:color="auto" w:fill="FFFFFF"/>
        </w:rPr>
        <w:t>Caporaso JG, Lauber CL, Walters WA, Berg-Lyons D, Lozupone CA, Turnbaugh PJ, Fierer N, Knight R. Global patterns of 16S rRNA diversity at a depth of millions of sequences per sample. Proc Natl Acad Sci U S A. 2011 Mar 15;108 Suppl 1(Suppl 1):4516-22. doi: 10.1073/pnas.1000080107. Epub 2010 Jun 3. PMID: 20534432; PMCID: PMC3063599.</w:t>
      </w:r>
    </w:p>
    <w:p w14:paraId="0C12E20C" w14:textId="77777777" w:rsidR="00920888" w:rsidRPr="00C518D0" w:rsidRDefault="00920888" w:rsidP="00920888">
      <w:pPr>
        <w:pStyle w:val="EndnoteText"/>
      </w:pPr>
    </w:p>
  </w:endnote>
  <w:endnote w:id="22">
    <w:p w14:paraId="4B76963D" w14:textId="77777777" w:rsidR="00920888" w:rsidRPr="00AB7B36" w:rsidRDefault="00920888" w:rsidP="00920888">
      <w:pPr>
        <w:rPr>
          <w:rFonts w:ascii="Palatino Linotype" w:hAnsi="Palatino Linotype"/>
          <w:sz w:val="20"/>
          <w:szCs w:val="20"/>
        </w:rPr>
      </w:pPr>
      <w:r w:rsidRPr="00AB7B36">
        <w:rPr>
          <w:rStyle w:val="EndnoteReference"/>
          <w:rFonts w:ascii="Palatino Linotype" w:eastAsiaTheme="majorEastAsia" w:hAnsi="Palatino Linotype"/>
          <w:sz w:val="20"/>
          <w:szCs w:val="20"/>
        </w:rPr>
        <w:endnoteRef/>
      </w:r>
      <w:r w:rsidRPr="00AB7B36">
        <w:rPr>
          <w:rFonts w:ascii="Palatino Linotype" w:hAnsi="Palatino Linotype"/>
          <w:sz w:val="20"/>
          <w:szCs w:val="20"/>
        </w:rPr>
        <w:t xml:space="preserve"> </w:t>
      </w:r>
      <w:r w:rsidRPr="00AB7B36">
        <w:rPr>
          <w:rFonts w:ascii="Palatino Linotype" w:hAnsi="Palatino Linotype" w:cs="Segoe UI"/>
          <w:color w:val="212121"/>
          <w:sz w:val="20"/>
          <w:szCs w:val="20"/>
          <w:shd w:val="clear" w:color="auto" w:fill="FFFFFF"/>
        </w:rPr>
        <w:t xml:space="preserve">Amir A, McDonald D, </w:t>
      </w:r>
      <w:r w:rsidRPr="00AB7B36">
        <w:rPr>
          <w:rFonts w:ascii="Palatino Linotype" w:hAnsi="Palatino Linotype" w:cs="Segoe UI"/>
          <w:color w:val="212121"/>
          <w:sz w:val="20"/>
          <w:szCs w:val="20"/>
          <w:shd w:val="clear" w:color="auto" w:fill="FFFFFF"/>
        </w:rPr>
        <w:t>Navas-Molina JA, Kopylova E, Morton JT, Zech Xu Z, Kightley EP, Thompson LR, Hyde ER, Gonzalez A, Knight R. Deblur Rapidly Resolves Single-Nucleotide Community Sequence Patterns. mSystems. 2017 Mar 7;2(2</w:t>
      </w:r>
      <w:r w:rsidRPr="00AB7B36">
        <w:rPr>
          <w:rFonts w:ascii="Palatino Linotype" w:hAnsi="Palatino Linotype" w:cs="Segoe UI"/>
          <w:color w:val="212121"/>
          <w:sz w:val="20"/>
          <w:szCs w:val="20"/>
          <w:shd w:val="clear" w:color="auto" w:fill="FFFFFF"/>
        </w:rPr>
        <w:t>):e00191-16. doi: 10.1128/mSystems.00191-16. PMID: 28289731; PMCID: PMC5340863.</w:t>
      </w:r>
    </w:p>
    <w:p w14:paraId="1F6E7EA0" w14:textId="77777777" w:rsidR="00920888" w:rsidRDefault="00920888" w:rsidP="00920888">
      <w:pPr>
        <w:pStyle w:val="EndnoteText"/>
      </w:pPr>
    </w:p>
  </w:endnote>
  <w:endnote w:id="23">
    <w:p w14:paraId="6CFC7925" w14:textId="77777777" w:rsidR="00920888" w:rsidRPr="00AB7B36" w:rsidRDefault="00920888" w:rsidP="00920888">
      <w:pPr>
        <w:rPr>
          <w:rFonts w:ascii="Palatino Linotype" w:hAnsi="Palatino Linotype"/>
          <w:sz w:val="20"/>
          <w:szCs w:val="20"/>
        </w:rPr>
      </w:pPr>
      <w:r w:rsidRPr="00AB7B36">
        <w:rPr>
          <w:rStyle w:val="EndnoteReference"/>
          <w:rFonts w:ascii="Palatino Linotype" w:eastAsiaTheme="majorEastAsia" w:hAnsi="Palatino Linotype"/>
          <w:sz w:val="20"/>
          <w:szCs w:val="20"/>
        </w:rPr>
        <w:endnoteRef/>
      </w:r>
      <w:r w:rsidRPr="00AB7B36">
        <w:rPr>
          <w:rFonts w:ascii="Palatino Linotype" w:hAnsi="Palatino Linotype"/>
          <w:sz w:val="20"/>
          <w:szCs w:val="20"/>
        </w:rPr>
        <w:t xml:space="preserve"> </w:t>
      </w:r>
      <w:r w:rsidRPr="00AB7B36">
        <w:rPr>
          <w:rFonts w:ascii="Palatino Linotype" w:hAnsi="Palatino Linotype" w:cs="Segoe UI"/>
          <w:color w:val="212121"/>
          <w:sz w:val="20"/>
          <w:szCs w:val="20"/>
          <w:shd w:val="clear" w:color="auto" w:fill="FFFFFF"/>
        </w:rPr>
        <w:t xml:space="preserve">McDonald D, Jiang Y, Balaban M, Cantrell K, Zhu Q, Gonzalez A, Morton JT, Nicolaou G, Parks DH, Karst SM, </w:t>
      </w:r>
      <w:r w:rsidRPr="00AB7B36">
        <w:rPr>
          <w:rFonts w:ascii="Palatino Linotype" w:hAnsi="Palatino Linotype" w:cs="Segoe UI"/>
          <w:color w:val="212121"/>
          <w:sz w:val="20"/>
          <w:szCs w:val="20"/>
          <w:shd w:val="clear" w:color="auto" w:fill="FFFFFF"/>
        </w:rPr>
        <w:t xml:space="preserve">Albertsen M, Hugenholtz P, DeSantis T, Song SJ, Bartko A, Havulinna AS, Jousilahti P, Cheng S, Inouye M, Niiranen T, Jain M, Salomaa V, Lahti L, Mirarab S, Knight R. Greengenes2 unifies microbial data in a single reference tree. Nat Biotechnol. 2023 Jul 27:10.1038/s41587-023-01845-1. doi: 10.1038/s41587-023-01845-1. Epub ahead of print. Erratum in: Nat Biotechnol. 2023 Oct </w:t>
      </w:r>
      <w:r w:rsidRPr="00AB7B36">
        <w:rPr>
          <w:rFonts w:ascii="Palatino Linotype" w:hAnsi="Palatino Linotype" w:cs="Segoe UI"/>
          <w:color w:val="212121"/>
          <w:sz w:val="20"/>
          <w:szCs w:val="20"/>
          <w:shd w:val="clear" w:color="auto" w:fill="FFFFFF"/>
        </w:rPr>
        <w:t>18;: PMID: 37500913; PMCID: PMC10818020.</w:t>
      </w:r>
    </w:p>
    <w:p w14:paraId="2CC0630C" w14:textId="77777777" w:rsidR="00920888" w:rsidRDefault="00920888" w:rsidP="00920888">
      <w:pPr>
        <w:pStyle w:val="EndnoteText"/>
      </w:pPr>
    </w:p>
  </w:endnote>
  <w:endnote w:id="24">
    <w:p w14:paraId="6BA49EB2" w14:textId="77777777" w:rsidR="00920888" w:rsidRPr="00A84619" w:rsidRDefault="00920888" w:rsidP="00920888">
      <w:pPr>
        <w:rPr>
          <w:rFonts w:ascii="Palatino Linotype" w:hAnsi="Palatino Linotype"/>
          <w:sz w:val="20"/>
          <w:szCs w:val="20"/>
        </w:rPr>
      </w:pPr>
      <w:r w:rsidRPr="00A84619">
        <w:rPr>
          <w:rStyle w:val="EndnoteReference"/>
          <w:rFonts w:ascii="Palatino Linotype" w:eastAsiaTheme="majorEastAsia" w:hAnsi="Palatino Linotype"/>
          <w:sz w:val="20"/>
          <w:szCs w:val="20"/>
        </w:rPr>
        <w:endnoteRef/>
      </w:r>
      <w:r w:rsidRPr="00A84619">
        <w:rPr>
          <w:rFonts w:ascii="Palatino Linotype" w:hAnsi="Palatino Linotype"/>
          <w:sz w:val="20"/>
          <w:szCs w:val="20"/>
        </w:rPr>
        <w:t xml:space="preserve"> </w:t>
      </w:r>
      <w:r w:rsidRPr="00A84619">
        <w:rPr>
          <w:rFonts w:ascii="Palatino Linotype" w:hAnsi="Palatino Linotype" w:cs="Segoe UI"/>
          <w:color w:val="212121"/>
          <w:sz w:val="20"/>
          <w:szCs w:val="20"/>
          <w:shd w:val="clear" w:color="auto" w:fill="FFFFFF"/>
        </w:rPr>
        <w:t>Sfiligoi I, Armstrong G, Gonzalez A, McDonald D, Knight R. Optimizing UniFrac with OpenACC Yields Greater Than One Thousand Times Speed Increase. mSystems. 2022 Jun 28;7(3</w:t>
      </w:r>
      <w:r w:rsidRPr="00A84619">
        <w:rPr>
          <w:rFonts w:ascii="Palatino Linotype" w:hAnsi="Palatino Linotype" w:cs="Segoe UI"/>
          <w:color w:val="212121"/>
          <w:sz w:val="20"/>
          <w:szCs w:val="20"/>
          <w:shd w:val="clear" w:color="auto" w:fill="FFFFFF"/>
        </w:rPr>
        <w:t>):e0002822. doi: 10.1128/msystems.00028-22. Epub 2022 May 31. PMID: 35638356; PMCID: PMC9239203.</w:t>
      </w:r>
    </w:p>
    <w:p w14:paraId="2568FC9D" w14:textId="77777777" w:rsidR="00920888" w:rsidRDefault="00920888" w:rsidP="00920888">
      <w:pPr>
        <w:pStyle w:val="EndnoteText"/>
      </w:pPr>
    </w:p>
  </w:endnote>
  <w:endnote w:id="25">
    <w:p w14:paraId="47AFE6BB" w14:textId="77777777" w:rsidR="00920888" w:rsidRPr="00A84619" w:rsidRDefault="00920888" w:rsidP="00920888">
      <w:pPr>
        <w:rPr>
          <w:rFonts w:ascii="Palatino Linotype" w:hAnsi="Palatino Linotype"/>
          <w:sz w:val="20"/>
          <w:szCs w:val="20"/>
        </w:rPr>
      </w:pPr>
      <w:r w:rsidRPr="00A84619">
        <w:rPr>
          <w:rStyle w:val="EndnoteReference"/>
          <w:rFonts w:ascii="Palatino Linotype" w:eastAsiaTheme="majorEastAsia" w:hAnsi="Palatino Linotype"/>
          <w:sz w:val="20"/>
          <w:szCs w:val="20"/>
        </w:rPr>
        <w:endnoteRef/>
      </w:r>
      <w:r w:rsidRPr="00A84619">
        <w:rPr>
          <w:rFonts w:ascii="Palatino Linotype" w:hAnsi="Palatino Linotype"/>
          <w:sz w:val="20"/>
          <w:szCs w:val="20"/>
        </w:rPr>
        <w:t xml:space="preserve"> </w:t>
      </w:r>
      <w:r w:rsidRPr="00A84619">
        <w:rPr>
          <w:rFonts w:ascii="Palatino Linotype" w:hAnsi="Palatino Linotype" w:cs="Segoe UI"/>
          <w:color w:val="212121"/>
          <w:sz w:val="20"/>
          <w:szCs w:val="20"/>
          <w:shd w:val="clear" w:color="auto" w:fill="FFFFFF"/>
        </w:rPr>
        <w:t>Bolyen E, Rideout JR, Dillon MR, Bokulich NA, Abnet CC, Al-Ghalith GA, Alexander H, Alm EJ, Arumugam M, Asnicar F, Bai Y, Bisanz JE, Bittinger K, Brejnrod A, Brislawn CJ, Brown CT, Callahan BJ, Caraballo-Rodríguez AM, Chase J, Cope EK, Da Silva R, Diener C, Dorrestein PC, Douglas GM, Durall DM, Duvallet C, Edwardson CF, Ernst M, Estaki M, Fouquier J, Gauglitz JM, Gibbons SM, Gibson DL, Gonzalez A, Gorlick K, Guo J, Hillmann B, Holmes S, Holste H, Huttenhower C, Huttley GA, Janssen S, Jarmusch AK, Jiang L, Kaehler BD, Kang KB, Keefe CR, Keim P, Kelley ST, Knights D, Koester I, Kosciolek T, Kreps J, Langille MGI, Lee J, Ley R, Liu YX, Loftfield E, Lozupone C, Maher M, Marotz C, Martin BD, McDonald D, McIver LJ, Melnik AV, Metcalf JL, Morgan SC, Morton JT, Naimey AT, Navas-Molina JA, Nothias LF, Orchanian SB, Pearson T, Peoples SL, Petras D, Preuss ML, Pruesse E, Rasmussen LB, Rivers A, Robeson MS 2nd, Rosenthal P, Segata N, Shaffer M, Shiffer A, Sinha R, Song SJ, Spear JR, Swafford AD, Thompson LR, Torres PJ, Trinh P, Tripathi A, Turnbaugh PJ, Ul-Hasan S, van der Hooft JJJ, Vargas F, Vázquez-Baeza Y, Vogtmann E, von Hippel M, Walters W, Wan Y, Wang M, Warren J, Weber KC, Williamson CHD, Willis AD, Xu ZZ, Zaneveld JR, Zhang Y, Zhu Q, Knight R, Caporaso JG. Reproducible, interactive, scalable and extensible microbiome data science using QIIME 2. Nat Biotechnol. 2019 Aug;37(8):852-857. doi: 10.1038/s41587-019-0209-9. Erratum in: Nat Biotechnol. 2019 Sep;37(9):1091. PMID: 31341288; PMCID: PMC7015180.</w:t>
      </w:r>
    </w:p>
    <w:p w14:paraId="423369A7" w14:textId="77777777" w:rsidR="00920888" w:rsidRDefault="00920888" w:rsidP="00920888">
      <w:pPr>
        <w:pStyle w:val="EndnoteText"/>
      </w:pPr>
    </w:p>
  </w:endnote>
  <w:endnote w:id="26">
    <w:p w14:paraId="4968FDB7"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Lang T. Documenting research in scientific articles: guidelines for authors: 2. Reporting hypothesis tests. Chest. 2007 Jan;131(1):317-9. </w:t>
      </w:r>
      <w:r w:rsidRPr="00ED68C9">
        <w:rPr>
          <w:rFonts w:ascii="Palatino Linotype" w:hAnsi="Palatino Linotype" w:cs="Segoe UI"/>
          <w:color w:val="212121"/>
          <w:sz w:val="20"/>
          <w:szCs w:val="20"/>
          <w:shd w:val="clear" w:color="auto" w:fill="FFFFFF"/>
        </w:rPr>
        <w:t>doi: 10.1378/chest.06-2087. PMID: 17218594.</w:t>
      </w:r>
    </w:p>
    <w:p w14:paraId="5BDA2B59" w14:textId="77777777" w:rsidR="00920888" w:rsidRPr="00ED68C9" w:rsidRDefault="00920888" w:rsidP="00920888">
      <w:pPr>
        <w:pStyle w:val="EndnoteText"/>
      </w:pPr>
    </w:p>
  </w:endnote>
  <w:endnote w:id="27">
    <w:p w14:paraId="5BBDD550"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Ornish D, Brown SE, </w:t>
      </w:r>
      <w:r w:rsidRPr="00ED68C9">
        <w:rPr>
          <w:rFonts w:ascii="Palatino Linotype" w:hAnsi="Palatino Linotype" w:cs="Segoe UI"/>
          <w:color w:val="212121"/>
          <w:sz w:val="20"/>
          <w:szCs w:val="20"/>
          <w:shd w:val="clear" w:color="auto" w:fill="FFFFFF"/>
        </w:rPr>
        <w:t>Scherwitz LW, Billings JH, Armstrong WT, Ports TA, McLanahan SM, Kirkeeide RL, Brand RJ, Gould KL. Can lifestyle changes reverse coronary heart disease? The Lifestyle Heart Trial. Lancet. 1990 Jul 21;336(8708):129-33. doi: 10.1016/0140-6736(90)91656-u. PMID: 1973470.</w:t>
      </w:r>
    </w:p>
    <w:p w14:paraId="1CAD520E" w14:textId="77777777" w:rsidR="00920888" w:rsidRPr="00ED68C9" w:rsidRDefault="00920888" w:rsidP="00920888">
      <w:pPr>
        <w:pStyle w:val="EndnoteText"/>
      </w:pPr>
    </w:p>
  </w:endnote>
  <w:endnote w:id="28">
    <w:p w14:paraId="40319D75"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Ornish D, Weidner G, Fair WR, Marlin R, Pettengill EB, Raisin CJ, Dunn-Emke S, Crutchfield L, Jacobs FN, Barnard RJ, Aronson WJ, McCormac P, McKnight DJ, Fein JD, </w:t>
      </w:r>
      <w:r w:rsidRPr="00ED68C9">
        <w:rPr>
          <w:rFonts w:ascii="Palatino Linotype" w:hAnsi="Palatino Linotype" w:cs="Segoe UI"/>
          <w:color w:val="212121"/>
          <w:sz w:val="20"/>
          <w:szCs w:val="20"/>
          <w:shd w:val="clear" w:color="auto" w:fill="FFFFFF"/>
        </w:rPr>
        <w:t>Dnistrian AM, Weinstein J, Ngo TH, Mendell NR, Carroll PR. Intensive lifestyle changes may affect the progression of prostate cancer. J Urol. 2005 Sep;174(3):1065-9; discussion 1069-70. doi: 10.1097/01.ju.0000169487.49018.73. PMID: 16094059.</w:t>
      </w:r>
    </w:p>
    <w:p w14:paraId="4A725816" w14:textId="77777777" w:rsidR="00920888" w:rsidRPr="00ED68C9" w:rsidRDefault="00920888" w:rsidP="00920888">
      <w:pPr>
        <w:pStyle w:val="EndnoteText"/>
      </w:pPr>
    </w:p>
  </w:endnote>
  <w:endnote w:id="29">
    <w:p w14:paraId="1FAA21E1" w14:textId="77777777" w:rsidR="00920888" w:rsidRPr="00ED68C9" w:rsidRDefault="00920888" w:rsidP="00920888">
      <w:pPr>
        <w:rPr>
          <w:rFonts w:ascii="Palatino Linotype" w:hAnsi="Palatino Linotype"/>
          <w:sz w:val="20"/>
          <w:szCs w:val="20"/>
        </w:rPr>
      </w:pPr>
      <w:r w:rsidRPr="00ED68C9">
        <w:rPr>
          <w:rStyle w:val="EndnoteReference"/>
          <w:rFonts w:ascii="Palatino Linotype" w:eastAsiaTheme="majorEastAsia" w:hAnsi="Palatino Linotype"/>
          <w:sz w:val="20"/>
          <w:szCs w:val="20"/>
        </w:rPr>
        <w:endnoteRef/>
      </w:r>
      <w:r w:rsidRPr="00ED68C9">
        <w:rPr>
          <w:rFonts w:ascii="Palatino Linotype" w:hAnsi="Palatino Linotype"/>
          <w:sz w:val="20"/>
          <w:szCs w:val="20"/>
        </w:rPr>
        <w:t xml:space="preserve"> </w:t>
      </w:r>
      <w:r w:rsidRPr="00ED68C9">
        <w:rPr>
          <w:rFonts w:ascii="Palatino Linotype" w:hAnsi="Palatino Linotype" w:cs="Segoe UI"/>
          <w:color w:val="212121"/>
          <w:sz w:val="20"/>
          <w:szCs w:val="20"/>
          <w:shd w:val="clear" w:color="auto" w:fill="FFFFFF"/>
        </w:rPr>
        <w:t xml:space="preserve">Ornish D, Lin J, Chan JM, </w:t>
      </w:r>
      <w:r w:rsidRPr="00ED68C9">
        <w:rPr>
          <w:rFonts w:ascii="Palatino Linotype" w:hAnsi="Palatino Linotype" w:cs="Segoe UI"/>
          <w:color w:val="212121"/>
          <w:sz w:val="20"/>
          <w:szCs w:val="20"/>
          <w:shd w:val="clear" w:color="auto" w:fill="FFFFFF"/>
        </w:rPr>
        <w:t>Epel E, Kemp C, Weidner G, Marlin R, Frenda SJ, Magbanua MJM, Daubenmier J, Estay I, Hills NK, Chainani-Wu N, Carroll PR, Blackburn EH. Effect of comprehensive lifestyle changes on telomerase activity and telomere length in men with biopsy-proven low-risk prostate cancer: 5-year follow-up of a descriptive pilot study. Lancet Oncol. 2013 Oct;14(11):1112-1120. doi: 10.1016/S1470-2045(13)70366-8. Epub 2013 Sep 17. PMID: 24051140.</w:t>
      </w:r>
    </w:p>
    <w:p w14:paraId="5CE27F11" w14:textId="77777777" w:rsidR="00920888" w:rsidRPr="00ED68C9" w:rsidRDefault="00920888" w:rsidP="00920888">
      <w:pPr>
        <w:pStyle w:val="EndnoteText"/>
      </w:pPr>
    </w:p>
  </w:endnote>
  <w:endnote w:id="30">
    <w:p w14:paraId="78319034" w14:textId="77777777" w:rsidR="00920888" w:rsidRPr="00F875E3" w:rsidRDefault="00920888" w:rsidP="00920888">
      <w:pPr>
        <w:rPr>
          <w:rFonts w:ascii="Palatino Linotype" w:hAnsi="Palatino Linotype"/>
          <w:sz w:val="20"/>
          <w:szCs w:val="20"/>
        </w:rPr>
      </w:pPr>
      <w:r>
        <w:rPr>
          <w:rStyle w:val="EndnoteReference"/>
          <w:rFonts w:eastAsiaTheme="majorEastAsia"/>
        </w:rPr>
        <w:endnoteRef/>
      </w:r>
      <w:r>
        <w:t xml:space="preserve"> </w:t>
      </w:r>
      <w:r w:rsidRPr="00F875E3">
        <w:rPr>
          <w:rFonts w:ascii="Palatino Linotype" w:hAnsi="Palatino Linotype" w:cs="Segoe UI"/>
          <w:color w:val="212121"/>
          <w:sz w:val="20"/>
          <w:szCs w:val="20"/>
          <w:shd w:val="clear" w:color="auto" w:fill="FFFFFF"/>
        </w:rPr>
        <w:t xml:space="preserve">Rahman G, Morton JT, Martino C, </w:t>
      </w:r>
      <w:r w:rsidRPr="00F875E3">
        <w:rPr>
          <w:rFonts w:ascii="Palatino Linotype" w:hAnsi="Palatino Linotype" w:cs="Segoe UI"/>
          <w:color w:val="212121"/>
          <w:sz w:val="20"/>
          <w:szCs w:val="20"/>
          <w:shd w:val="clear" w:color="auto" w:fill="FFFFFF"/>
        </w:rPr>
        <w:t>Sepich-Poore GD, Allaband C, Guccione C, Chen Y, Hakim D, Estaki M, Knight R. BIRDMAn: A Bayesian differential abundance framework that enables robust inference of host-microbe associations. bioRxiv [Preprint]. 2023 Feb 2:2023.01.30.526328. doi: 10.1101/2023.01.30.526328. PMID: 36778470; PMCID: PMC9915500.</w:t>
      </w:r>
    </w:p>
    <w:p w14:paraId="207623B6" w14:textId="77777777" w:rsidR="00920888" w:rsidRDefault="00920888" w:rsidP="00920888">
      <w:pPr>
        <w:pStyle w:val="EndnoteText"/>
      </w:pPr>
    </w:p>
  </w:endnote>
  <w:endnote w:id="31">
    <w:p w14:paraId="6F44CA84" w14:textId="77777777" w:rsidR="00920888" w:rsidRPr="00F638E4" w:rsidRDefault="00920888" w:rsidP="00920888">
      <w:pPr>
        <w:rPr>
          <w:rFonts w:ascii="Palatino Linotype" w:hAnsi="Palatino Linotype"/>
          <w:sz w:val="20"/>
          <w:szCs w:val="20"/>
        </w:rPr>
      </w:pPr>
      <w:r w:rsidRPr="00F638E4">
        <w:rPr>
          <w:rStyle w:val="EndnoteReference"/>
          <w:rFonts w:ascii="Palatino Linotype" w:eastAsiaTheme="majorEastAsia" w:hAnsi="Palatino Linotype"/>
          <w:sz w:val="20"/>
          <w:szCs w:val="20"/>
        </w:rPr>
        <w:endnoteRef/>
      </w:r>
      <w:r w:rsidRPr="00F638E4">
        <w:rPr>
          <w:rFonts w:ascii="Palatino Linotype" w:hAnsi="Palatino Linotype"/>
          <w:sz w:val="20"/>
          <w:szCs w:val="20"/>
        </w:rPr>
        <w:t xml:space="preserve"> </w:t>
      </w:r>
      <w:r w:rsidRPr="00F638E4">
        <w:rPr>
          <w:rFonts w:ascii="Palatino Linotype" w:hAnsi="Palatino Linotype" w:cs="Segoe UI"/>
          <w:color w:val="212121"/>
          <w:sz w:val="20"/>
          <w:szCs w:val="20"/>
          <w:shd w:val="clear" w:color="auto" w:fill="FFFFFF"/>
        </w:rPr>
        <w:t>Khedr EM, Omeran N, Karam-Allah Ramadan H, Ahmed GK, Abdelwarith AM. Alteration of Gut Microbiota in Alzheimer's Disease and Their Relation to the Cognitive Impairment. J Alzheimers Dis. 2022;88(3):1103-1114. doi: 10.3233/JAD-220176. PMID: 35754271.</w:t>
      </w:r>
    </w:p>
    <w:p w14:paraId="3D1A1C25" w14:textId="77777777" w:rsidR="00920888" w:rsidRDefault="00920888" w:rsidP="00920888">
      <w:pPr>
        <w:pStyle w:val="EndnoteText"/>
      </w:pPr>
    </w:p>
  </w:endnote>
  <w:endnote w:id="32">
    <w:p w14:paraId="2DB68A63" w14:textId="77777777" w:rsidR="00920888" w:rsidRPr="00E239CA" w:rsidRDefault="00920888" w:rsidP="00920888">
      <w:pPr>
        <w:rPr>
          <w:rFonts w:ascii="Palatino Linotype" w:hAnsi="Palatino Linotype" w:cs="Segoe UI"/>
          <w:color w:val="212121"/>
          <w:sz w:val="20"/>
          <w:szCs w:val="20"/>
        </w:rPr>
      </w:pPr>
      <w:r w:rsidRPr="00E239CA">
        <w:rPr>
          <w:rStyle w:val="EndnoteReference"/>
          <w:rFonts w:ascii="Palatino Linotype" w:eastAsiaTheme="majorEastAsia" w:hAnsi="Palatino Linotype"/>
          <w:sz w:val="20"/>
          <w:szCs w:val="20"/>
        </w:rPr>
        <w:endnoteRef/>
      </w:r>
      <w:r w:rsidRPr="00E239CA">
        <w:rPr>
          <w:rFonts w:ascii="Palatino Linotype" w:hAnsi="Palatino Linotype"/>
          <w:sz w:val="20"/>
          <w:szCs w:val="20"/>
        </w:rPr>
        <w:t xml:space="preserve"> </w:t>
      </w:r>
      <w:r w:rsidRPr="00E239CA">
        <w:rPr>
          <w:rFonts w:ascii="Palatino Linotype" w:hAnsi="Palatino Linotype"/>
          <w:sz w:val="20"/>
          <w:szCs w:val="20"/>
        </w:rPr>
        <w:t xml:space="preserve">Borsom EM, Conn K, Keefe CR, Herman C, Orsini GM, Hirsch AH, Palma Avila M, Testo G, Jaramillo SA, Bolyen E, Lee K, Caporaso JG, Cope EK. Predicting Neurodegenerative Disease Using Prepathology Gut Microbiota Composition: </w:t>
      </w:r>
      <w:r w:rsidRPr="00E239CA">
        <w:rPr>
          <w:rFonts w:ascii="Palatino Linotype" w:hAnsi="Palatino Linotype"/>
          <w:sz w:val="20"/>
          <w:szCs w:val="20"/>
        </w:rPr>
        <w:t>a Longitudinal Study in Mice Modeling Alzheimer's Disease Pathologies. Microbiol Spectr. 2023 Mar 6;11(2):e0345822. doi: 10.1128/spectrum.03458-22. Epub ahead of print. PMID: 36877047; PMCID: PMC10101110.</w:t>
      </w:r>
    </w:p>
    <w:p w14:paraId="4EE7D4BA" w14:textId="77777777" w:rsidR="00920888" w:rsidRPr="00E239CA" w:rsidRDefault="00920888" w:rsidP="00920888">
      <w:pPr>
        <w:pStyle w:val="z-BottomofForm"/>
        <w:rPr>
          <w:rFonts w:ascii="Palatino Linotype" w:hAnsi="Palatino Linotype"/>
          <w:sz w:val="20"/>
          <w:szCs w:val="20"/>
        </w:rPr>
      </w:pPr>
      <w:r w:rsidRPr="00E239CA">
        <w:rPr>
          <w:rFonts w:ascii="Palatino Linotype" w:hAnsi="Palatino Linotype"/>
          <w:sz w:val="20"/>
          <w:szCs w:val="20"/>
        </w:rPr>
        <w:t>Bottom of Form</w:t>
      </w:r>
    </w:p>
    <w:p w14:paraId="2ED8B877" w14:textId="77777777" w:rsidR="00920888" w:rsidRPr="00E239CA" w:rsidRDefault="00920888" w:rsidP="00920888">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LancetPro">
    <w:altName w:val="Cambria"/>
    <w:panose1 w:val="020B0604020202020204"/>
    <w:charset w:val="00"/>
    <w:family w:val="roman"/>
    <w:pitch w:val="default"/>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9319A" w14:textId="77777777" w:rsidR="00B85B45" w:rsidRDefault="00B85B45" w:rsidP="00920888">
      <w:r>
        <w:separator/>
      </w:r>
    </w:p>
  </w:footnote>
  <w:footnote w:type="continuationSeparator" w:id="0">
    <w:p w14:paraId="5CCEC2E4" w14:textId="77777777" w:rsidR="00B85B45" w:rsidRDefault="00B85B45" w:rsidP="009208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62"/>
    <w:rsid w:val="00121022"/>
    <w:rsid w:val="0078696B"/>
    <w:rsid w:val="00873830"/>
    <w:rsid w:val="00920888"/>
    <w:rsid w:val="00A6667A"/>
    <w:rsid w:val="00A67711"/>
    <w:rsid w:val="00AF406F"/>
    <w:rsid w:val="00B03E5B"/>
    <w:rsid w:val="00B85B45"/>
    <w:rsid w:val="00BD7362"/>
    <w:rsid w:val="00FD4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F53D"/>
  <w15:chartTrackingRefBased/>
  <w15:docId w15:val="{105ED023-C8C2-824F-8B98-2507A2C4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88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D736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D736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D736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D736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D736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D736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D736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D736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D736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3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3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73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73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73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73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73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736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D7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36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D73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7362"/>
    <w:pPr>
      <w:spacing w:before="160" w:after="160"/>
      <w:jc w:val="center"/>
    </w:pPr>
    <w:rPr>
      <w:rFonts w:ascii="Palatino Linotype" w:eastAsiaTheme="minorHAnsi" w:hAnsi="Palatino Linotype" w:cs="Times New Roman (Body CS)"/>
      <w:i/>
      <w:iCs/>
      <w:color w:val="404040" w:themeColor="text1" w:themeTint="BF"/>
      <w:kern w:val="2"/>
      <w14:ligatures w14:val="standardContextual"/>
    </w:rPr>
  </w:style>
  <w:style w:type="character" w:customStyle="1" w:styleId="QuoteChar">
    <w:name w:val="Quote Char"/>
    <w:basedOn w:val="DefaultParagraphFont"/>
    <w:link w:val="Quote"/>
    <w:uiPriority w:val="29"/>
    <w:rsid w:val="00BD7362"/>
    <w:rPr>
      <w:i/>
      <w:iCs/>
      <w:color w:val="404040" w:themeColor="text1" w:themeTint="BF"/>
    </w:rPr>
  </w:style>
  <w:style w:type="paragraph" w:styleId="ListParagraph">
    <w:name w:val="List Paragraph"/>
    <w:basedOn w:val="Normal"/>
    <w:uiPriority w:val="34"/>
    <w:qFormat/>
    <w:rsid w:val="00BD7362"/>
    <w:pPr>
      <w:ind w:left="720"/>
      <w:contextualSpacing/>
    </w:pPr>
    <w:rPr>
      <w:rFonts w:ascii="Palatino Linotype" w:eastAsiaTheme="minorHAnsi" w:hAnsi="Palatino Linotype" w:cs="Times New Roman (Body CS)"/>
      <w:kern w:val="2"/>
      <w14:ligatures w14:val="standardContextual"/>
    </w:rPr>
  </w:style>
  <w:style w:type="character" w:styleId="IntenseEmphasis">
    <w:name w:val="Intense Emphasis"/>
    <w:basedOn w:val="DefaultParagraphFont"/>
    <w:uiPriority w:val="21"/>
    <w:qFormat/>
    <w:rsid w:val="00BD7362"/>
    <w:rPr>
      <w:i/>
      <w:iCs/>
      <w:color w:val="0F4761" w:themeColor="accent1" w:themeShade="BF"/>
    </w:rPr>
  </w:style>
  <w:style w:type="paragraph" w:styleId="IntenseQuote">
    <w:name w:val="Intense Quote"/>
    <w:basedOn w:val="Normal"/>
    <w:next w:val="Normal"/>
    <w:link w:val="IntenseQuoteChar"/>
    <w:uiPriority w:val="30"/>
    <w:qFormat/>
    <w:rsid w:val="00BD7362"/>
    <w:pPr>
      <w:pBdr>
        <w:top w:val="single" w:sz="4" w:space="10" w:color="0F4761" w:themeColor="accent1" w:themeShade="BF"/>
        <w:bottom w:val="single" w:sz="4" w:space="10" w:color="0F4761" w:themeColor="accent1" w:themeShade="BF"/>
      </w:pBdr>
      <w:spacing w:before="360" w:after="360"/>
      <w:ind w:left="864" w:right="864"/>
      <w:jc w:val="center"/>
    </w:pPr>
    <w:rPr>
      <w:rFonts w:ascii="Palatino Linotype" w:eastAsiaTheme="minorHAnsi" w:hAnsi="Palatino Linotype" w:cs="Times New Roman (Body CS)"/>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D7362"/>
    <w:rPr>
      <w:i/>
      <w:iCs/>
      <w:color w:val="0F4761" w:themeColor="accent1" w:themeShade="BF"/>
    </w:rPr>
  </w:style>
  <w:style w:type="character" w:styleId="IntenseReference">
    <w:name w:val="Intense Reference"/>
    <w:basedOn w:val="DefaultParagraphFont"/>
    <w:uiPriority w:val="32"/>
    <w:qFormat/>
    <w:rsid w:val="00BD7362"/>
    <w:rPr>
      <w:b/>
      <w:bCs/>
      <w:smallCaps/>
      <w:color w:val="0F4761" w:themeColor="accent1" w:themeShade="BF"/>
      <w:spacing w:val="5"/>
    </w:rPr>
  </w:style>
  <w:style w:type="paragraph" w:styleId="BodyText">
    <w:name w:val="Body Text"/>
    <w:basedOn w:val="Normal"/>
    <w:link w:val="BodyTextChar"/>
    <w:rsid w:val="00920888"/>
    <w:pPr>
      <w:widowControl w:val="0"/>
      <w:autoSpaceDE w:val="0"/>
      <w:autoSpaceDN w:val="0"/>
    </w:pPr>
    <w:rPr>
      <w:rFonts w:ascii="Arial" w:hAnsi="Arial" w:cs="Arial"/>
    </w:rPr>
  </w:style>
  <w:style w:type="character" w:customStyle="1" w:styleId="BodyTextChar">
    <w:name w:val="Body Text Char"/>
    <w:basedOn w:val="DefaultParagraphFont"/>
    <w:link w:val="BodyText"/>
    <w:rsid w:val="00920888"/>
    <w:rPr>
      <w:rFonts w:ascii="Arial" w:eastAsia="Times New Roman" w:hAnsi="Arial" w:cs="Arial"/>
      <w:kern w:val="0"/>
      <w14:ligatures w14:val="none"/>
    </w:rPr>
  </w:style>
  <w:style w:type="character" w:styleId="Hyperlink">
    <w:name w:val="Hyperlink"/>
    <w:uiPriority w:val="99"/>
    <w:rsid w:val="00920888"/>
    <w:rPr>
      <w:color w:val="0000FF"/>
      <w:u w:val="single"/>
    </w:rPr>
  </w:style>
  <w:style w:type="paragraph" w:styleId="EndnoteText">
    <w:name w:val="endnote text"/>
    <w:basedOn w:val="Normal"/>
    <w:link w:val="EndnoteTextChar"/>
    <w:uiPriority w:val="99"/>
    <w:rsid w:val="00920888"/>
    <w:rPr>
      <w:rFonts w:ascii="Palatino Linotype" w:eastAsia="Calibri" w:hAnsi="Palatino Linotype"/>
      <w:sz w:val="20"/>
      <w:szCs w:val="20"/>
    </w:rPr>
  </w:style>
  <w:style w:type="character" w:customStyle="1" w:styleId="EndnoteTextChar">
    <w:name w:val="Endnote Text Char"/>
    <w:basedOn w:val="DefaultParagraphFont"/>
    <w:link w:val="EndnoteText"/>
    <w:uiPriority w:val="99"/>
    <w:rsid w:val="00920888"/>
    <w:rPr>
      <w:rFonts w:eastAsia="Calibri" w:cs="Times New Roman"/>
      <w:kern w:val="0"/>
      <w:sz w:val="20"/>
      <w:szCs w:val="20"/>
      <w14:ligatures w14:val="none"/>
    </w:rPr>
  </w:style>
  <w:style w:type="character" w:styleId="EndnoteReference">
    <w:name w:val="endnote reference"/>
    <w:uiPriority w:val="99"/>
    <w:rsid w:val="00920888"/>
    <w:rPr>
      <w:rFonts w:cs="Times New Roman"/>
      <w:vertAlign w:val="superscript"/>
    </w:rPr>
  </w:style>
  <w:style w:type="character" w:customStyle="1" w:styleId="hgkelc">
    <w:name w:val="hgkelc"/>
    <w:basedOn w:val="DefaultParagraphFont"/>
    <w:rsid w:val="00920888"/>
  </w:style>
  <w:style w:type="character" w:styleId="Emphasis">
    <w:name w:val="Emphasis"/>
    <w:uiPriority w:val="20"/>
    <w:qFormat/>
    <w:rsid w:val="00920888"/>
    <w:rPr>
      <w:i/>
      <w:iCs/>
    </w:rPr>
  </w:style>
  <w:style w:type="paragraph" w:styleId="z-BottomofForm">
    <w:name w:val="HTML Bottom of Form"/>
    <w:basedOn w:val="Normal"/>
    <w:next w:val="Normal"/>
    <w:link w:val="z-BottomofFormChar"/>
    <w:hidden/>
    <w:uiPriority w:val="99"/>
    <w:unhideWhenUsed/>
    <w:rsid w:val="0092088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920888"/>
    <w:rPr>
      <w:rFonts w:ascii="Arial" w:eastAsia="Times New Roman" w:hAnsi="Arial" w:cs="Arial"/>
      <w:vanish/>
      <w:kern w:val="0"/>
      <w:sz w:val="16"/>
      <w:szCs w:val="16"/>
      <w14:ligatures w14:val="none"/>
    </w:rPr>
  </w:style>
  <w:style w:type="paragraph" w:customStyle="1" w:styleId="Pa6">
    <w:name w:val="Pa6"/>
    <w:basedOn w:val="Normal"/>
    <w:next w:val="Normal"/>
    <w:uiPriority w:val="99"/>
    <w:rsid w:val="00920888"/>
    <w:pPr>
      <w:autoSpaceDE w:val="0"/>
      <w:autoSpaceDN w:val="0"/>
      <w:adjustRightInd w:val="0"/>
      <w:spacing w:line="181" w:lineRule="atLeast"/>
    </w:pPr>
    <w:rPr>
      <w:rFonts w:ascii="ScalaLancetPro" w:hAnsi="ScalaLancetPro"/>
    </w:rPr>
  </w:style>
  <w:style w:type="character" w:customStyle="1" w:styleId="A5">
    <w:name w:val="A5"/>
    <w:uiPriority w:val="99"/>
    <w:rsid w:val="00920888"/>
    <w:rPr>
      <w:rFonts w:cs="ScalaLancetPro"/>
      <w:color w:val="211D1E"/>
      <w:sz w:val="9"/>
      <w:szCs w:val="9"/>
    </w:rPr>
  </w:style>
  <w:style w:type="character" w:customStyle="1" w:styleId="apple-converted-space">
    <w:name w:val="apple-converted-space"/>
    <w:basedOn w:val="DefaultParagraphFont"/>
    <w:rsid w:val="00920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neuroscience/histone-acetylation"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www.sciencedirect.com/topics/neuroscience/mitochondrial-respiration"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ciencedirect.com/topics/neuroscience/cognitive-disorders"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www.sciencedirect.com/topics/pharmacology-toxicology-and-pharmaceutical-science/intestine-flora" TargetMode="External"/><Relationship Id="rId14" Type="http://schemas.openxmlformats.org/officeDocument/2006/relationships/image" Target="media/image5.png"/></Relationships>
</file>

<file path=word/_rels/endnotes.xml.rels><?xml version="1.0" encoding="UTF-8" standalone="yes"?>
<Relationships xmlns="http://schemas.openxmlformats.org/package/2006/relationships"><Relationship Id="rId1" Type="http://schemas.openxmlformats.org/officeDocument/2006/relationships/hyperlink" Target="https://trn.tulane.edu/wp-content/uploads/sites/445/2021/07/Lin-qPCR-protocol-0107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2482</Words>
  <Characters>14546</Characters>
  <Application>Microsoft Office Word</Application>
  <DocSecurity>0</DocSecurity>
  <Lines>234</Lines>
  <Paragraphs>35</Paragraphs>
  <ScaleCrop>false</ScaleCrop>
  <Company/>
  <LinksUpToDate>false</LinksUpToDate>
  <CharactersWithSpaces>16993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Ornish</dc:creator>
  <cp:keywords/>
  <dc:description/>
  <cp:lastModifiedBy>Dean Ornish</cp:lastModifiedBy>
  <cp:revision>3</cp:revision>
  <dcterms:created xsi:type="dcterms:W3CDTF">2024-04-21T20:05:00Z</dcterms:created>
  <dcterms:modified xsi:type="dcterms:W3CDTF">2024-04-21T20:09:00Z</dcterms:modified>
</cp:coreProperties>
</file>