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  <w:bCs/>
        </w:rPr>
      </w:pPr>
      <w:bookmarkStart w:id="0" w:name="_GoBack"/>
      <w:bookmarkEnd w:id="0"/>
      <w:r>
        <w:rPr>
          <w:b/>
          <w:bCs/>
        </w:rPr>
        <w:t>Supplementary Material for: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High-affinity antibodies specific to the core region of the tau protein exhibit diagnostic and therapeutic potential for Alzheimer’s disease</w:t>
      </w:r>
    </w:p>
    <w:p>
      <w:pPr>
        <w:pStyle w:val="Normal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Mohammad Arastoo, Lewis K. Penny, Richard Lofthouse, Aya Abdallah, Anna Abrahamsson, Pietro Marini, Valeria Melis, Gernot Riedel, Charles R. Harrington, Claude M. Wischik, Andrew Porter and Soumya Palliyil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/>
      </w:pPr>
      <w:r>
        <w:rPr>
          <w:sz w:val="28"/>
          <w:szCs w:val="28"/>
        </w:rPr>
        <w:t>Alzheimer’s Research &amp; Therapy</w:t>
      </w:r>
      <w:r>
        <w:br w:type="page"/>
      </w:r>
    </w:p>
    <w:p>
      <w:pPr>
        <w:pStyle w:val="Normal"/>
        <w:tabs>
          <w:tab w:val="clear" w:pos="720"/>
          <w:tab w:val="left" w:pos="5387" w:leader="none"/>
          <w:tab w:val="left" w:pos="5812" w:leader="none"/>
        </w:tabs>
        <w:spacing w:before="0" w:after="160"/>
        <w:rPr/>
      </w:pPr>
      <w:r>
        <w:rPr/>
      </w:r>
    </w:p>
    <w:tbl>
      <w:tblPr>
        <w:tblStyle w:val="TableGrid1"/>
        <w:tblpPr w:vertAnchor="text" w:horzAnchor="margin" w:leftFromText="180" w:rightFromText="180" w:tblpX="0" w:tblpY="-464"/>
        <w:tblW w:w="1362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19"/>
        <w:gridCol w:w="2699"/>
        <w:gridCol w:w="2160"/>
        <w:gridCol w:w="1803"/>
        <w:gridCol w:w="3848"/>
      </w:tblGrid>
      <w:tr>
        <w:trPr>
          <w:trHeight w:val="832" w:hRule="atLeast"/>
        </w:trPr>
        <w:tc>
          <w:tcPr>
            <w:tcW w:w="3119" w:type="dxa"/>
            <w:tcBorders>
              <w:top w:val="double" w:sz="4" w:space="0" w:color="000000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  <w:b/>
                <w:bCs/>
              </w:rPr>
            </w:pPr>
            <w:r>
              <w:rPr>
                <w:rFonts w:eastAsia="Calibri" w:cs="Times New Roman"/>
                <w:b/>
                <w:bCs/>
                <w:sz w:val="22"/>
                <w:szCs w:val="22"/>
                <w:lang w:val="en-GB" w:eastAsia="en-US" w:bidi="ar-SA"/>
              </w:rPr>
              <w:t>dGAE Library Selection</w:t>
            </w:r>
          </w:p>
        </w:tc>
        <w:tc>
          <w:tcPr>
            <w:tcW w:w="2699" w:type="dxa"/>
            <w:tcBorders>
              <w:top w:val="double" w:sz="4" w:space="0" w:color="000000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  <w:b/>
                <w:bCs/>
              </w:rPr>
            </w:pPr>
            <w:r>
              <w:rPr>
                <w:rFonts w:eastAsia="Calibri" w:cs="Times New Roman"/>
                <w:b/>
                <w:bCs/>
                <w:sz w:val="22"/>
                <w:szCs w:val="22"/>
                <w:lang w:val="en-GB" w:eastAsia="en-US" w:bidi="ar-SA"/>
              </w:rPr>
              <w:t>Pan 1</w:t>
            </w:r>
          </w:p>
        </w:tc>
        <w:tc>
          <w:tcPr>
            <w:tcW w:w="2160" w:type="dxa"/>
            <w:tcBorders>
              <w:top w:val="double" w:sz="4" w:space="0" w:color="000000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  <w:b/>
                <w:bCs/>
              </w:rPr>
            </w:pPr>
            <w:r>
              <w:rPr>
                <w:rFonts w:eastAsia="Calibri" w:cs="Times New Roman"/>
                <w:b/>
                <w:bCs/>
                <w:sz w:val="22"/>
                <w:szCs w:val="22"/>
                <w:lang w:val="en-GB" w:eastAsia="en-US" w:bidi="ar-SA"/>
              </w:rPr>
              <w:t>Pan 2</w:t>
            </w:r>
          </w:p>
        </w:tc>
        <w:tc>
          <w:tcPr>
            <w:tcW w:w="1803" w:type="dxa"/>
            <w:tcBorders>
              <w:top w:val="double" w:sz="4" w:space="0" w:color="000000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  <w:b/>
                <w:bCs/>
              </w:rPr>
            </w:pPr>
            <w:r>
              <w:rPr>
                <w:rFonts w:eastAsia="Calibri" w:cs="Times New Roman"/>
                <w:b/>
                <w:bCs/>
                <w:sz w:val="22"/>
                <w:szCs w:val="22"/>
                <w:lang w:val="en-GB" w:eastAsia="en-US" w:bidi="ar-SA"/>
              </w:rPr>
              <w:t>Pan 3</w:t>
            </w:r>
          </w:p>
        </w:tc>
        <w:tc>
          <w:tcPr>
            <w:tcW w:w="3848" w:type="dxa"/>
            <w:tcBorders>
              <w:top w:val="double" w:sz="4" w:space="0" w:color="000000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  <w:b/>
                <w:bCs/>
              </w:rPr>
            </w:pPr>
            <w:r>
              <w:rPr>
                <w:rFonts w:eastAsia="Calibri" w:cs="Times New Roman"/>
                <w:b/>
                <w:bCs/>
                <w:sz w:val="22"/>
                <w:szCs w:val="22"/>
                <w:lang w:val="en-GB" w:eastAsia="en-US" w:bidi="ar-SA"/>
              </w:rPr>
              <w:t xml:space="preserve">Number of positive clones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  <w:b/>
                <w:bCs/>
              </w:rPr>
            </w:pPr>
            <w:r>
              <w:rPr>
                <w:rFonts w:eastAsia="Calibri" w:cs="Times New Roman"/>
                <w:b/>
                <w:bCs/>
                <w:sz w:val="22"/>
                <w:szCs w:val="22"/>
                <w:lang w:val="en-GB" w:eastAsia="en-US" w:bidi="ar-SA"/>
              </w:rPr>
              <w:t>(and prefix for clone names)</w:t>
            </w:r>
          </w:p>
        </w:tc>
      </w:tr>
      <w:tr>
        <w:trPr>
          <w:trHeight w:val="832" w:hRule="atLeast"/>
        </w:trPr>
        <w:tc>
          <w:tcPr>
            <w:tcW w:w="3119" w:type="dxa"/>
            <w:tcBorders>
              <w:top w:val="double" w:sz="4" w:space="0" w:color="000000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  <w:b/>
                <w:bCs/>
              </w:rPr>
            </w:pPr>
            <w:r>
              <w:rPr>
                <w:rFonts w:eastAsia="Calibri" w:cs="Times New Roman"/>
                <w:b/>
                <w:bCs/>
                <w:sz w:val="22"/>
                <w:szCs w:val="22"/>
                <w:lang w:val="en-GB" w:eastAsia="en-US" w:bidi="ar-SA"/>
              </w:rPr>
              <w:t>1</w:t>
            </w:r>
          </w:p>
        </w:tc>
        <w:tc>
          <w:tcPr>
            <w:tcW w:w="2699" w:type="dxa"/>
            <w:tcBorders>
              <w:top w:val="double" w:sz="4" w:space="0" w:color="000000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 xml:space="preserve">50 </w:t>
            </w:r>
            <w:r>
              <w:rPr>
                <w:rFonts w:eastAsia="Calibri" w:cs="Calibri"/>
                <w:sz w:val="22"/>
                <w:szCs w:val="22"/>
                <w:lang w:val="en-GB" w:eastAsia="en-US" w:bidi="ar-SA"/>
              </w:rPr>
              <w:t>µ</w:t>
            </w: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g/ml dGAE</w:t>
            </w:r>
          </w:p>
        </w:tc>
        <w:tc>
          <w:tcPr>
            <w:tcW w:w="2160" w:type="dxa"/>
            <w:tcBorders>
              <w:top w:val="double" w:sz="4" w:space="0" w:color="000000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 xml:space="preserve">10 </w:t>
            </w:r>
            <w:r>
              <w:rPr>
                <w:rFonts w:eastAsia="Calibri" w:cs="Calibri"/>
                <w:sz w:val="22"/>
                <w:szCs w:val="22"/>
                <w:lang w:val="en-GB" w:eastAsia="en-US" w:bidi="ar-SA"/>
              </w:rPr>
              <w:t>µ</w:t>
            </w: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g/ml dGAE</w:t>
            </w:r>
          </w:p>
        </w:tc>
        <w:tc>
          <w:tcPr>
            <w:tcW w:w="1803" w:type="dxa"/>
            <w:tcBorders>
              <w:top w:val="double" w:sz="4" w:space="0" w:color="000000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 xml:space="preserve">1 </w:t>
            </w:r>
            <w:r>
              <w:rPr>
                <w:rFonts w:eastAsia="Calibri" w:cs="Calibri"/>
                <w:sz w:val="22"/>
                <w:szCs w:val="22"/>
                <w:lang w:val="en-GB" w:eastAsia="en-US" w:bidi="ar-SA"/>
              </w:rPr>
              <w:t>µ</w:t>
            </w: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g/ml dGAE</w:t>
            </w:r>
          </w:p>
        </w:tc>
        <w:tc>
          <w:tcPr>
            <w:tcW w:w="3848" w:type="dxa"/>
            <w:tcBorders>
              <w:top w:val="double" w:sz="4" w:space="0" w:color="000000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(prefix-‘E’)</w:t>
            </w:r>
          </w:p>
        </w:tc>
      </w:tr>
      <w:tr>
        <w:trPr>
          <w:trHeight w:val="832" w:hRule="atLeast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  <w:b/>
                <w:bCs/>
              </w:rPr>
            </w:pPr>
            <w:r>
              <w:rPr>
                <w:rFonts w:eastAsia="Calibri" w:cs="Times New Roman"/>
                <w:b/>
                <w:bCs/>
                <w:sz w:val="22"/>
                <w:szCs w:val="22"/>
                <w:lang w:val="en-GB" w:eastAsia="en-US" w:bidi="ar-SA"/>
              </w:rPr>
              <w:t>2</w:t>
            </w: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100µg/ml dGA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50 µg/ml dGA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10 µg/ml dGA</w:t>
            </w:r>
          </w:p>
        </w:tc>
        <w:tc>
          <w:tcPr>
            <w:tcW w:w="384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18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(prefix – ‘NS’ or ’Mo’)</w:t>
            </w:r>
          </w:p>
        </w:tc>
      </w:tr>
      <w:tr>
        <w:trPr>
          <w:trHeight w:val="832" w:hRule="atLeast"/>
        </w:trPr>
        <w:tc>
          <w:tcPr>
            <w:tcW w:w="3119" w:type="dxa"/>
            <w:tcBorders>
              <w:top w:val="nil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  <w:b/>
                <w:bCs/>
              </w:rPr>
            </w:pPr>
            <w:r>
              <w:rPr>
                <w:rFonts w:eastAsia="Calibri" w:cs="Times New Roman"/>
                <w:b/>
                <w:bCs/>
                <w:sz w:val="22"/>
                <w:szCs w:val="22"/>
                <w:lang w:val="en-GB" w:eastAsia="en-US" w:bidi="ar-SA"/>
              </w:rPr>
              <w:t>3</w:t>
            </w:r>
          </w:p>
        </w:tc>
        <w:tc>
          <w:tcPr>
            <w:tcW w:w="2699" w:type="dxa"/>
            <w:tcBorders>
              <w:top w:val="nil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100 µg/ml dGA</w:t>
            </w: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10 µg/ml dGA</w:t>
            </w:r>
          </w:p>
        </w:tc>
        <w:tc>
          <w:tcPr>
            <w:tcW w:w="1803" w:type="dxa"/>
            <w:tcBorders>
              <w:top w:val="nil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1 µg/ml dGA</w:t>
            </w:r>
          </w:p>
        </w:tc>
        <w:tc>
          <w:tcPr>
            <w:tcW w:w="3848" w:type="dxa"/>
            <w:tcBorders>
              <w:top w:val="nil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20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(prefix – ‘S’)</w:t>
            </w:r>
          </w:p>
        </w:tc>
      </w:tr>
    </w:tbl>
    <w:p>
      <w:pPr>
        <w:pStyle w:val="Normal"/>
        <w:tabs>
          <w:tab w:val="clear" w:pos="720"/>
          <w:tab w:val="left" w:pos="2554" w:leader="none"/>
        </w:tabs>
        <w:rPr>
          <w:sz w:val="20"/>
          <w:szCs w:val="20"/>
        </w:rPr>
      </w:pPr>
      <w:r/>
      <w:r>
        <w:rPr>
          <w:b/>
          <w:bCs/>
          <w:sz w:val="20"/>
          <w:szCs w:val="20"/>
        </w:rPr>
        <w:t>Table S1: dGAE library selection strategies -</w:t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Three different selection strategies were used with the dGAE antibody library and the concentrations of dGA or dGAE antigen used for different rounds of panning are indicated. A total of 43 positive binders were isolated from the dGAE Library.</w:t>
      </w:r>
      <w:r>
        <w:rPr>
          <w:sz w:val="20"/>
          <w:szCs w:val="20"/>
        </w:rPr>
        <w:t xml:space="preserve"> </w:t>
      </w:r>
    </w:p>
    <w:tbl>
      <w:tblPr>
        <w:tblStyle w:val="TableGrid2"/>
        <w:tblpPr w:vertAnchor="text" w:horzAnchor="margin" w:leftFromText="180" w:rightFromText="180" w:tblpX="0" w:tblpY="280"/>
        <w:tblW w:w="134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434"/>
        <w:gridCol w:w="2341"/>
        <w:gridCol w:w="2244"/>
        <w:gridCol w:w="2245"/>
        <w:gridCol w:w="3208"/>
      </w:tblGrid>
      <w:tr>
        <w:trPr>
          <w:trHeight w:val="537" w:hRule="atLeast"/>
        </w:trPr>
        <w:tc>
          <w:tcPr>
            <w:tcW w:w="3434" w:type="dxa"/>
            <w:tcBorders>
              <w:top w:val="double" w:sz="4" w:space="0" w:color="000000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  <w:b/>
                <w:bCs/>
              </w:rPr>
            </w:pPr>
            <w:r>
              <w:rPr>
                <w:rFonts w:eastAsia="Calibri" w:cs="Times New Roman"/>
                <w:b/>
                <w:bCs/>
                <w:sz w:val="22"/>
                <w:szCs w:val="22"/>
                <w:lang w:val="en-GB" w:eastAsia="en-US" w:bidi="ar-SA"/>
              </w:rPr>
              <w:t>2N4R tau Library Selection</w:t>
            </w:r>
          </w:p>
        </w:tc>
        <w:tc>
          <w:tcPr>
            <w:tcW w:w="2341" w:type="dxa"/>
            <w:tcBorders>
              <w:top w:val="double" w:sz="4" w:space="0" w:color="000000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  <w:b/>
                <w:bCs/>
              </w:rPr>
            </w:pPr>
            <w:r>
              <w:rPr>
                <w:rFonts w:eastAsia="Calibri" w:cs="Times New Roman"/>
                <w:b/>
                <w:bCs/>
                <w:sz w:val="22"/>
                <w:szCs w:val="22"/>
                <w:lang w:val="en-GB" w:eastAsia="en-US" w:bidi="ar-SA"/>
              </w:rPr>
              <w:t>Pan 1</w:t>
            </w:r>
          </w:p>
        </w:tc>
        <w:tc>
          <w:tcPr>
            <w:tcW w:w="2244" w:type="dxa"/>
            <w:tcBorders>
              <w:top w:val="double" w:sz="4" w:space="0" w:color="000000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  <w:b/>
                <w:bCs/>
              </w:rPr>
            </w:pPr>
            <w:r>
              <w:rPr>
                <w:rFonts w:eastAsia="Calibri" w:cs="Times New Roman"/>
                <w:b/>
                <w:bCs/>
                <w:sz w:val="22"/>
                <w:szCs w:val="22"/>
                <w:lang w:val="en-GB" w:eastAsia="en-US" w:bidi="ar-SA"/>
              </w:rPr>
              <w:t>Pan 2</w:t>
            </w:r>
          </w:p>
        </w:tc>
        <w:tc>
          <w:tcPr>
            <w:tcW w:w="2245" w:type="dxa"/>
            <w:tcBorders>
              <w:top w:val="double" w:sz="4" w:space="0" w:color="000000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  <w:b/>
                <w:bCs/>
              </w:rPr>
            </w:pPr>
            <w:r>
              <w:rPr>
                <w:rFonts w:eastAsia="Calibri" w:cs="Times New Roman"/>
                <w:b/>
                <w:bCs/>
                <w:sz w:val="22"/>
                <w:szCs w:val="22"/>
                <w:lang w:val="en-GB" w:eastAsia="en-US" w:bidi="ar-SA"/>
              </w:rPr>
              <w:t>Pan 3</w:t>
            </w:r>
          </w:p>
        </w:tc>
        <w:tc>
          <w:tcPr>
            <w:tcW w:w="3208" w:type="dxa"/>
            <w:tcBorders>
              <w:top w:val="double" w:sz="4" w:space="0" w:color="000000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  <w:b/>
                <w:bCs/>
                <w:u w:val="single"/>
              </w:rPr>
            </w:pPr>
            <w:r>
              <w:rPr>
                <w:rFonts w:eastAsia="Calibri" w:cs="Times New Roman"/>
                <w:b/>
                <w:bCs/>
                <w:sz w:val="22"/>
                <w:szCs w:val="22"/>
                <w:lang w:val="en-GB" w:eastAsia="en-US" w:bidi="ar-SA"/>
              </w:rPr>
              <w:t>Number of positive clones (and prefix for clone names)</w:t>
            </w:r>
          </w:p>
        </w:tc>
      </w:tr>
      <w:tr>
        <w:trPr>
          <w:trHeight w:val="537" w:hRule="atLeast"/>
        </w:trPr>
        <w:tc>
          <w:tcPr>
            <w:tcW w:w="3434" w:type="dxa"/>
            <w:tcBorders>
              <w:top w:val="double" w:sz="4" w:space="0" w:color="000000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b/>
                <w:bCs/>
                <w:sz w:val="22"/>
                <w:szCs w:val="22"/>
                <w:lang w:val="en-GB" w:eastAsia="en-US" w:bidi="ar-SA"/>
              </w:rPr>
              <w:t>1</w:t>
            </w:r>
          </w:p>
        </w:tc>
        <w:tc>
          <w:tcPr>
            <w:tcW w:w="2341" w:type="dxa"/>
            <w:tcBorders>
              <w:top w:val="double" w:sz="4" w:space="0" w:color="000000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100 µg/ml 2N4R tau</w:t>
            </w:r>
          </w:p>
        </w:tc>
        <w:tc>
          <w:tcPr>
            <w:tcW w:w="2244" w:type="dxa"/>
            <w:tcBorders>
              <w:top w:val="double" w:sz="4" w:space="0" w:color="000000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10 µg/ml 2N4R tau</w:t>
            </w:r>
          </w:p>
        </w:tc>
        <w:tc>
          <w:tcPr>
            <w:tcW w:w="2245" w:type="dxa"/>
            <w:tcBorders>
              <w:top w:val="double" w:sz="4" w:space="0" w:color="000000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1 µg/ml 2N4R tau</w:t>
            </w:r>
          </w:p>
        </w:tc>
        <w:tc>
          <w:tcPr>
            <w:tcW w:w="3208" w:type="dxa"/>
            <w:tcBorders>
              <w:top w:val="double" w:sz="4" w:space="0" w:color="000000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28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(prefix ‘C’)</w:t>
            </w:r>
          </w:p>
        </w:tc>
      </w:tr>
      <w:tr>
        <w:trPr>
          <w:trHeight w:val="537" w:hRule="atLeast"/>
        </w:trPr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b/>
                <w:bCs/>
                <w:sz w:val="22"/>
                <w:szCs w:val="22"/>
                <w:lang w:val="en-GB" w:eastAsia="en-US" w:bidi="ar-SA"/>
              </w:rPr>
              <w:t>2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100 µg/ml R1-3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50 µg/ml R1-3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10 µg/ml R1-3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3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(prefix ‘C’)</w:t>
            </w:r>
          </w:p>
        </w:tc>
      </w:tr>
      <w:tr>
        <w:trPr>
          <w:trHeight w:val="537" w:hRule="atLeast"/>
        </w:trPr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b/>
                <w:bCs/>
                <w:sz w:val="22"/>
                <w:szCs w:val="22"/>
                <w:lang w:val="en-GB" w:eastAsia="en-US" w:bidi="ar-SA"/>
              </w:rPr>
              <w:t>3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100 µg/ml 412-441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10 µg/ml 412-441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1 µg/ml 412-441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4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(prefix ‘412’)</w:t>
            </w:r>
          </w:p>
        </w:tc>
      </w:tr>
      <w:tr>
        <w:trPr>
          <w:trHeight w:val="537" w:hRule="atLeast"/>
        </w:trPr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b/>
                <w:bCs/>
                <w:sz w:val="22"/>
                <w:szCs w:val="22"/>
                <w:lang w:val="en-GB" w:eastAsia="en-US" w:bidi="ar-SA"/>
              </w:rPr>
              <w:t>4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100 µg/ml 2N4R tau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50 µg/ml 2N4R tau dGA deselection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10 µg/ml 2N4R tau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6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(prefix ‘3a’)</w:t>
            </w:r>
          </w:p>
        </w:tc>
      </w:tr>
      <w:tr>
        <w:trPr>
          <w:trHeight w:val="647" w:hRule="atLeast"/>
        </w:trPr>
        <w:tc>
          <w:tcPr>
            <w:tcW w:w="3434" w:type="dxa"/>
            <w:tcBorders>
              <w:top w:val="nil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b/>
                <w:bCs/>
                <w:sz w:val="22"/>
                <w:szCs w:val="22"/>
                <w:lang w:val="en-GB" w:eastAsia="en-US" w:bidi="ar-SA"/>
              </w:rPr>
              <w:t>5</w:t>
            </w:r>
          </w:p>
        </w:tc>
        <w:tc>
          <w:tcPr>
            <w:tcW w:w="2341" w:type="dxa"/>
            <w:tcBorders>
              <w:top w:val="nil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100 µg/ml 2N4R tau</w:t>
            </w:r>
          </w:p>
        </w:tc>
        <w:tc>
          <w:tcPr>
            <w:tcW w:w="2244" w:type="dxa"/>
            <w:tcBorders>
              <w:top w:val="nil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10 µg/ml 2N4R tau dGA deselection</w:t>
            </w:r>
          </w:p>
        </w:tc>
        <w:tc>
          <w:tcPr>
            <w:tcW w:w="2245" w:type="dxa"/>
            <w:tcBorders>
              <w:top w:val="nil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0.1 µg/ml 2N4R tau</w:t>
            </w:r>
          </w:p>
        </w:tc>
        <w:tc>
          <w:tcPr>
            <w:tcW w:w="3208" w:type="dxa"/>
            <w:tcBorders>
              <w:top w:val="nil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2</w:t>
            </w:r>
          </w:p>
          <w:p>
            <w:pPr>
              <w:pStyle w:val="Normal"/>
              <w:keepNext w:val="true"/>
              <w:widowControl/>
              <w:spacing w:lineRule="auto" w:line="240" w:before="0" w:after="0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22"/>
                <w:szCs w:val="22"/>
                <w:lang w:val="en-GB" w:eastAsia="en-US" w:bidi="ar-SA"/>
              </w:rPr>
              <w:t>(prefix ‘3b’)</w:t>
            </w:r>
          </w:p>
        </w:tc>
      </w:tr>
    </w:tbl>
    <w:p>
      <w:pPr>
        <w:pStyle w:val="Normal"/>
        <w:tabs>
          <w:tab w:val="clear" w:pos="720"/>
          <w:tab w:val="left" w:pos="2554" w:leader="none"/>
        </w:tabs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tabs>
          <w:tab w:val="clear" w:pos="720"/>
          <w:tab w:val="left" w:pos="2554" w:leader="none"/>
        </w:tabs>
        <w:rPr>
          <w:i/>
          <w:i/>
          <w:iCs/>
          <w:sz w:val="20"/>
          <w:szCs w:val="20"/>
        </w:rPr>
      </w:pPr>
      <w:r>
        <w:rPr/>
      </w:r>
    </w:p>
    <w:p>
      <w:pPr>
        <w:pStyle w:val="Normal"/>
        <w:tabs>
          <w:tab w:val="clear" w:pos="720"/>
          <w:tab w:val="left" w:pos="2554" w:leader="none"/>
        </w:tabs>
        <w:rPr>
          <w:i/>
          <w:i/>
          <w:iCs/>
          <w:sz w:val="20"/>
          <w:szCs w:val="20"/>
        </w:rPr>
      </w:pPr>
      <w:r>
        <w:rPr/>
      </w:r>
    </w:p>
    <w:p>
      <w:pPr>
        <w:pStyle w:val="Normal"/>
        <w:tabs>
          <w:tab w:val="clear" w:pos="720"/>
          <w:tab w:val="left" w:pos="2554" w:leader="none"/>
        </w:tabs>
        <w:rPr>
          <w:i/>
          <w:i/>
          <w:iCs/>
          <w:sz w:val="20"/>
          <w:szCs w:val="20"/>
        </w:rPr>
      </w:pPr>
      <w:r>
        <w:rPr/>
      </w:r>
    </w:p>
    <w:p>
      <w:pPr>
        <w:pStyle w:val="Normal"/>
        <w:tabs>
          <w:tab w:val="clear" w:pos="720"/>
          <w:tab w:val="left" w:pos="2554" w:leader="none"/>
        </w:tabs>
        <w:rPr>
          <w:i/>
          <w:i/>
          <w:iCs/>
          <w:sz w:val="20"/>
          <w:szCs w:val="20"/>
        </w:rPr>
      </w:pPr>
      <w:r>
        <w:rPr/>
      </w:r>
    </w:p>
    <w:p>
      <w:pPr>
        <w:pStyle w:val="Normal"/>
        <w:tabs>
          <w:tab w:val="clear" w:pos="720"/>
          <w:tab w:val="left" w:pos="2554" w:leader="none"/>
        </w:tabs>
        <w:rPr>
          <w:i/>
          <w:i/>
          <w:iCs/>
          <w:sz w:val="20"/>
          <w:szCs w:val="20"/>
        </w:rPr>
      </w:pPr>
      <w:r>
        <w:rPr/>
      </w:r>
    </w:p>
    <w:p>
      <w:pPr>
        <w:pStyle w:val="Normal"/>
        <w:tabs>
          <w:tab w:val="clear" w:pos="720"/>
          <w:tab w:val="left" w:pos="2554" w:leader="none"/>
        </w:tabs>
        <w:rPr>
          <w:i/>
          <w:i/>
          <w:iCs/>
          <w:sz w:val="20"/>
          <w:szCs w:val="20"/>
        </w:rPr>
      </w:pPr>
      <w:r>
        <w:rPr/>
      </w:r>
    </w:p>
    <w:p>
      <w:pPr>
        <w:pStyle w:val="Normal"/>
        <w:tabs>
          <w:tab w:val="clear" w:pos="720"/>
          <w:tab w:val="left" w:pos="2554" w:leader="none"/>
        </w:tabs>
        <w:rPr>
          <w:i/>
          <w:i/>
          <w:iCs/>
          <w:sz w:val="20"/>
          <w:szCs w:val="20"/>
        </w:rPr>
      </w:pPr>
      <w:r>
        <w:rPr/>
      </w:r>
    </w:p>
    <w:p>
      <w:pPr>
        <w:pStyle w:val="Normal"/>
        <w:tabs>
          <w:tab w:val="clear" w:pos="720"/>
          <w:tab w:val="left" w:pos="2554" w:leader="none"/>
        </w:tabs>
        <w:rPr>
          <w:i/>
          <w:i/>
          <w:iCs/>
          <w:sz w:val="20"/>
          <w:szCs w:val="20"/>
        </w:rPr>
      </w:pPr>
      <w:r>
        <w:rPr/>
      </w:r>
    </w:p>
    <w:p>
      <w:pPr>
        <w:pStyle w:val="Normal"/>
        <w:tabs>
          <w:tab w:val="clear" w:pos="720"/>
          <w:tab w:val="left" w:pos="2554" w:leader="none"/>
        </w:tabs>
        <w:rPr>
          <w:i/>
          <w:i/>
          <w:iCs/>
          <w:sz w:val="20"/>
          <w:szCs w:val="20"/>
        </w:rPr>
      </w:pPr>
      <w:r>
        <w:rPr>
          <w:b/>
          <w:bCs/>
          <w:sz w:val="20"/>
          <w:szCs w:val="20"/>
        </w:rPr>
        <w:t>Table S2: Full length tau library  selection strategies -</w:t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 xml:space="preserve">Five different selection strategies were used with the 2N4R tau library and the concentrations of 2N4R tau, R1-3 (amino acids 244-337) , 412-441 or dGA antigen used for different rounds of panning are shown. A total of 42 positive binders were identified from the 2N4R tau library. </w:t>
      </w:r>
    </w:p>
    <w:tbl>
      <w:tblPr>
        <w:tblStyle w:val="TableGrid"/>
        <w:tblpPr w:vertAnchor="text" w:horzAnchor="text" w:tblpXSpec="center" w:leftFromText="180" w:rightFromText="180" w:tblpY="1"/>
        <w:tblOverlap w:val="never"/>
        <w:tblW w:w="793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90"/>
        <w:gridCol w:w="1386"/>
        <w:gridCol w:w="1568"/>
        <w:gridCol w:w="1559"/>
        <w:gridCol w:w="1135"/>
      </w:tblGrid>
      <w:tr>
        <w:trPr>
          <w:trHeight w:val="361" w:hRule="atLeast"/>
        </w:trPr>
        <w:tc>
          <w:tcPr>
            <w:tcW w:w="2290" w:type="dxa"/>
            <w:tcBorders>
              <w:top w:val="double" w:sz="4" w:space="0" w:color="000000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>scAb (Epitope)</w:t>
            </w:r>
          </w:p>
        </w:tc>
        <w:tc>
          <w:tcPr>
            <w:tcW w:w="1386" w:type="dxa"/>
            <w:tcBorders>
              <w:top w:val="double" w:sz="4" w:space="0" w:color="000000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i/>
                <w:iCs/>
                <w:sz w:val="22"/>
                <w:szCs w:val="22"/>
                <w:lang w:val="en-GB" w:eastAsia="en-US" w:bidi="ar-SA"/>
              </w:rPr>
              <w:t>K</w:t>
            </w:r>
            <w:r>
              <w:rPr>
                <w:rFonts w:eastAsia="Calibri" w:cs="Arial"/>
                <w:b/>
                <w:bCs/>
                <w:i/>
                <w:iCs/>
                <w:sz w:val="22"/>
                <w:szCs w:val="22"/>
                <w:vertAlign w:val="subscript"/>
                <w:lang w:val="en-GB" w:eastAsia="en-US" w:bidi="ar-SA"/>
              </w:rPr>
              <w:t>a</w:t>
            </w:r>
            <w:r>
              <w:rPr>
                <w:rFonts w:eastAsia="Calibri" w:cs="Arial"/>
                <w:b/>
                <w:bCs/>
                <w:sz w:val="22"/>
                <w:szCs w:val="22"/>
                <w:vertAlign w:val="subscript"/>
                <w:lang w:val="en-GB" w:eastAsia="en-US" w:bidi="ar-SA"/>
              </w:rPr>
              <w:t xml:space="preserve"> </w:t>
            </w: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>(1/Ms)</w:t>
            </w:r>
          </w:p>
        </w:tc>
        <w:tc>
          <w:tcPr>
            <w:tcW w:w="1568" w:type="dxa"/>
            <w:tcBorders>
              <w:top w:val="double" w:sz="4" w:space="0" w:color="000000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i/>
                <w:iCs/>
                <w:sz w:val="22"/>
                <w:szCs w:val="22"/>
                <w:lang w:val="en-GB" w:eastAsia="en-US" w:bidi="ar-SA"/>
              </w:rPr>
              <w:t>K</w:t>
            </w:r>
            <w:r>
              <w:rPr>
                <w:rFonts w:eastAsia="Calibri" w:cs="Arial"/>
                <w:b/>
                <w:bCs/>
                <w:i/>
                <w:iCs/>
                <w:sz w:val="22"/>
                <w:szCs w:val="22"/>
                <w:vertAlign w:val="subscript"/>
                <w:lang w:val="en-GB" w:eastAsia="en-US" w:bidi="ar-SA"/>
              </w:rPr>
              <w:t>d</w:t>
            </w:r>
            <w:r>
              <w:rPr>
                <w:rFonts w:eastAsia="Calibri" w:cs="Arial"/>
                <w:b/>
                <w:bCs/>
                <w:sz w:val="22"/>
                <w:szCs w:val="22"/>
                <w:vertAlign w:val="subscript"/>
                <w:lang w:val="en-GB" w:eastAsia="en-US" w:bidi="ar-SA"/>
              </w:rPr>
              <w:t xml:space="preserve"> </w:t>
            </w: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>(1/s)</w:t>
            </w:r>
          </w:p>
        </w:tc>
        <w:tc>
          <w:tcPr>
            <w:tcW w:w="1559" w:type="dxa"/>
            <w:tcBorders>
              <w:top w:val="double" w:sz="4" w:space="0" w:color="000000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  <w:vertAlign w:val="subscript"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>Chi</w:t>
            </w:r>
            <w:r>
              <w:rPr>
                <w:rFonts w:eastAsia="Calibri" w:cs="Arial"/>
                <w:b/>
                <w:bCs/>
                <w:sz w:val="22"/>
                <w:szCs w:val="22"/>
                <w:vertAlign w:val="superscript"/>
                <w:lang w:val="en-GB" w:eastAsia="en-US" w:bidi="ar-SA"/>
              </w:rPr>
              <w:t>2</w:t>
            </w: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 xml:space="preserve"> </w:t>
              <w:br/>
              <w:t>(% of R</w:t>
            </w:r>
            <w:r>
              <w:rPr>
                <w:rFonts w:eastAsia="Calibri" w:cs="Arial"/>
                <w:b/>
                <w:bCs/>
                <w:sz w:val="22"/>
                <w:szCs w:val="22"/>
                <w:vertAlign w:val="subscript"/>
                <w:lang w:val="en-GB" w:eastAsia="en-US" w:bidi="ar-SA"/>
              </w:rPr>
              <w:t>max</w:t>
            </w: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>)</w:t>
            </w:r>
          </w:p>
        </w:tc>
        <w:tc>
          <w:tcPr>
            <w:tcW w:w="1135" w:type="dxa"/>
            <w:tcBorders>
              <w:top w:val="double" w:sz="4" w:space="0" w:color="000000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i/>
                <w:iCs/>
                <w:sz w:val="22"/>
                <w:szCs w:val="22"/>
                <w:lang w:val="en-GB" w:eastAsia="en-US" w:bidi="ar-SA"/>
              </w:rPr>
              <w:t>K</w:t>
            </w:r>
            <w:r>
              <w:rPr>
                <w:rFonts w:eastAsia="Calibri" w:cs="Arial"/>
                <w:b/>
                <w:bCs/>
                <w:i/>
                <w:iCs/>
                <w:sz w:val="22"/>
                <w:szCs w:val="22"/>
                <w:vertAlign w:val="subscript"/>
                <w:lang w:val="en-GB" w:eastAsia="en-US" w:bidi="ar-SA"/>
              </w:rPr>
              <w:t>D</w:t>
            </w: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 xml:space="preserve"> (nM)</w:t>
            </w:r>
          </w:p>
        </w:tc>
      </w:tr>
      <w:tr>
        <w:trPr>
          <w:trHeight w:val="361" w:hRule="atLeast"/>
        </w:trPr>
        <w:tc>
          <w:tcPr>
            <w:tcW w:w="2290" w:type="dxa"/>
            <w:tcBorders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 xml:space="preserve">3aH6 </w:t>
            </w: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(1-15)</w:t>
            </w:r>
          </w:p>
        </w:tc>
        <w:tc>
          <w:tcPr>
            <w:tcW w:w="1386" w:type="dxa"/>
            <w:tcBorders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vertAlign w:val="superscript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2.75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6</w:t>
            </w:r>
          </w:p>
        </w:tc>
        <w:tc>
          <w:tcPr>
            <w:tcW w:w="1568" w:type="dxa"/>
            <w:tcBorders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vertAlign w:val="superscript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9.87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-3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3.5</w:t>
            </w:r>
          </w:p>
        </w:tc>
        <w:tc>
          <w:tcPr>
            <w:tcW w:w="1135" w:type="dxa"/>
            <w:tcBorders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>3.58</w:t>
            </w:r>
          </w:p>
        </w:tc>
      </w:tr>
      <w:tr>
        <w:trPr>
          <w:trHeight w:val="361" w:hRule="atLeast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 xml:space="preserve">CB7 </w:t>
            </w: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(13-25)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vertAlign w:val="superscript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9.29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7.23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-3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7.2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>7.79</w:t>
            </w:r>
          </w:p>
        </w:tc>
      </w:tr>
      <w:tr>
        <w:trPr>
          <w:trHeight w:val="361" w:hRule="atLeast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 xml:space="preserve">CC7 </w:t>
            </w: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(145-157)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2.92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1.29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-3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1.6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>44.4</w:t>
            </w:r>
          </w:p>
        </w:tc>
      </w:tr>
      <w:tr>
        <w:trPr>
          <w:trHeight w:val="361" w:hRule="atLeast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 xml:space="preserve">CE2 </w:t>
            </w: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(319-331)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3.05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9.07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-3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2.3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>29.7</w:t>
            </w:r>
          </w:p>
        </w:tc>
      </w:tr>
      <w:tr>
        <w:trPr>
          <w:trHeight w:val="361" w:hRule="atLeast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 xml:space="preserve">S1D12 </w:t>
            </w: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(341-353)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8.49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4.40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-4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3.0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>0.52</w:t>
            </w:r>
          </w:p>
        </w:tc>
      </w:tr>
      <w:tr>
        <w:trPr>
          <w:trHeight w:val="380" w:hRule="atLeast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 xml:space="preserve">CE3 </w:t>
            </w: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(331-355)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vertAlign w:val="superscript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1.04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vertAlign w:val="superscript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1.72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-3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1.1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>16.7</w:t>
            </w:r>
          </w:p>
        </w:tc>
      </w:tr>
      <w:tr>
        <w:trPr>
          <w:trHeight w:val="361" w:hRule="atLeast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 xml:space="preserve">CA4 </w:t>
            </w: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(355-367)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8.12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4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7.71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-3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5.7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>9.50</w:t>
            </w:r>
          </w:p>
        </w:tc>
      </w:tr>
      <w:tr>
        <w:trPr>
          <w:trHeight w:val="361" w:hRule="atLeast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 xml:space="preserve">S1G2 </w:t>
            </w: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(367-379)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5.38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vertAlign w:val="superscript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4.82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-4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1.1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>0.91</w:t>
            </w:r>
          </w:p>
        </w:tc>
      </w:tr>
      <w:tr>
        <w:trPr>
          <w:trHeight w:val="361" w:hRule="atLeast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 xml:space="preserve">NS2A1 </w:t>
            </w: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(297-391)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vertAlign w:val="superscript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9.21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4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vertAlign w:val="superscript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7.23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-3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4.2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>8.89</w:t>
            </w:r>
          </w:p>
        </w:tc>
      </w:tr>
      <w:tr>
        <w:trPr>
          <w:trHeight w:val="361" w:hRule="atLeast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 xml:space="preserve">MoD9 </w:t>
            </w: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(373-385)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1.42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bookmarkStart w:id="1" w:name="_Hlk79428070"/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6.40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-2</w:t>
            </w:r>
            <w:bookmarkEnd w:id="1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0.7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>452</w:t>
            </w:r>
          </w:p>
        </w:tc>
      </w:tr>
      <w:tr>
        <w:trPr>
          <w:trHeight w:val="555" w:hRule="atLeast"/>
        </w:trPr>
        <w:tc>
          <w:tcPr>
            <w:tcW w:w="2290" w:type="dxa"/>
            <w:tcBorders>
              <w:top w:val="nil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 xml:space="preserve">412-E10 </w:t>
            </w: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(412-441)</w:t>
            </w:r>
          </w:p>
        </w:tc>
        <w:tc>
          <w:tcPr>
            <w:tcW w:w="1386" w:type="dxa"/>
            <w:tcBorders>
              <w:top w:val="nil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1.91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5</w:t>
            </w:r>
          </w:p>
        </w:tc>
        <w:tc>
          <w:tcPr>
            <w:tcW w:w="1568" w:type="dxa"/>
            <w:tcBorders>
              <w:top w:val="nil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1.49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-3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3.0</w:t>
            </w:r>
          </w:p>
        </w:tc>
        <w:tc>
          <w:tcPr>
            <w:tcW w:w="1135" w:type="dxa"/>
            <w:tcBorders>
              <w:top w:val="nil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>7.75</w:t>
            </w:r>
          </w:p>
        </w:tc>
      </w:tr>
    </w:tbl>
    <w:p>
      <w:pPr>
        <w:pStyle w:val="Normal"/>
        <w:tabs>
          <w:tab w:val="clear" w:pos="720"/>
          <w:tab w:val="left" w:pos="2554" w:leader="none"/>
        </w:tabs>
        <w:spacing w:before="240" w:after="160"/>
        <w:rPr>
          <w:b/>
          <w:bCs/>
        </w:rPr>
      </w:pPr>
      <w:r/>
      <w:r>
        <w:rPr/>
        <w:br w:type="textWrapping" w:clear="all"/>
      </w:r>
    </w:p>
    <w:p>
      <w:pPr>
        <w:pStyle w:val="Normal"/>
        <w:tabs>
          <w:tab w:val="clear" w:pos="720"/>
          <w:tab w:val="left" w:pos="2554" w:leader="none"/>
        </w:tabs>
        <w:rPr>
          <w:b/>
          <w:bCs/>
          <w:i/>
          <w:i/>
          <w:iCs/>
          <w:sz w:val="20"/>
          <w:szCs w:val="20"/>
        </w:rPr>
      </w:pPr>
      <w:r>
        <w:rPr>
          <w:b/>
          <w:bCs/>
          <w:sz w:val="20"/>
          <w:szCs w:val="20"/>
        </w:rPr>
        <w:t>Table S3: Surface plasmon resonance-based kinetics and affinity measurements of scAb panel against 2N4R tau chip</w:t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- Summary table of association rate constant (K</w:t>
      </w:r>
      <w:r>
        <w:rPr>
          <w:i/>
          <w:iCs/>
          <w:sz w:val="20"/>
          <w:szCs w:val="20"/>
          <w:vertAlign w:val="subscript"/>
        </w:rPr>
        <w:t>a</w:t>
      </w:r>
      <w:r>
        <w:rPr>
          <w:i/>
          <w:iCs/>
          <w:sz w:val="20"/>
          <w:szCs w:val="20"/>
        </w:rPr>
        <w:t>), dissociation rate constant (K</w:t>
      </w:r>
      <w:r>
        <w:rPr>
          <w:i/>
          <w:iCs/>
          <w:sz w:val="20"/>
          <w:szCs w:val="20"/>
          <w:vertAlign w:val="subscript"/>
        </w:rPr>
        <w:t>d</w:t>
      </w:r>
      <w:r>
        <w:rPr>
          <w:i/>
          <w:iCs/>
          <w:sz w:val="20"/>
          <w:szCs w:val="20"/>
        </w:rPr>
        <w:t>) and equilibrium dissociation constant (K</w:t>
      </w:r>
      <w:r>
        <w:rPr>
          <w:i/>
          <w:iCs/>
          <w:sz w:val="20"/>
          <w:szCs w:val="20"/>
          <w:vertAlign w:val="subscript"/>
        </w:rPr>
        <w:t>D</w:t>
      </w:r>
      <w:r>
        <w:rPr>
          <w:i/>
          <w:iCs/>
          <w:sz w:val="20"/>
          <w:szCs w:val="20"/>
        </w:rPr>
        <w:t>) of scAbs. Five concentrations (50, 25, 12.5, 6.25, 3.125 nM) of scAbs were flowed over a CM5 chip covalently bonded with 2N4R tau for 180 s before a 600 s dissociation phase. Chi</w:t>
      </w:r>
      <w:r>
        <w:rPr>
          <w:i/>
          <w:iCs/>
          <w:sz w:val="20"/>
          <w:szCs w:val="20"/>
          <w:vertAlign w:val="superscript"/>
        </w:rPr>
        <w:t>2</w:t>
      </w:r>
      <w:r>
        <w:rPr>
          <w:i/>
          <w:iCs/>
          <w:sz w:val="20"/>
          <w:szCs w:val="20"/>
        </w:rPr>
        <w:t xml:space="preserve"> is displayed as a percentage of maximal bound response units (R</w:t>
      </w:r>
      <w:r>
        <w:rPr>
          <w:i/>
          <w:iCs/>
          <w:sz w:val="20"/>
          <w:szCs w:val="20"/>
          <w:vertAlign w:val="subscript"/>
        </w:rPr>
        <w:t>max</w:t>
      </w:r>
      <w:r>
        <w:rPr>
          <w:i/>
          <w:iCs/>
          <w:sz w:val="20"/>
          <w:szCs w:val="20"/>
        </w:rPr>
        <w:t xml:space="preserve">) with lower values implying “goodness” of fit of the evaluation software model. </w:t>
      </w:r>
    </w:p>
    <w:p>
      <w:pPr>
        <w:pStyle w:val="Normal"/>
        <w:tabs>
          <w:tab w:val="clear" w:pos="720"/>
          <w:tab w:val="left" w:pos="2554" w:leader="none"/>
        </w:tabs>
        <w:spacing w:before="240" w:after="160"/>
        <w:rPr/>
      </w:pPr>
      <w:r>
        <w:rPr/>
      </w:r>
    </w:p>
    <w:p>
      <w:pPr>
        <w:pStyle w:val="Normal"/>
        <w:tabs>
          <w:tab w:val="clear" w:pos="720"/>
          <w:tab w:val="left" w:pos="2554" w:leader="none"/>
        </w:tabs>
        <w:spacing w:before="240" w:after="160"/>
        <w:rPr/>
      </w:pPr>
      <w:r>
        <w:rPr/>
      </w:r>
    </w:p>
    <w:p>
      <w:pPr>
        <w:pStyle w:val="Normal"/>
        <w:tabs>
          <w:tab w:val="clear" w:pos="720"/>
          <w:tab w:val="left" w:pos="2554" w:leader="none"/>
        </w:tabs>
        <w:spacing w:before="240" w:after="160"/>
        <w:rPr/>
      </w:pPr>
      <w:r>
        <w:rPr/>
      </w:r>
    </w:p>
    <w:tbl>
      <w:tblPr>
        <w:tblStyle w:val="TableGrid"/>
        <w:tblW w:w="1189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300"/>
        <w:gridCol w:w="2775"/>
        <w:gridCol w:w="1900"/>
        <w:gridCol w:w="1425"/>
        <w:gridCol w:w="1494"/>
      </w:tblGrid>
      <w:tr>
        <w:trPr>
          <w:trHeight w:val="312" w:hRule="atLeast"/>
        </w:trPr>
        <w:tc>
          <w:tcPr>
            <w:tcW w:w="4300" w:type="dxa"/>
            <w:tcBorders>
              <w:top w:val="double" w:sz="4" w:space="0" w:color="000000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>mAb (Epitope)</w:t>
            </w:r>
          </w:p>
        </w:tc>
        <w:tc>
          <w:tcPr>
            <w:tcW w:w="2775" w:type="dxa"/>
            <w:tcBorders>
              <w:top w:val="double" w:sz="4" w:space="0" w:color="000000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i/>
                <w:iCs/>
                <w:sz w:val="22"/>
                <w:szCs w:val="22"/>
                <w:lang w:val="en-GB" w:eastAsia="en-US" w:bidi="ar-SA"/>
              </w:rPr>
              <w:t>k</w:t>
            </w:r>
            <w:r>
              <w:rPr>
                <w:rFonts w:eastAsia="Calibri" w:cs="Arial"/>
                <w:b/>
                <w:bCs/>
                <w:i/>
                <w:iCs/>
                <w:sz w:val="22"/>
                <w:szCs w:val="22"/>
                <w:vertAlign w:val="subscript"/>
                <w:lang w:val="en-GB" w:eastAsia="en-US" w:bidi="ar-SA"/>
              </w:rPr>
              <w:t>a</w:t>
            </w:r>
            <w:r>
              <w:rPr>
                <w:rFonts w:eastAsia="Calibri" w:cs="Arial"/>
                <w:b/>
                <w:bCs/>
                <w:sz w:val="22"/>
                <w:szCs w:val="22"/>
                <w:vertAlign w:val="subscript"/>
                <w:lang w:val="en-GB" w:eastAsia="en-US" w:bidi="ar-SA"/>
              </w:rPr>
              <w:t xml:space="preserve"> </w:t>
            </w: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>(1/Ms)</w:t>
            </w:r>
          </w:p>
        </w:tc>
        <w:tc>
          <w:tcPr>
            <w:tcW w:w="1900" w:type="dxa"/>
            <w:tcBorders>
              <w:top w:val="double" w:sz="4" w:space="0" w:color="000000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i/>
                <w:iCs/>
                <w:sz w:val="22"/>
                <w:szCs w:val="22"/>
                <w:lang w:val="en-GB" w:eastAsia="en-US" w:bidi="ar-SA"/>
              </w:rPr>
              <w:t>k</w:t>
            </w:r>
            <w:r>
              <w:rPr>
                <w:rFonts w:eastAsia="Calibri" w:cs="Arial"/>
                <w:b/>
                <w:bCs/>
                <w:i/>
                <w:iCs/>
                <w:sz w:val="22"/>
                <w:szCs w:val="22"/>
                <w:vertAlign w:val="subscript"/>
                <w:lang w:val="en-GB" w:eastAsia="en-US" w:bidi="ar-SA"/>
              </w:rPr>
              <w:t>d</w:t>
            </w:r>
            <w:r>
              <w:rPr>
                <w:rFonts w:eastAsia="Calibri" w:cs="Arial"/>
                <w:b/>
                <w:bCs/>
                <w:sz w:val="22"/>
                <w:szCs w:val="22"/>
                <w:vertAlign w:val="subscript"/>
                <w:lang w:val="en-GB" w:eastAsia="en-US" w:bidi="ar-SA"/>
              </w:rPr>
              <w:t xml:space="preserve"> </w:t>
            </w: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>(1/s)</w:t>
            </w:r>
          </w:p>
        </w:tc>
        <w:tc>
          <w:tcPr>
            <w:tcW w:w="1425" w:type="dxa"/>
            <w:tcBorders>
              <w:top w:val="double" w:sz="4" w:space="0" w:color="000000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>Chi</w:t>
            </w:r>
            <w:r>
              <w:rPr>
                <w:rFonts w:eastAsia="Calibri" w:cs="Arial"/>
                <w:b/>
                <w:bCs/>
                <w:sz w:val="22"/>
                <w:szCs w:val="22"/>
                <w:vertAlign w:val="superscript"/>
                <w:lang w:val="en-GB" w:eastAsia="en-US" w:bidi="ar-SA"/>
              </w:rPr>
              <w:t>2</w:t>
            </w: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 xml:space="preserve"> </w:t>
              <w:br/>
              <w:t>(% of R</w:t>
            </w:r>
            <w:r>
              <w:rPr>
                <w:rFonts w:eastAsia="Calibri" w:cs="Arial"/>
                <w:b/>
                <w:bCs/>
                <w:sz w:val="22"/>
                <w:szCs w:val="22"/>
                <w:vertAlign w:val="subscript"/>
                <w:lang w:val="en-GB" w:eastAsia="en-US" w:bidi="ar-SA"/>
              </w:rPr>
              <w:t>max</w:t>
            </w: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>)</w:t>
            </w:r>
          </w:p>
        </w:tc>
        <w:tc>
          <w:tcPr>
            <w:tcW w:w="1494" w:type="dxa"/>
            <w:tcBorders>
              <w:top w:val="double" w:sz="4" w:space="0" w:color="000000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i/>
                <w:iCs/>
                <w:sz w:val="22"/>
                <w:szCs w:val="22"/>
                <w:lang w:val="en-GB" w:eastAsia="en-US" w:bidi="ar-SA"/>
              </w:rPr>
              <w:t>K</w:t>
            </w:r>
            <w:r>
              <w:rPr>
                <w:rFonts w:eastAsia="Calibri" w:cs="Arial"/>
                <w:b/>
                <w:bCs/>
                <w:i/>
                <w:iCs/>
                <w:sz w:val="22"/>
                <w:szCs w:val="22"/>
                <w:vertAlign w:val="subscript"/>
                <w:lang w:val="en-GB" w:eastAsia="en-US" w:bidi="ar-SA"/>
              </w:rPr>
              <w:t>D</w:t>
            </w: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 xml:space="preserve"> (nM)</w:t>
            </w:r>
          </w:p>
        </w:tc>
      </w:tr>
      <w:tr>
        <w:trPr>
          <w:trHeight w:val="312" w:hRule="atLeast"/>
        </w:trPr>
        <w:tc>
          <w:tcPr>
            <w:tcW w:w="4300" w:type="dxa"/>
            <w:tcBorders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 xml:space="preserve">3aH6 </w:t>
            </w: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(1-15)</w:t>
            </w:r>
          </w:p>
        </w:tc>
        <w:tc>
          <w:tcPr>
            <w:tcW w:w="2775" w:type="dxa"/>
            <w:tcBorders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vertAlign w:val="superscript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3.13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6</w:t>
            </w:r>
          </w:p>
        </w:tc>
        <w:tc>
          <w:tcPr>
            <w:tcW w:w="1900" w:type="dxa"/>
            <w:tcBorders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vertAlign w:val="superscript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1.52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-4</w:t>
            </w:r>
          </w:p>
        </w:tc>
        <w:tc>
          <w:tcPr>
            <w:tcW w:w="1425" w:type="dxa"/>
            <w:tcBorders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2.7</w:t>
            </w:r>
          </w:p>
        </w:tc>
        <w:tc>
          <w:tcPr>
            <w:tcW w:w="1494" w:type="dxa"/>
            <w:tcBorders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0.05</w:t>
            </w:r>
          </w:p>
        </w:tc>
      </w:tr>
      <w:tr>
        <w:trPr>
          <w:trHeight w:val="312" w:hRule="atLeast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 xml:space="preserve">3aG3 </w:t>
            </w: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(1-15)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vertAlign w:val="superscript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1.53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vertAlign w:val="superscript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4.75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-3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3.6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0.31</w:t>
            </w:r>
          </w:p>
        </w:tc>
      </w:tr>
      <w:tr>
        <w:trPr>
          <w:trHeight w:val="312" w:hRule="atLeast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 xml:space="preserve">CB7 </w:t>
            </w: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(13-25)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vertAlign w:val="superscript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2.50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vertAlign w:val="superscript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9.47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-3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3.5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3.79</w:t>
            </w:r>
          </w:p>
        </w:tc>
      </w:tr>
      <w:tr>
        <w:trPr>
          <w:trHeight w:val="312" w:hRule="atLeast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 xml:space="preserve">3bD11 </w:t>
            </w: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(37-49)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2.67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vertAlign w:val="superscript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3.98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-3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6.2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1.49</w:t>
            </w:r>
          </w:p>
        </w:tc>
      </w:tr>
      <w:tr>
        <w:trPr>
          <w:trHeight w:val="312" w:hRule="atLeast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 xml:space="preserve">CC7 </w:t>
            </w: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(145-157)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4.58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vertAlign w:val="superscript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3.16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-2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2.5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6.92</w:t>
            </w:r>
          </w:p>
        </w:tc>
      </w:tr>
      <w:tr>
        <w:trPr>
          <w:trHeight w:val="312" w:hRule="atLeast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 xml:space="preserve">CE2 </w:t>
            </w: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(319-331)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4.58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5.22 x 10-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2.4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11.4</w:t>
            </w:r>
          </w:p>
        </w:tc>
      </w:tr>
      <w:tr>
        <w:trPr>
          <w:trHeight w:val="312" w:hRule="atLeast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 xml:space="preserve">S1D12 </w:t>
            </w: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(341-353)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vertAlign w:val="superscript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2.74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vertAlign w:val="superscript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5.43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-5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0.2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0.20</w:t>
            </w:r>
          </w:p>
        </w:tc>
      </w:tr>
      <w:tr>
        <w:trPr>
          <w:trHeight w:val="312" w:hRule="atLeast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 xml:space="preserve">CE3 </w:t>
            </w: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(331-355)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vertAlign w:val="superscript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3.93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vertAlign w:val="superscript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1.05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-3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2.7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2.67</w:t>
            </w:r>
          </w:p>
        </w:tc>
      </w:tr>
      <w:tr>
        <w:trPr>
          <w:trHeight w:val="312" w:hRule="atLeast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 xml:space="preserve">CA4 </w:t>
            </w: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(355-367)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1.02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vertAlign w:val="superscript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1.29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-3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1.2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1.26</w:t>
            </w:r>
          </w:p>
        </w:tc>
      </w:tr>
      <w:tr>
        <w:trPr>
          <w:trHeight w:val="312" w:hRule="atLeast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 xml:space="preserve">S1G2 </w:t>
            </w: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(367-379)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vertAlign w:val="superscript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3.57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vertAlign w:val="superscript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4.32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-5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4.1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0.12</w:t>
            </w:r>
          </w:p>
        </w:tc>
      </w:tr>
      <w:tr>
        <w:trPr>
          <w:trHeight w:val="312" w:hRule="atLeast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 xml:space="preserve">NS2A1 </w:t>
            </w: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(297-391)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vertAlign w:val="superscript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2.43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vertAlign w:val="superscript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1.08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-3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1.3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4.46</w:t>
            </w:r>
          </w:p>
        </w:tc>
      </w:tr>
      <w:tr>
        <w:trPr>
          <w:trHeight w:val="312" w:hRule="atLeast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 xml:space="preserve">MoD9 </w:t>
            </w: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(373-385)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vertAlign w:val="superscript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6.62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vertAlign w:val="superscript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1.46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-3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0.1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22.1</w:t>
            </w:r>
          </w:p>
        </w:tc>
      </w:tr>
      <w:tr>
        <w:trPr>
          <w:trHeight w:val="312" w:hRule="atLeast"/>
        </w:trPr>
        <w:tc>
          <w:tcPr>
            <w:tcW w:w="4300" w:type="dxa"/>
            <w:tcBorders>
              <w:top w:val="nil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b/>
                <w:bCs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  <w:lang w:val="en-GB" w:eastAsia="en-US" w:bidi="ar-SA"/>
              </w:rPr>
              <w:t xml:space="preserve">412-E10 </w:t>
            </w: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(412-441)</w:t>
            </w:r>
          </w:p>
        </w:tc>
        <w:tc>
          <w:tcPr>
            <w:tcW w:w="2775" w:type="dxa"/>
            <w:tcBorders>
              <w:top w:val="nil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1.75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6</w:t>
            </w:r>
          </w:p>
        </w:tc>
        <w:tc>
          <w:tcPr>
            <w:tcW w:w="1900" w:type="dxa"/>
            <w:tcBorders>
              <w:top w:val="nil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vertAlign w:val="superscript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1.57 x 10</w:t>
            </w:r>
            <w:r>
              <w:rPr>
                <w:rFonts w:eastAsia="Calibri" w:cs="Arial"/>
                <w:sz w:val="22"/>
                <w:szCs w:val="22"/>
                <w:vertAlign w:val="superscript"/>
                <w:lang w:val="en-GB" w:eastAsia="en-US" w:bidi="ar-SA"/>
              </w:rPr>
              <w:t>-2</w:t>
            </w:r>
          </w:p>
        </w:tc>
        <w:tc>
          <w:tcPr>
            <w:tcW w:w="1425" w:type="dxa"/>
            <w:tcBorders>
              <w:top w:val="nil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3.8</w:t>
            </w:r>
          </w:p>
        </w:tc>
        <w:tc>
          <w:tcPr>
            <w:tcW w:w="1494" w:type="dxa"/>
            <w:tcBorders>
              <w:top w:val="nil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2554" w:leader="none"/>
              </w:tabs>
              <w:spacing w:lineRule="auto" w:line="259" w:before="0" w:after="160"/>
              <w:jc w:val="center"/>
              <w:rPr>
                <w:rFonts w:eastAsia="Calibri" w:cs="Arial"/>
                <w:sz w:val="22"/>
                <w:szCs w:val="22"/>
                <w:lang w:val="en-GB" w:eastAsia="en-US" w:bidi="ar-SA"/>
              </w:rPr>
            </w:pPr>
            <w:r>
              <w:rPr>
                <w:rFonts w:eastAsia="Calibri" w:cs="Arial"/>
                <w:sz w:val="22"/>
                <w:szCs w:val="22"/>
                <w:lang w:val="en-GB" w:eastAsia="en-US" w:bidi="ar-SA"/>
              </w:rPr>
              <w:t>9.00</w:t>
            </w:r>
          </w:p>
        </w:tc>
      </w:tr>
    </w:tbl>
    <w:p>
      <w:pPr>
        <w:pStyle w:val="Normal"/>
        <w:tabs>
          <w:tab w:val="clear" w:pos="720"/>
          <w:tab w:val="left" w:pos="2554" w:leader="none"/>
        </w:tabs>
        <w:rPr>
          <w:b/>
          <w:bCs/>
          <w:sz w:val="20"/>
          <w:szCs w:val="20"/>
        </w:rPr>
      </w:pPr>
      <w:r>
        <w:rPr/>
      </w:r>
    </w:p>
    <w:p>
      <w:pPr>
        <w:pStyle w:val="Normal"/>
        <w:tabs>
          <w:tab w:val="clear" w:pos="720"/>
          <w:tab w:val="left" w:pos="2554" w:leader="none"/>
        </w:tabs>
        <w:rPr/>
      </w:pPr>
      <w:r>
        <w:rPr>
          <w:b/>
          <w:bCs/>
          <w:sz w:val="20"/>
          <w:szCs w:val="20"/>
        </w:rPr>
        <w:t>Table S4: Kinetics and affinity measurements of the mAb panel against 2N4R tau chip using surface plasmon resonance -</w:t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Summary table showing association rate constant (k</w:t>
      </w:r>
      <w:r>
        <w:rPr>
          <w:i/>
          <w:iCs/>
          <w:sz w:val="20"/>
          <w:szCs w:val="20"/>
          <w:vertAlign w:val="subscript"/>
        </w:rPr>
        <w:t>a</w:t>
      </w:r>
      <w:r>
        <w:rPr>
          <w:i/>
          <w:iCs/>
          <w:sz w:val="20"/>
          <w:szCs w:val="20"/>
        </w:rPr>
        <w:t>), dissociation rate constant (k</w:t>
      </w:r>
      <w:r>
        <w:rPr>
          <w:i/>
          <w:iCs/>
          <w:sz w:val="20"/>
          <w:szCs w:val="20"/>
          <w:vertAlign w:val="subscript"/>
        </w:rPr>
        <w:t>d</w:t>
      </w:r>
      <w:r>
        <w:rPr>
          <w:i/>
          <w:iCs/>
          <w:sz w:val="20"/>
          <w:szCs w:val="20"/>
        </w:rPr>
        <w:t>) and equilibrium dissociation constant (K</w:t>
      </w:r>
      <w:r>
        <w:rPr>
          <w:i/>
          <w:iCs/>
          <w:sz w:val="20"/>
          <w:szCs w:val="20"/>
          <w:vertAlign w:val="subscript"/>
        </w:rPr>
        <w:t>D</w:t>
      </w:r>
      <w:r>
        <w:rPr>
          <w:i/>
          <w:iCs/>
          <w:sz w:val="20"/>
          <w:szCs w:val="20"/>
        </w:rPr>
        <w:t>) of mAbs against 2N4R tau. Five concentrations (25, 12.5, 6.25, 3.125, 1.563 nM – highest to lowest on sensorgram) of mAb were flowed over an 2N4R tau CM5 chip. Association = 180 s, dissociation = 600 s. Chi</w:t>
      </w:r>
      <w:r>
        <w:rPr>
          <w:i/>
          <w:iCs/>
          <w:sz w:val="20"/>
          <w:szCs w:val="20"/>
          <w:vertAlign w:val="superscript"/>
        </w:rPr>
        <w:t>2</w:t>
      </w:r>
      <w:r>
        <w:rPr>
          <w:i/>
          <w:iCs/>
          <w:sz w:val="20"/>
          <w:szCs w:val="20"/>
        </w:rPr>
        <w:t xml:space="preserve"> is displayed as a percentage of maximal bound response units (R</w:t>
      </w:r>
      <w:r>
        <w:rPr>
          <w:i/>
          <w:iCs/>
          <w:sz w:val="20"/>
          <w:szCs w:val="20"/>
          <w:vertAlign w:val="subscript"/>
        </w:rPr>
        <w:t>max</w:t>
      </w:r>
      <w:r>
        <w:rPr>
          <w:i/>
          <w:iCs/>
          <w:sz w:val="20"/>
          <w:szCs w:val="20"/>
        </w:rPr>
        <w:t>) with lower values implying “goodness” of fit of the evaluation software model.</w:t>
      </w:r>
      <w:r>
        <w:rPr>
          <w:sz w:val="20"/>
          <w:szCs w:val="20"/>
        </w:rPr>
        <w:t xml:space="preserve"> </w:t>
      </w:r>
    </w:p>
    <w:p>
      <w:pPr>
        <w:pStyle w:val="Normal"/>
        <w:tabs>
          <w:tab w:val="clear" w:pos="720"/>
          <w:tab w:val="left" w:pos="2554" w:leader="none"/>
        </w:tabs>
        <w:rPr>
          <w:sz w:val="20"/>
          <w:szCs w:val="20"/>
        </w:rPr>
      </w:pPr>
      <w:r>
        <w:rPr/>
      </w:r>
    </w:p>
    <w:p>
      <w:pPr>
        <w:pStyle w:val="Normal"/>
        <w:tabs>
          <w:tab w:val="clear" w:pos="720"/>
          <w:tab w:val="left" w:pos="2554" w:leader="none"/>
        </w:tabs>
        <w:rPr>
          <w:sz w:val="20"/>
          <w:szCs w:val="20"/>
        </w:rPr>
      </w:pPr>
      <w:r>
        <w:rPr/>
      </w:r>
    </w:p>
    <w:p>
      <w:pPr>
        <w:pStyle w:val="Normal"/>
        <w:tabs>
          <w:tab w:val="clear" w:pos="720"/>
          <w:tab w:val="left" w:pos="2554" w:leader="none"/>
        </w:tabs>
        <w:rPr>
          <w:sz w:val="20"/>
          <w:szCs w:val="20"/>
        </w:rPr>
      </w:pPr>
      <w:r>
        <w:rPr/>
      </w:r>
    </w:p>
    <w:p>
      <w:pPr>
        <w:pStyle w:val="Normal"/>
        <w:tabs>
          <w:tab w:val="clear" w:pos="720"/>
          <w:tab w:val="left" w:pos="2554" w:leader="none"/>
        </w:tabs>
        <w:rPr>
          <w:sz w:val="20"/>
          <w:szCs w:val="20"/>
        </w:rPr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pPr w:vertAnchor="margin" w:horzAnchor="margin" w:tblpXSpec="center" w:leftFromText="180" w:rightFromText="180" w:tblpY="-696"/>
        <w:tblW w:w="4122" w:type="dxa"/>
        <w:jc w:val="center"/>
        <w:tblInd w:w="0" w:type="dxa"/>
        <w:tblLayout w:type="fixed"/>
        <w:tblCellMar>
          <w:top w:w="9" w:type="dxa"/>
          <w:left w:w="9" w:type="dxa"/>
          <w:bottom w:w="0" w:type="dxa"/>
          <w:right w:w="9" w:type="dxa"/>
        </w:tblCellMar>
        <w:tblLook w:firstRow="0" w:noVBand="1" w:lastRow="0" w:firstColumn="0" w:lastColumn="0" w:noHBand="1" w:val="0600"/>
      </w:tblPr>
      <w:tblGrid>
        <w:gridCol w:w="1269"/>
        <w:gridCol w:w="2852"/>
      </w:tblGrid>
      <w:tr>
        <w:trPr>
          <w:trHeight w:val="331" w:hRule="exact"/>
        </w:trPr>
        <w:tc>
          <w:tcPr>
            <w:tcW w:w="1269" w:type="dxa"/>
            <w:tcBorders>
              <w:top w:val="doub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Arial"/>
                <w:b/>
                <w:bCs/>
                <w:kern w:val="2"/>
                <w:lang w:eastAsia="en-GB"/>
              </w:rPr>
              <w:t>mAb</w:t>
            </w:r>
          </w:p>
        </w:tc>
        <w:tc>
          <w:tcPr>
            <w:tcW w:w="2852" w:type="dxa"/>
            <w:tcBorders>
              <w:top w:val="doub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Arial"/>
                <w:b/>
                <w:bCs/>
                <w:kern w:val="2"/>
                <w:lang w:eastAsia="en-GB"/>
              </w:rPr>
              <w:t>2N4R tau BC</w:t>
            </w:r>
            <w:r>
              <w:rPr>
                <w:rFonts w:eastAsia="Times New Roman" w:cs="Arial"/>
                <w:b/>
                <w:bCs/>
                <w:kern w:val="2"/>
                <w:position w:val="-4"/>
                <w:lang w:eastAsia="en-GB"/>
              </w:rPr>
              <w:t>50</w:t>
            </w:r>
            <w:r>
              <w:rPr>
                <w:rFonts w:eastAsia="Times New Roman" w:cs="Arial"/>
                <w:b/>
                <w:bCs/>
                <w:kern w:val="2"/>
                <w:lang w:eastAsia="en-GB"/>
              </w:rPr>
              <w:t xml:space="preserve"> (nM)</w:t>
            </w:r>
          </w:p>
        </w:tc>
      </w:tr>
      <w:tr>
        <w:trPr>
          <w:trHeight w:val="331" w:hRule="exact"/>
        </w:trPr>
        <w:tc>
          <w:tcPr>
            <w:tcW w:w="1269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S1D12</w:t>
            </w:r>
          </w:p>
        </w:tc>
        <w:tc>
          <w:tcPr>
            <w:tcW w:w="2852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0.015</w:t>
            </w:r>
          </w:p>
        </w:tc>
      </w:tr>
      <w:tr>
        <w:trPr>
          <w:trHeight w:val="331" w:hRule="exact"/>
        </w:trPr>
        <w:tc>
          <w:tcPr>
            <w:tcW w:w="126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3aG3</w:t>
            </w:r>
          </w:p>
        </w:tc>
        <w:tc>
          <w:tcPr>
            <w:tcW w:w="28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0.019</w:t>
            </w:r>
          </w:p>
        </w:tc>
      </w:tr>
      <w:tr>
        <w:trPr>
          <w:trHeight w:val="331" w:hRule="exact"/>
        </w:trPr>
        <w:tc>
          <w:tcPr>
            <w:tcW w:w="126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3aH6</w:t>
            </w:r>
          </w:p>
        </w:tc>
        <w:tc>
          <w:tcPr>
            <w:tcW w:w="28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0.025</w:t>
            </w:r>
          </w:p>
        </w:tc>
      </w:tr>
      <w:tr>
        <w:trPr>
          <w:trHeight w:val="331" w:hRule="exact"/>
        </w:trPr>
        <w:tc>
          <w:tcPr>
            <w:tcW w:w="126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3bG4</w:t>
            </w:r>
          </w:p>
        </w:tc>
        <w:tc>
          <w:tcPr>
            <w:tcW w:w="28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0.029</w:t>
            </w:r>
          </w:p>
        </w:tc>
      </w:tr>
      <w:tr>
        <w:trPr>
          <w:trHeight w:val="331" w:hRule="exact"/>
        </w:trPr>
        <w:tc>
          <w:tcPr>
            <w:tcW w:w="126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S1G2</w:t>
            </w:r>
          </w:p>
        </w:tc>
        <w:tc>
          <w:tcPr>
            <w:tcW w:w="28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0.032</w:t>
            </w:r>
          </w:p>
        </w:tc>
      </w:tr>
      <w:tr>
        <w:trPr>
          <w:trHeight w:val="331" w:hRule="exact"/>
        </w:trPr>
        <w:tc>
          <w:tcPr>
            <w:tcW w:w="126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CA4</w:t>
            </w:r>
          </w:p>
        </w:tc>
        <w:tc>
          <w:tcPr>
            <w:tcW w:w="28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0.049</w:t>
            </w:r>
          </w:p>
        </w:tc>
      </w:tr>
      <w:tr>
        <w:trPr>
          <w:trHeight w:val="331" w:hRule="exact"/>
        </w:trPr>
        <w:tc>
          <w:tcPr>
            <w:tcW w:w="126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3bD11</w:t>
            </w:r>
          </w:p>
        </w:tc>
        <w:tc>
          <w:tcPr>
            <w:tcW w:w="28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0.066</w:t>
            </w:r>
          </w:p>
        </w:tc>
      </w:tr>
      <w:tr>
        <w:trPr>
          <w:trHeight w:val="331" w:hRule="exact"/>
        </w:trPr>
        <w:tc>
          <w:tcPr>
            <w:tcW w:w="126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CB7</w:t>
            </w:r>
          </w:p>
        </w:tc>
        <w:tc>
          <w:tcPr>
            <w:tcW w:w="28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0.070</w:t>
            </w:r>
          </w:p>
        </w:tc>
      </w:tr>
      <w:tr>
        <w:trPr>
          <w:trHeight w:val="331" w:hRule="exact"/>
        </w:trPr>
        <w:tc>
          <w:tcPr>
            <w:tcW w:w="126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 xml:space="preserve">Tau12 </w:t>
            </w:r>
            <w:r>
              <w:rPr>
                <w:rFonts w:eastAsia="Times New Roman" w:cs="Calibri"/>
                <w:b/>
                <w:bCs/>
                <w:kern w:val="2"/>
                <w:lang w:eastAsia="en-GB"/>
              </w:rPr>
              <w:t>*</w:t>
            </w:r>
          </w:p>
        </w:tc>
        <w:tc>
          <w:tcPr>
            <w:tcW w:w="28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0.074</w:t>
            </w:r>
          </w:p>
        </w:tc>
      </w:tr>
      <w:tr>
        <w:trPr>
          <w:trHeight w:val="331" w:hRule="exact"/>
        </w:trPr>
        <w:tc>
          <w:tcPr>
            <w:tcW w:w="126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 xml:space="preserve">Tau46 </w:t>
            </w:r>
            <w:r>
              <w:rPr>
                <w:rFonts w:eastAsia="Times New Roman" w:cs="Calibri"/>
                <w:b/>
                <w:bCs/>
                <w:kern w:val="2"/>
                <w:lang w:eastAsia="en-GB"/>
              </w:rPr>
              <w:t>*</w:t>
            </w:r>
          </w:p>
        </w:tc>
        <w:tc>
          <w:tcPr>
            <w:tcW w:w="28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0.075</w:t>
            </w:r>
          </w:p>
        </w:tc>
      </w:tr>
      <w:tr>
        <w:trPr>
          <w:trHeight w:val="331" w:hRule="exact"/>
        </w:trPr>
        <w:tc>
          <w:tcPr>
            <w:tcW w:w="126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CC7</w:t>
            </w:r>
          </w:p>
        </w:tc>
        <w:tc>
          <w:tcPr>
            <w:tcW w:w="28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0.083</w:t>
            </w:r>
          </w:p>
        </w:tc>
      </w:tr>
      <w:tr>
        <w:trPr>
          <w:trHeight w:val="331" w:hRule="exact"/>
        </w:trPr>
        <w:tc>
          <w:tcPr>
            <w:tcW w:w="126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 xml:space="preserve">HT7 </w:t>
            </w:r>
            <w:r>
              <w:rPr>
                <w:rFonts w:eastAsia="Times New Roman" w:cs="Calibri"/>
                <w:b/>
                <w:bCs/>
                <w:kern w:val="2"/>
                <w:lang w:eastAsia="en-GB"/>
              </w:rPr>
              <w:t>*</w:t>
            </w:r>
          </w:p>
        </w:tc>
        <w:tc>
          <w:tcPr>
            <w:tcW w:w="28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0.122</w:t>
            </w:r>
          </w:p>
        </w:tc>
      </w:tr>
      <w:tr>
        <w:trPr>
          <w:trHeight w:val="331" w:hRule="exact"/>
        </w:trPr>
        <w:tc>
          <w:tcPr>
            <w:tcW w:w="126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412-E10</w:t>
            </w:r>
          </w:p>
        </w:tc>
        <w:tc>
          <w:tcPr>
            <w:tcW w:w="28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0.123</w:t>
            </w:r>
          </w:p>
        </w:tc>
      </w:tr>
      <w:tr>
        <w:trPr>
          <w:trHeight w:val="331" w:hRule="exact"/>
        </w:trPr>
        <w:tc>
          <w:tcPr>
            <w:tcW w:w="126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MoD9</w:t>
            </w:r>
          </w:p>
        </w:tc>
        <w:tc>
          <w:tcPr>
            <w:tcW w:w="28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0.161</w:t>
            </w:r>
          </w:p>
        </w:tc>
      </w:tr>
      <w:tr>
        <w:trPr>
          <w:trHeight w:val="331" w:hRule="exact"/>
        </w:trPr>
        <w:tc>
          <w:tcPr>
            <w:tcW w:w="126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 xml:space="preserve">BT2 </w:t>
            </w:r>
            <w:r>
              <w:rPr>
                <w:rFonts w:eastAsia="Times New Roman" w:cs="Calibri"/>
                <w:b/>
                <w:bCs/>
                <w:kern w:val="2"/>
                <w:lang w:eastAsia="en-GB"/>
              </w:rPr>
              <w:t>*</w:t>
            </w:r>
          </w:p>
        </w:tc>
        <w:tc>
          <w:tcPr>
            <w:tcW w:w="28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0.185</w:t>
            </w:r>
          </w:p>
        </w:tc>
      </w:tr>
      <w:tr>
        <w:trPr>
          <w:trHeight w:val="331" w:hRule="exact"/>
        </w:trPr>
        <w:tc>
          <w:tcPr>
            <w:tcW w:w="126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 xml:space="preserve">7/51 </w:t>
            </w:r>
            <w:r>
              <w:rPr>
                <w:rFonts w:eastAsia="Times New Roman" w:cs="Calibri"/>
                <w:b/>
                <w:bCs/>
                <w:kern w:val="2"/>
                <w:lang w:eastAsia="en-GB"/>
              </w:rPr>
              <w:t>*</w:t>
            </w:r>
          </w:p>
        </w:tc>
        <w:tc>
          <w:tcPr>
            <w:tcW w:w="28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0.369</w:t>
            </w:r>
          </w:p>
        </w:tc>
      </w:tr>
      <w:tr>
        <w:trPr>
          <w:trHeight w:val="331" w:hRule="exact"/>
        </w:trPr>
        <w:tc>
          <w:tcPr>
            <w:tcW w:w="126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 xml:space="preserve">27/499 </w:t>
            </w:r>
            <w:r>
              <w:rPr>
                <w:rFonts w:eastAsia="Times New Roman" w:cs="Calibri"/>
                <w:b/>
                <w:bCs/>
                <w:kern w:val="2"/>
                <w:lang w:eastAsia="en-GB"/>
              </w:rPr>
              <w:t>*</w:t>
            </w:r>
          </w:p>
        </w:tc>
        <w:tc>
          <w:tcPr>
            <w:tcW w:w="28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0.461</w:t>
            </w:r>
          </w:p>
        </w:tc>
      </w:tr>
      <w:tr>
        <w:trPr>
          <w:trHeight w:val="331" w:hRule="exact"/>
        </w:trPr>
        <w:tc>
          <w:tcPr>
            <w:tcW w:w="126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CE3</w:t>
            </w:r>
          </w:p>
        </w:tc>
        <w:tc>
          <w:tcPr>
            <w:tcW w:w="28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1.654</w:t>
            </w:r>
          </w:p>
        </w:tc>
      </w:tr>
      <w:tr>
        <w:trPr>
          <w:trHeight w:val="331" w:hRule="exact"/>
        </w:trPr>
        <w:tc>
          <w:tcPr>
            <w:tcW w:w="126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NS2A1</w:t>
            </w:r>
          </w:p>
        </w:tc>
        <w:tc>
          <w:tcPr>
            <w:tcW w:w="28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2.34</w:t>
            </w:r>
          </w:p>
        </w:tc>
      </w:tr>
      <w:tr>
        <w:trPr>
          <w:trHeight w:val="331" w:hRule="exact"/>
        </w:trPr>
        <w:tc>
          <w:tcPr>
            <w:tcW w:w="1269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CE2</w:t>
            </w:r>
          </w:p>
        </w:tc>
        <w:tc>
          <w:tcPr>
            <w:tcW w:w="285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&gt;10</w:t>
            </w:r>
          </w:p>
        </w:tc>
      </w:tr>
      <w:tr>
        <w:trPr>
          <w:trHeight w:val="331" w:hRule="exact"/>
        </w:trPr>
        <w:tc>
          <w:tcPr>
            <w:tcW w:w="126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b/>
                <w:bCs/>
                <w:kern w:val="2"/>
                <w:lang w:eastAsia="en-GB"/>
              </w:rPr>
              <w:t>mAb</w:t>
            </w:r>
          </w:p>
        </w:tc>
        <w:tc>
          <w:tcPr>
            <w:tcW w:w="2852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Calibri"/>
                <w:b/>
                <w:bCs/>
                <w:kern w:val="2"/>
                <w:lang w:eastAsia="en-GB"/>
              </w:rPr>
              <w:t>dGAE BC</w:t>
            </w:r>
            <w:r>
              <w:rPr>
                <w:rFonts w:eastAsia="Times New Roman" w:cs="Calibri"/>
                <w:b/>
                <w:bCs/>
                <w:kern w:val="2"/>
                <w:vertAlign w:val="subscript"/>
                <w:lang w:eastAsia="en-GB"/>
              </w:rPr>
              <w:t>50</w:t>
            </w:r>
            <w:r>
              <w:rPr>
                <w:rFonts w:eastAsia="Times New Roman" w:cs="Calibri"/>
                <w:b/>
                <w:bCs/>
                <w:kern w:val="2"/>
                <w:lang w:eastAsia="en-GB"/>
              </w:rPr>
              <w:t xml:space="preserve"> (nM)</w:t>
            </w:r>
          </w:p>
        </w:tc>
      </w:tr>
      <w:tr>
        <w:trPr>
          <w:trHeight w:val="331" w:hRule="exact"/>
        </w:trPr>
        <w:tc>
          <w:tcPr>
            <w:tcW w:w="1269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Calibri"/>
                <w:b/>
                <w:bCs/>
                <w:kern w:val="2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E2E8</w:t>
            </w:r>
          </w:p>
        </w:tc>
        <w:tc>
          <w:tcPr>
            <w:tcW w:w="2852" w:type="dxa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Calibri"/>
                <w:b/>
                <w:bCs/>
                <w:kern w:val="2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0.028</w:t>
            </w:r>
          </w:p>
        </w:tc>
      </w:tr>
      <w:tr>
        <w:trPr>
          <w:trHeight w:val="331" w:hRule="exact"/>
        </w:trPr>
        <w:tc>
          <w:tcPr>
            <w:tcW w:w="126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Calibri"/>
                <w:kern w:val="2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423*</w:t>
            </w:r>
          </w:p>
        </w:tc>
        <w:tc>
          <w:tcPr>
            <w:tcW w:w="2852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54" w:before="0" w:after="160"/>
              <w:jc w:val="center"/>
              <w:textAlignment w:val="bottom"/>
              <w:rPr>
                <w:rFonts w:eastAsia="Times New Roman" w:cs="Calibri"/>
                <w:kern w:val="2"/>
                <w:lang w:eastAsia="en-GB"/>
              </w:rPr>
            </w:pPr>
            <w:r>
              <w:rPr>
                <w:rFonts w:eastAsia="Times New Roman" w:cs="Calibri"/>
                <w:kern w:val="2"/>
                <w:lang w:eastAsia="en-GB"/>
              </w:rPr>
              <w:t>0.232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tabs>
          <w:tab w:val="clear" w:pos="720"/>
          <w:tab w:val="left" w:pos="2554" w:leader="none"/>
        </w:tabs>
        <w:spacing w:before="240" w:after="160"/>
        <w:rPr>
          <w:b/>
          <w:bCs/>
        </w:rPr>
      </w:pPr>
      <w:r>
        <w:rPr>
          <w:b/>
          <w:bCs/>
        </w:rPr>
      </w:r>
    </w:p>
    <w:p>
      <w:pPr>
        <w:pStyle w:val="Normal"/>
        <w:tabs>
          <w:tab w:val="clear" w:pos="720"/>
          <w:tab w:val="left" w:pos="2554" w:leader="none"/>
        </w:tabs>
        <w:rPr>
          <w:b/>
          <w:bCs/>
          <w:sz w:val="20"/>
          <w:szCs w:val="20"/>
        </w:rPr>
      </w:pPr>
      <w:r>
        <w:rPr/>
      </w:r>
    </w:p>
    <w:p>
      <w:pPr>
        <w:pStyle w:val="Normal"/>
        <w:tabs>
          <w:tab w:val="clear" w:pos="720"/>
          <w:tab w:val="left" w:pos="2554" w:leader="none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Table S5: Immunoreactivity ranking of mAb panel and ‘gold standard’ academic/commercially available antibodies– </w:t>
      </w:r>
      <w:r>
        <w:rPr>
          <w:i/>
          <w:iCs/>
          <w:sz w:val="20"/>
          <w:szCs w:val="20"/>
        </w:rPr>
        <w:t>Determined by mAb binding to 2N4R tau or dGAE via ELISA. All experiments were conducted independently five times, and the midpoint of the binding curve (BC</w:t>
      </w:r>
      <w:r>
        <w:rPr>
          <w:i/>
          <w:iCs/>
          <w:sz w:val="20"/>
          <w:szCs w:val="20"/>
          <w:vertAlign w:val="subscript"/>
        </w:rPr>
        <w:t>50</w:t>
      </w:r>
      <w:r>
        <w:rPr>
          <w:i/>
          <w:iCs/>
          <w:sz w:val="20"/>
          <w:szCs w:val="20"/>
        </w:rPr>
        <w:t>) was calculated using the average absorbance values. BC</w:t>
      </w:r>
      <w:r>
        <w:rPr>
          <w:i/>
          <w:iCs/>
          <w:sz w:val="20"/>
          <w:szCs w:val="20"/>
          <w:vertAlign w:val="subscript"/>
        </w:rPr>
        <w:t>50</w:t>
      </w:r>
      <w:r>
        <w:rPr>
          <w:i/>
          <w:iCs/>
          <w:sz w:val="20"/>
          <w:szCs w:val="20"/>
        </w:rPr>
        <w:t xml:space="preserve"> values were calculated using a 4-parameter nonlinear regression for each antibody against 2N4R tau and dGAE. * - academic/commercially available antibody.</w:t>
      </w:r>
    </w:p>
    <w:p>
      <w:pPr>
        <w:pStyle w:val="Normal"/>
        <w:tabs>
          <w:tab w:val="clear" w:pos="720"/>
          <w:tab w:val="left" w:pos="2554" w:leader="none"/>
        </w:tabs>
        <w:rPr>
          <w:sz w:val="20"/>
          <w:szCs w:val="20"/>
        </w:rPr>
      </w:pPr>
      <w:r>
        <w:rPr/>
      </w:r>
    </w:p>
    <w:p>
      <w:pPr>
        <w:pStyle w:val="Normal"/>
        <w:tabs>
          <w:tab w:val="clear" w:pos="720"/>
          <w:tab w:val="left" w:pos="2554" w:leader="none"/>
        </w:tabs>
        <w:rPr>
          <w:sz w:val="20"/>
          <w:szCs w:val="20"/>
        </w:rPr>
      </w:pPr>
      <w:r>
        <w:rPr/>
      </w:r>
    </w:p>
    <w:tbl>
      <w:tblPr>
        <w:tblpPr w:vertAnchor="text" w:horzAnchor="text" w:tblpXSpec="center" w:leftFromText="180" w:rightFromText="180" w:tblpY="-614"/>
        <w:tblW w:w="4063" w:type="dxa"/>
        <w:jc w:val="center"/>
        <w:tblInd w:w="0" w:type="dxa"/>
        <w:tblLayout w:type="fixed"/>
        <w:tblCellMar>
          <w:top w:w="11" w:type="dxa"/>
          <w:left w:w="80" w:type="dxa"/>
          <w:bottom w:w="0" w:type="dxa"/>
          <w:right w:w="80" w:type="dxa"/>
        </w:tblCellMar>
        <w:tblLook w:firstRow="1" w:noVBand="1" w:lastRow="0" w:firstColumn="1" w:lastColumn="0" w:noHBand="0" w:val="04a0"/>
      </w:tblPr>
      <w:tblGrid>
        <w:gridCol w:w="2322"/>
        <w:gridCol w:w="1740"/>
      </w:tblGrid>
      <w:tr>
        <w:trPr>
          <w:trHeight w:val="654" w:hRule="atLeast"/>
        </w:trPr>
        <w:tc>
          <w:tcPr>
            <w:tcW w:w="2322" w:type="dxa"/>
            <w:tcBorders>
              <w:top w:val="doub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2554" w:leader="none"/>
              </w:tabs>
              <w:spacing w:before="0" w:after="160"/>
              <w:jc w:val="center"/>
              <w:rPr/>
            </w:pPr>
            <w:r>
              <w:rPr>
                <w:b/>
                <w:bCs/>
              </w:rPr>
              <w:t>Peptide</w:t>
            </w:r>
          </w:p>
        </w:tc>
        <w:tc>
          <w:tcPr>
            <w:tcW w:w="1740" w:type="dxa"/>
            <w:tcBorders>
              <w:top w:val="doub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2554" w:leader="none"/>
              </w:tabs>
              <w:spacing w:before="0" w:after="160"/>
              <w:jc w:val="center"/>
              <w:rPr/>
            </w:pPr>
            <w:r>
              <w:rPr>
                <w:b/>
                <w:bCs/>
                <w:i/>
                <w:iCs/>
              </w:rPr>
              <w:t>K</w:t>
            </w:r>
            <w:r>
              <w:rPr>
                <w:b/>
                <w:bCs/>
                <w:vertAlign w:val="subscript"/>
              </w:rPr>
              <w:t>D</w:t>
            </w:r>
            <w:r>
              <w:rPr>
                <w:b/>
                <w:bCs/>
              </w:rPr>
              <w:t xml:space="preserve"> (nM)</w:t>
            </w:r>
          </w:p>
        </w:tc>
      </w:tr>
      <w:tr>
        <w:trPr>
          <w:trHeight w:val="447" w:hRule="atLeast"/>
        </w:trPr>
        <w:tc>
          <w:tcPr>
            <w:tcW w:w="2322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tcMar>
              <w:left w:w="11" w:type="dxa"/>
              <w:right w:w="11" w:type="dxa"/>
            </w:tcMar>
            <w:vAlign w:val="center"/>
          </w:tcPr>
          <w:p>
            <w:pPr>
              <w:pStyle w:val="Normal"/>
              <w:tabs>
                <w:tab w:val="clear" w:pos="720"/>
                <w:tab w:val="left" w:pos="2554" w:leader="none"/>
              </w:tabs>
              <w:spacing w:before="0" w:after="160"/>
              <w:jc w:val="center"/>
              <w:rPr/>
            </w:pPr>
            <w:r>
              <w:rPr>
                <w:b/>
                <w:bCs/>
              </w:rPr>
              <w:t>Parent (367-379 AA)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  <w:tcMar>
              <w:left w:w="11" w:type="dxa"/>
              <w:right w:w="11" w:type="dxa"/>
            </w:tcMar>
            <w:vAlign w:val="center"/>
          </w:tcPr>
          <w:p>
            <w:pPr>
              <w:pStyle w:val="Normal"/>
              <w:tabs>
                <w:tab w:val="clear" w:pos="720"/>
                <w:tab w:val="left" w:pos="2554" w:leader="none"/>
              </w:tabs>
              <w:spacing w:before="0" w:after="160"/>
              <w:jc w:val="center"/>
              <w:rPr/>
            </w:pPr>
            <w:r>
              <w:rPr/>
              <w:t>28.1</w:t>
            </w:r>
          </w:p>
        </w:tc>
      </w:tr>
      <w:tr>
        <w:trPr>
          <w:trHeight w:val="447" w:hRule="atLeast"/>
        </w:trPr>
        <w:tc>
          <w:tcPr>
            <w:tcW w:w="2322" w:type="dxa"/>
            <w:tcBorders>
              <w:top w:val="single" w:sz="4" w:space="0" w:color="000000"/>
            </w:tcBorders>
            <w:shd w:color="auto" w:fill="auto" w:val="clear"/>
            <w:tcMar>
              <w:left w:w="11" w:type="dxa"/>
              <w:right w:w="11" w:type="dxa"/>
            </w:tcMar>
            <w:vAlign w:val="center"/>
          </w:tcPr>
          <w:p>
            <w:pPr>
              <w:pStyle w:val="Normal"/>
              <w:tabs>
                <w:tab w:val="clear" w:pos="720"/>
                <w:tab w:val="left" w:pos="2554" w:leader="none"/>
              </w:tabs>
              <w:spacing w:before="0" w:after="160"/>
              <w:jc w:val="center"/>
              <w:rPr/>
            </w:pPr>
            <w:r>
              <w:rPr>
                <w:b/>
                <w:bCs/>
              </w:rPr>
              <w:t>367A</w:t>
            </w:r>
          </w:p>
        </w:tc>
        <w:tc>
          <w:tcPr>
            <w:tcW w:w="1740" w:type="dxa"/>
            <w:tcBorders>
              <w:top w:val="single" w:sz="4" w:space="0" w:color="000000"/>
            </w:tcBorders>
            <w:shd w:color="auto" w:fill="auto" w:val="clear"/>
            <w:tcMar>
              <w:left w:w="11" w:type="dxa"/>
              <w:right w:w="11" w:type="dxa"/>
            </w:tcMar>
            <w:vAlign w:val="center"/>
          </w:tcPr>
          <w:p>
            <w:pPr>
              <w:pStyle w:val="Normal"/>
              <w:tabs>
                <w:tab w:val="clear" w:pos="720"/>
                <w:tab w:val="left" w:pos="2554" w:leader="none"/>
              </w:tabs>
              <w:spacing w:before="0" w:after="160"/>
              <w:jc w:val="center"/>
              <w:rPr/>
            </w:pPr>
            <w:r>
              <w:rPr/>
              <w:t>31.4</w:t>
            </w:r>
          </w:p>
        </w:tc>
      </w:tr>
      <w:tr>
        <w:trPr>
          <w:trHeight w:val="447" w:hRule="atLeast"/>
        </w:trPr>
        <w:tc>
          <w:tcPr>
            <w:tcW w:w="2322" w:type="dxa"/>
            <w:tcBorders/>
            <w:shd w:color="auto" w:fill="auto" w:val="clear"/>
            <w:tcMar>
              <w:left w:w="11" w:type="dxa"/>
              <w:right w:w="11" w:type="dxa"/>
            </w:tcMar>
            <w:vAlign w:val="center"/>
          </w:tcPr>
          <w:p>
            <w:pPr>
              <w:pStyle w:val="Normal"/>
              <w:tabs>
                <w:tab w:val="clear" w:pos="720"/>
                <w:tab w:val="left" w:pos="2554" w:leader="none"/>
              </w:tabs>
              <w:spacing w:before="0" w:after="160"/>
              <w:jc w:val="center"/>
              <w:rPr/>
            </w:pPr>
            <w:r>
              <w:rPr>
                <w:b/>
                <w:bCs/>
              </w:rPr>
              <w:t>368A</w:t>
            </w:r>
          </w:p>
        </w:tc>
        <w:tc>
          <w:tcPr>
            <w:tcW w:w="1740" w:type="dxa"/>
            <w:tcBorders/>
            <w:shd w:color="auto" w:fill="auto" w:val="clear"/>
            <w:tcMar>
              <w:left w:w="11" w:type="dxa"/>
              <w:right w:w="11" w:type="dxa"/>
            </w:tcMar>
            <w:vAlign w:val="center"/>
          </w:tcPr>
          <w:p>
            <w:pPr>
              <w:pStyle w:val="Normal"/>
              <w:tabs>
                <w:tab w:val="clear" w:pos="720"/>
                <w:tab w:val="left" w:pos="2554" w:leader="none"/>
              </w:tabs>
              <w:spacing w:before="0" w:after="160"/>
              <w:jc w:val="center"/>
              <w:rPr/>
            </w:pPr>
            <w:r>
              <w:rPr/>
              <w:t>36.1</w:t>
            </w:r>
          </w:p>
        </w:tc>
      </w:tr>
      <w:tr>
        <w:trPr>
          <w:trHeight w:val="447" w:hRule="atLeast"/>
        </w:trPr>
        <w:tc>
          <w:tcPr>
            <w:tcW w:w="2322" w:type="dxa"/>
            <w:tcBorders/>
            <w:shd w:color="auto" w:fill="auto" w:val="clear"/>
            <w:tcMar>
              <w:left w:w="11" w:type="dxa"/>
              <w:right w:w="11" w:type="dxa"/>
            </w:tcMar>
            <w:vAlign w:val="center"/>
          </w:tcPr>
          <w:p>
            <w:pPr>
              <w:pStyle w:val="Normal"/>
              <w:tabs>
                <w:tab w:val="clear" w:pos="720"/>
                <w:tab w:val="left" w:pos="2554" w:leader="none"/>
              </w:tabs>
              <w:spacing w:before="0" w:after="160"/>
              <w:jc w:val="center"/>
              <w:rPr/>
            </w:pPr>
            <w:r>
              <w:rPr>
                <w:b/>
                <w:bCs/>
              </w:rPr>
              <w:t>369A</w:t>
            </w:r>
          </w:p>
        </w:tc>
        <w:tc>
          <w:tcPr>
            <w:tcW w:w="1740" w:type="dxa"/>
            <w:tcBorders/>
            <w:shd w:color="auto" w:fill="auto" w:val="clear"/>
            <w:tcMar>
              <w:left w:w="11" w:type="dxa"/>
              <w:right w:w="11" w:type="dxa"/>
            </w:tcMar>
            <w:vAlign w:val="center"/>
          </w:tcPr>
          <w:p>
            <w:pPr>
              <w:pStyle w:val="Normal"/>
              <w:tabs>
                <w:tab w:val="clear" w:pos="720"/>
                <w:tab w:val="left" w:pos="2554" w:leader="none"/>
              </w:tabs>
              <w:spacing w:before="0" w:after="160"/>
              <w:jc w:val="center"/>
              <w:rPr/>
            </w:pPr>
            <w:r>
              <w:rPr/>
              <w:t>74.2</w:t>
            </w:r>
          </w:p>
        </w:tc>
      </w:tr>
      <w:tr>
        <w:trPr>
          <w:trHeight w:val="477" w:hRule="atLeast"/>
        </w:trPr>
        <w:tc>
          <w:tcPr>
            <w:tcW w:w="2322" w:type="dxa"/>
            <w:tcBorders/>
            <w:shd w:color="auto" w:fill="auto" w:val="clear"/>
            <w:tcMar>
              <w:left w:w="11" w:type="dxa"/>
              <w:right w:w="11" w:type="dxa"/>
            </w:tcMar>
            <w:vAlign w:val="center"/>
          </w:tcPr>
          <w:p>
            <w:pPr>
              <w:pStyle w:val="Normal"/>
              <w:tabs>
                <w:tab w:val="clear" w:pos="720"/>
                <w:tab w:val="left" w:pos="2554" w:leader="none"/>
              </w:tabs>
              <w:spacing w:before="0" w:after="160"/>
              <w:jc w:val="center"/>
              <w:rPr/>
            </w:pPr>
            <w:r>
              <w:rPr>
                <w:b/>
                <w:bCs/>
              </w:rPr>
              <w:t>370A</w:t>
            </w:r>
          </w:p>
        </w:tc>
        <w:tc>
          <w:tcPr>
            <w:tcW w:w="1740" w:type="dxa"/>
            <w:tcBorders/>
            <w:shd w:color="auto" w:fill="auto" w:val="clear"/>
            <w:tcMar>
              <w:left w:w="11" w:type="dxa"/>
              <w:right w:w="11" w:type="dxa"/>
            </w:tcMar>
            <w:vAlign w:val="center"/>
          </w:tcPr>
          <w:p>
            <w:pPr>
              <w:pStyle w:val="Normal"/>
              <w:tabs>
                <w:tab w:val="clear" w:pos="720"/>
                <w:tab w:val="left" w:pos="2554" w:leader="none"/>
              </w:tabs>
              <w:spacing w:before="0" w:after="160"/>
              <w:jc w:val="center"/>
              <w:rPr/>
            </w:pPr>
            <w:r>
              <w:rPr/>
              <w:t>No binding</w:t>
            </w:r>
          </w:p>
        </w:tc>
      </w:tr>
      <w:tr>
        <w:trPr>
          <w:trHeight w:val="477" w:hRule="atLeast"/>
        </w:trPr>
        <w:tc>
          <w:tcPr>
            <w:tcW w:w="2322" w:type="dxa"/>
            <w:tcBorders/>
            <w:shd w:color="auto" w:fill="auto" w:val="clear"/>
            <w:tcMar>
              <w:left w:w="11" w:type="dxa"/>
              <w:right w:w="11" w:type="dxa"/>
            </w:tcMar>
            <w:vAlign w:val="center"/>
          </w:tcPr>
          <w:p>
            <w:pPr>
              <w:pStyle w:val="Normal"/>
              <w:tabs>
                <w:tab w:val="clear" w:pos="720"/>
                <w:tab w:val="left" w:pos="2554" w:leader="none"/>
              </w:tabs>
              <w:spacing w:before="0" w:after="160"/>
              <w:jc w:val="center"/>
              <w:rPr/>
            </w:pPr>
            <w:r>
              <w:rPr>
                <w:b/>
                <w:bCs/>
              </w:rPr>
              <w:t>371A</w:t>
            </w:r>
          </w:p>
        </w:tc>
        <w:tc>
          <w:tcPr>
            <w:tcW w:w="1740" w:type="dxa"/>
            <w:tcBorders/>
            <w:shd w:color="auto" w:fill="auto" w:val="clear"/>
            <w:tcMar>
              <w:left w:w="11" w:type="dxa"/>
              <w:right w:w="11" w:type="dxa"/>
            </w:tcMar>
            <w:vAlign w:val="center"/>
          </w:tcPr>
          <w:p>
            <w:pPr>
              <w:pStyle w:val="Normal"/>
              <w:tabs>
                <w:tab w:val="clear" w:pos="720"/>
                <w:tab w:val="left" w:pos="2554" w:leader="none"/>
              </w:tabs>
              <w:spacing w:before="0" w:after="160"/>
              <w:jc w:val="center"/>
              <w:rPr/>
            </w:pPr>
            <w:r>
              <w:rPr/>
              <w:t>73.7</w:t>
            </w:r>
          </w:p>
        </w:tc>
      </w:tr>
      <w:tr>
        <w:trPr>
          <w:trHeight w:val="447" w:hRule="atLeast"/>
        </w:trPr>
        <w:tc>
          <w:tcPr>
            <w:tcW w:w="2322" w:type="dxa"/>
            <w:tcBorders/>
            <w:shd w:color="auto" w:fill="auto" w:val="clear"/>
            <w:tcMar>
              <w:left w:w="11" w:type="dxa"/>
              <w:right w:w="11" w:type="dxa"/>
            </w:tcMar>
            <w:vAlign w:val="center"/>
          </w:tcPr>
          <w:p>
            <w:pPr>
              <w:pStyle w:val="Normal"/>
              <w:tabs>
                <w:tab w:val="clear" w:pos="720"/>
                <w:tab w:val="left" w:pos="2554" w:leader="none"/>
              </w:tabs>
              <w:spacing w:before="0" w:after="160"/>
              <w:jc w:val="center"/>
              <w:rPr/>
            </w:pPr>
            <w:r>
              <w:rPr>
                <w:b/>
                <w:bCs/>
              </w:rPr>
              <w:t>372A</w:t>
            </w:r>
          </w:p>
        </w:tc>
        <w:tc>
          <w:tcPr>
            <w:tcW w:w="1740" w:type="dxa"/>
            <w:tcBorders/>
            <w:shd w:color="auto" w:fill="auto" w:val="clear"/>
            <w:tcMar>
              <w:left w:w="11" w:type="dxa"/>
              <w:right w:w="11" w:type="dxa"/>
            </w:tcMar>
            <w:vAlign w:val="center"/>
          </w:tcPr>
          <w:p>
            <w:pPr>
              <w:pStyle w:val="Normal"/>
              <w:tabs>
                <w:tab w:val="clear" w:pos="720"/>
                <w:tab w:val="left" w:pos="2554" w:leader="none"/>
              </w:tabs>
              <w:spacing w:before="0" w:after="160"/>
              <w:jc w:val="center"/>
              <w:rPr/>
            </w:pPr>
            <w:r>
              <w:rPr/>
              <w:t>53.1</w:t>
            </w:r>
          </w:p>
        </w:tc>
      </w:tr>
      <w:tr>
        <w:trPr>
          <w:trHeight w:val="447" w:hRule="atLeast"/>
        </w:trPr>
        <w:tc>
          <w:tcPr>
            <w:tcW w:w="2322" w:type="dxa"/>
            <w:tcBorders/>
            <w:shd w:color="auto" w:fill="auto" w:val="clear"/>
            <w:tcMar>
              <w:left w:w="11" w:type="dxa"/>
              <w:right w:w="11" w:type="dxa"/>
            </w:tcMar>
            <w:vAlign w:val="center"/>
          </w:tcPr>
          <w:p>
            <w:pPr>
              <w:pStyle w:val="Normal"/>
              <w:tabs>
                <w:tab w:val="clear" w:pos="720"/>
                <w:tab w:val="left" w:pos="2554" w:leader="none"/>
              </w:tabs>
              <w:spacing w:before="0" w:after="160"/>
              <w:jc w:val="center"/>
              <w:rPr/>
            </w:pPr>
            <w:r>
              <w:rPr>
                <w:b/>
                <w:bCs/>
              </w:rPr>
              <w:t>373A</w:t>
            </w:r>
          </w:p>
        </w:tc>
        <w:tc>
          <w:tcPr>
            <w:tcW w:w="1740" w:type="dxa"/>
            <w:tcBorders/>
            <w:shd w:color="auto" w:fill="auto" w:val="clear"/>
            <w:tcMar>
              <w:left w:w="11" w:type="dxa"/>
              <w:right w:w="11" w:type="dxa"/>
            </w:tcMar>
            <w:vAlign w:val="center"/>
          </w:tcPr>
          <w:p>
            <w:pPr>
              <w:pStyle w:val="Normal"/>
              <w:tabs>
                <w:tab w:val="clear" w:pos="720"/>
                <w:tab w:val="left" w:pos="2554" w:leader="none"/>
              </w:tabs>
              <w:spacing w:before="0" w:after="160"/>
              <w:jc w:val="center"/>
              <w:rPr/>
            </w:pPr>
            <w:r>
              <w:rPr/>
              <w:t>168</w:t>
            </w:r>
          </w:p>
        </w:tc>
      </w:tr>
      <w:tr>
        <w:trPr>
          <w:trHeight w:val="447" w:hRule="atLeast"/>
        </w:trPr>
        <w:tc>
          <w:tcPr>
            <w:tcW w:w="2322" w:type="dxa"/>
            <w:tcBorders/>
            <w:shd w:color="auto" w:fill="auto" w:val="clear"/>
            <w:tcMar>
              <w:left w:w="11" w:type="dxa"/>
              <w:right w:w="11" w:type="dxa"/>
            </w:tcMar>
            <w:vAlign w:val="center"/>
          </w:tcPr>
          <w:p>
            <w:pPr>
              <w:pStyle w:val="Normal"/>
              <w:tabs>
                <w:tab w:val="clear" w:pos="720"/>
                <w:tab w:val="left" w:pos="2554" w:leader="none"/>
              </w:tabs>
              <w:spacing w:before="0" w:after="160"/>
              <w:jc w:val="center"/>
              <w:rPr/>
            </w:pPr>
            <w:r>
              <w:rPr>
                <w:b/>
                <w:bCs/>
              </w:rPr>
              <w:t>374A</w:t>
            </w:r>
          </w:p>
        </w:tc>
        <w:tc>
          <w:tcPr>
            <w:tcW w:w="1740" w:type="dxa"/>
            <w:tcBorders/>
            <w:shd w:color="auto" w:fill="auto" w:val="clear"/>
            <w:tcMar>
              <w:left w:w="11" w:type="dxa"/>
              <w:right w:w="11" w:type="dxa"/>
            </w:tcMar>
            <w:vAlign w:val="center"/>
          </w:tcPr>
          <w:p>
            <w:pPr>
              <w:pStyle w:val="Normal"/>
              <w:tabs>
                <w:tab w:val="clear" w:pos="720"/>
                <w:tab w:val="left" w:pos="2554" w:leader="none"/>
              </w:tabs>
              <w:spacing w:before="0" w:after="160"/>
              <w:jc w:val="center"/>
              <w:rPr/>
            </w:pPr>
            <w:r>
              <w:rPr/>
              <w:t>No binding</w:t>
            </w:r>
          </w:p>
        </w:tc>
      </w:tr>
      <w:tr>
        <w:trPr>
          <w:trHeight w:val="447" w:hRule="atLeast"/>
        </w:trPr>
        <w:tc>
          <w:tcPr>
            <w:tcW w:w="2322" w:type="dxa"/>
            <w:tcBorders/>
            <w:shd w:color="auto" w:fill="auto" w:val="clear"/>
            <w:tcMar>
              <w:left w:w="11" w:type="dxa"/>
              <w:right w:w="11" w:type="dxa"/>
            </w:tcMar>
            <w:vAlign w:val="center"/>
          </w:tcPr>
          <w:p>
            <w:pPr>
              <w:pStyle w:val="Normal"/>
              <w:tabs>
                <w:tab w:val="clear" w:pos="720"/>
                <w:tab w:val="left" w:pos="2554" w:leader="none"/>
              </w:tabs>
              <w:spacing w:before="0" w:after="160"/>
              <w:jc w:val="center"/>
              <w:rPr/>
            </w:pPr>
            <w:r>
              <w:rPr>
                <w:b/>
                <w:bCs/>
              </w:rPr>
              <w:t>375A</w:t>
            </w:r>
          </w:p>
        </w:tc>
        <w:tc>
          <w:tcPr>
            <w:tcW w:w="1740" w:type="dxa"/>
            <w:tcBorders/>
            <w:shd w:color="auto" w:fill="auto" w:val="clear"/>
            <w:tcMar>
              <w:left w:w="11" w:type="dxa"/>
              <w:right w:w="11" w:type="dxa"/>
            </w:tcMar>
            <w:vAlign w:val="center"/>
          </w:tcPr>
          <w:p>
            <w:pPr>
              <w:pStyle w:val="Normal"/>
              <w:tabs>
                <w:tab w:val="clear" w:pos="720"/>
                <w:tab w:val="left" w:pos="2554" w:leader="none"/>
              </w:tabs>
              <w:spacing w:before="0" w:after="160"/>
              <w:jc w:val="center"/>
              <w:rPr/>
            </w:pPr>
            <w:r>
              <w:rPr/>
              <w:t>25.5</w:t>
            </w:r>
          </w:p>
        </w:tc>
      </w:tr>
      <w:tr>
        <w:trPr>
          <w:trHeight w:val="447" w:hRule="atLeast"/>
        </w:trPr>
        <w:tc>
          <w:tcPr>
            <w:tcW w:w="2322" w:type="dxa"/>
            <w:tcBorders/>
            <w:shd w:color="auto" w:fill="auto" w:val="clear"/>
            <w:tcMar>
              <w:left w:w="11" w:type="dxa"/>
              <w:right w:w="11" w:type="dxa"/>
            </w:tcMar>
            <w:vAlign w:val="center"/>
          </w:tcPr>
          <w:p>
            <w:pPr>
              <w:pStyle w:val="Normal"/>
              <w:tabs>
                <w:tab w:val="clear" w:pos="720"/>
                <w:tab w:val="left" w:pos="2554" w:leader="none"/>
              </w:tabs>
              <w:spacing w:before="0" w:after="160"/>
              <w:jc w:val="center"/>
              <w:rPr/>
            </w:pPr>
            <w:r>
              <w:rPr>
                <w:b/>
                <w:bCs/>
              </w:rPr>
              <w:t>376A</w:t>
            </w:r>
          </w:p>
        </w:tc>
        <w:tc>
          <w:tcPr>
            <w:tcW w:w="1740" w:type="dxa"/>
            <w:tcBorders/>
            <w:shd w:color="auto" w:fill="auto" w:val="clear"/>
            <w:tcMar>
              <w:left w:w="11" w:type="dxa"/>
              <w:right w:w="11" w:type="dxa"/>
            </w:tcMar>
            <w:vAlign w:val="center"/>
          </w:tcPr>
          <w:p>
            <w:pPr>
              <w:pStyle w:val="Normal"/>
              <w:tabs>
                <w:tab w:val="clear" w:pos="720"/>
                <w:tab w:val="left" w:pos="2554" w:leader="none"/>
              </w:tabs>
              <w:spacing w:before="0" w:after="160"/>
              <w:jc w:val="center"/>
              <w:rPr/>
            </w:pPr>
            <w:r>
              <w:rPr/>
              <w:t>17.1</w:t>
            </w:r>
          </w:p>
        </w:tc>
      </w:tr>
      <w:tr>
        <w:trPr>
          <w:trHeight w:val="447" w:hRule="atLeast"/>
        </w:trPr>
        <w:tc>
          <w:tcPr>
            <w:tcW w:w="2322" w:type="dxa"/>
            <w:tcBorders/>
            <w:shd w:color="auto" w:fill="auto" w:val="clear"/>
            <w:tcMar>
              <w:left w:w="11" w:type="dxa"/>
              <w:right w:w="11" w:type="dxa"/>
            </w:tcMar>
            <w:vAlign w:val="center"/>
          </w:tcPr>
          <w:p>
            <w:pPr>
              <w:pStyle w:val="Normal"/>
              <w:tabs>
                <w:tab w:val="clear" w:pos="720"/>
                <w:tab w:val="left" w:pos="2554" w:leader="none"/>
              </w:tabs>
              <w:spacing w:before="0" w:after="160"/>
              <w:jc w:val="center"/>
              <w:rPr/>
            </w:pPr>
            <w:r>
              <w:rPr>
                <w:b/>
                <w:bCs/>
              </w:rPr>
              <w:t>377A</w:t>
            </w:r>
          </w:p>
        </w:tc>
        <w:tc>
          <w:tcPr>
            <w:tcW w:w="1740" w:type="dxa"/>
            <w:tcBorders/>
            <w:shd w:color="auto" w:fill="auto" w:val="clear"/>
            <w:tcMar>
              <w:left w:w="11" w:type="dxa"/>
              <w:right w:w="11" w:type="dxa"/>
            </w:tcMar>
            <w:vAlign w:val="center"/>
          </w:tcPr>
          <w:p>
            <w:pPr>
              <w:pStyle w:val="Normal"/>
              <w:tabs>
                <w:tab w:val="clear" w:pos="720"/>
                <w:tab w:val="left" w:pos="2554" w:leader="none"/>
              </w:tabs>
              <w:spacing w:before="0" w:after="160"/>
              <w:jc w:val="center"/>
              <w:rPr/>
            </w:pPr>
            <w:r>
              <w:rPr/>
              <w:t>103</w:t>
            </w:r>
          </w:p>
        </w:tc>
      </w:tr>
      <w:tr>
        <w:trPr>
          <w:trHeight w:val="447" w:hRule="atLeast"/>
        </w:trPr>
        <w:tc>
          <w:tcPr>
            <w:tcW w:w="2322" w:type="dxa"/>
            <w:tcBorders/>
            <w:shd w:color="auto" w:fill="auto" w:val="clear"/>
            <w:tcMar>
              <w:left w:w="11" w:type="dxa"/>
              <w:right w:w="11" w:type="dxa"/>
            </w:tcMar>
            <w:vAlign w:val="center"/>
          </w:tcPr>
          <w:p>
            <w:pPr>
              <w:pStyle w:val="Normal"/>
              <w:tabs>
                <w:tab w:val="clear" w:pos="720"/>
                <w:tab w:val="left" w:pos="2554" w:leader="none"/>
              </w:tabs>
              <w:spacing w:before="0" w:after="160"/>
              <w:jc w:val="center"/>
              <w:rPr/>
            </w:pPr>
            <w:r>
              <w:rPr>
                <w:b/>
                <w:bCs/>
              </w:rPr>
              <w:t>378A</w:t>
            </w:r>
          </w:p>
        </w:tc>
        <w:tc>
          <w:tcPr>
            <w:tcW w:w="1740" w:type="dxa"/>
            <w:tcBorders/>
            <w:shd w:color="auto" w:fill="auto" w:val="clear"/>
            <w:tcMar>
              <w:left w:w="11" w:type="dxa"/>
              <w:right w:w="11" w:type="dxa"/>
            </w:tcMar>
            <w:vAlign w:val="center"/>
          </w:tcPr>
          <w:p>
            <w:pPr>
              <w:pStyle w:val="Normal"/>
              <w:tabs>
                <w:tab w:val="clear" w:pos="720"/>
                <w:tab w:val="left" w:pos="2554" w:leader="none"/>
              </w:tabs>
              <w:spacing w:before="0" w:after="160"/>
              <w:jc w:val="center"/>
              <w:rPr/>
            </w:pPr>
            <w:r>
              <w:rPr/>
              <w:t>23.3</w:t>
            </w:r>
          </w:p>
        </w:tc>
      </w:tr>
      <w:tr>
        <w:trPr>
          <w:trHeight w:val="447" w:hRule="atLeast"/>
        </w:trPr>
        <w:tc>
          <w:tcPr>
            <w:tcW w:w="2322" w:type="dxa"/>
            <w:tcBorders>
              <w:bottom w:val="single" w:sz="4" w:space="0" w:color="000000"/>
            </w:tcBorders>
            <w:shd w:color="auto" w:fill="auto" w:val="clear"/>
            <w:tcMar>
              <w:left w:w="11" w:type="dxa"/>
              <w:right w:w="11" w:type="dxa"/>
            </w:tcMar>
            <w:vAlign w:val="center"/>
          </w:tcPr>
          <w:p>
            <w:pPr>
              <w:pStyle w:val="Normal"/>
              <w:tabs>
                <w:tab w:val="clear" w:pos="720"/>
                <w:tab w:val="left" w:pos="2554" w:leader="none"/>
              </w:tabs>
              <w:spacing w:before="0" w:after="160"/>
              <w:jc w:val="center"/>
              <w:rPr/>
            </w:pPr>
            <w:r>
              <w:rPr>
                <w:b/>
                <w:bCs/>
              </w:rPr>
              <w:t>379A</w:t>
            </w:r>
          </w:p>
        </w:tc>
        <w:tc>
          <w:tcPr>
            <w:tcW w:w="1740" w:type="dxa"/>
            <w:tcBorders>
              <w:bottom w:val="single" w:sz="4" w:space="0" w:color="000000"/>
            </w:tcBorders>
            <w:shd w:color="auto" w:fill="auto" w:val="clear"/>
            <w:tcMar>
              <w:left w:w="11" w:type="dxa"/>
              <w:right w:w="11" w:type="dxa"/>
            </w:tcMar>
            <w:vAlign w:val="center"/>
          </w:tcPr>
          <w:p>
            <w:pPr>
              <w:pStyle w:val="Normal"/>
              <w:tabs>
                <w:tab w:val="clear" w:pos="720"/>
                <w:tab w:val="left" w:pos="2554" w:leader="none"/>
              </w:tabs>
              <w:spacing w:before="0" w:after="160"/>
              <w:jc w:val="center"/>
              <w:rPr/>
            </w:pPr>
            <w:r>
              <w:rPr/>
              <w:t>65.9</w:t>
            </w:r>
          </w:p>
        </w:tc>
      </w:tr>
    </w:tbl>
    <w:p>
      <w:pPr>
        <w:pStyle w:val="Normal"/>
        <w:tabs>
          <w:tab w:val="clear" w:pos="720"/>
          <w:tab w:val="left" w:pos="2554" w:leader="none"/>
        </w:tabs>
        <w:rPr/>
      </w:pPr>
      <w:r>
        <w:rPr/>
      </w:r>
    </w:p>
    <w:p>
      <w:pPr>
        <w:pStyle w:val="Normal"/>
        <w:tabs>
          <w:tab w:val="clear" w:pos="720"/>
          <w:tab w:val="left" w:pos="2554" w:leader="none"/>
        </w:tabs>
        <w:rPr/>
      </w:pPr>
      <w:r>
        <w:rPr/>
      </w:r>
    </w:p>
    <w:p>
      <w:pPr>
        <w:pStyle w:val="Normal"/>
        <w:tabs>
          <w:tab w:val="clear" w:pos="720"/>
          <w:tab w:val="left" w:pos="2554" w:leader="none"/>
        </w:tabs>
        <w:rPr/>
      </w:pPr>
      <w:r>
        <w:rPr/>
      </w:r>
    </w:p>
    <w:p>
      <w:pPr>
        <w:pStyle w:val="Normal"/>
        <w:tabs>
          <w:tab w:val="clear" w:pos="720"/>
          <w:tab w:val="left" w:pos="2554" w:leader="none"/>
        </w:tabs>
        <w:rPr/>
      </w:pPr>
      <w:r>
        <w:rPr/>
      </w:r>
    </w:p>
    <w:p>
      <w:pPr>
        <w:pStyle w:val="Normal"/>
        <w:tabs>
          <w:tab w:val="clear" w:pos="720"/>
          <w:tab w:val="left" w:pos="2554" w:leader="none"/>
        </w:tabs>
        <w:rPr/>
      </w:pPr>
      <w:r>
        <w:rPr/>
      </w:r>
    </w:p>
    <w:p>
      <w:pPr>
        <w:pStyle w:val="Normal"/>
        <w:tabs>
          <w:tab w:val="clear" w:pos="720"/>
          <w:tab w:val="left" w:pos="2554" w:leader="none"/>
        </w:tabs>
        <w:rPr/>
      </w:pPr>
      <w:r>
        <w:rPr/>
      </w:r>
    </w:p>
    <w:p>
      <w:pPr>
        <w:pStyle w:val="Normal"/>
        <w:tabs>
          <w:tab w:val="clear" w:pos="720"/>
          <w:tab w:val="left" w:pos="2554" w:leader="none"/>
        </w:tabs>
        <w:rPr/>
      </w:pPr>
      <w:r>
        <w:rPr/>
      </w:r>
    </w:p>
    <w:p>
      <w:pPr>
        <w:pStyle w:val="Normal"/>
        <w:tabs>
          <w:tab w:val="clear" w:pos="720"/>
          <w:tab w:val="left" w:pos="2554" w:leader="none"/>
        </w:tabs>
        <w:rPr/>
      </w:pPr>
      <w:r>
        <w:rPr/>
      </w:r>
    </w:p>
    <w:p>
      <w:pPr>
        <w:pStyle w:val="Normal"/>
        <w:tabs>
          <w:tab w:val="clear" w:pos="720"/>
          <w:tab w:val="left" w:pos="2554" w:leader="none"/>
        </w:tabs>
        <w:spacing w:before="240" w:after="160"/>
        <w:rPr>
          <w:b/>
          <w:bCs/>
        </w:rPr>
      </w:pPr>
      <w:r>
        <w:rPr>
          <w:b/>
          <w:bCs/>
        </w:rPr>
      </w:r>
    </w:p>
    <w:p>
      <w:pPr>
        <w:pStyle w:val="Normal"/>
        <w:tabs>
          <w:tab w:val="clear" w:pos="720"/>
          <w:tab w:val="left" w:pos="2554" w:leader="none"/>
        </w:tabs>
        <w:spacing w:before="240" w:after="160"/>
        <w:rPr>
          <w:b/>
          <w:bCs/>
        </w:rPr>
      </w:pPr>
      <w:r>
        <w:rPr>
          <w:b/>
          <w:bCs/>
        </w:rPr>
      </w:r>
    </w:p>
    <w:p>
      <w:pPr>
        <w:pStyle w:val="Normal"/>
        <w:tabs>
          <w:tab w:val="clear" w:pos="720"/>
          <w:tab w:val="left" w:pos="2554" w:leader="none"/>
        </w:tabs>
        <w:spacing w:before="240" w:after="160"/>
        <w:rPr>
          <w:b/>
          <w:bCs/>
        </w:rPr>
      </w:pPr>
      <w:r>
        <w:rPr>
          <w:b/>
          <w:bCs/>
        </w:rPr>
      </w:r>
    </w:p>
    <w:p>
      <w:pPr>
        <w:pStyle w:val="Normal"/>
        <w:tabs>
          <w:tab w:val="clear" w:pos="720"/>
          <w:tab w:val="left" w:pos="2554" w:leader="none"/>
        </w:tabs>
        <w:spacing w:before="240" w:after="160"/>
        <w:rPr>
          <w:b/>
          <w:bCs/>
        </w:rPr>
      </w:pPr>
      <w:r>
        <w:rPr>
          <w:b/>
          <w:bCs/>
        </w:rPr>
      </w:r>
    </w:p>
    <w:p>
      <w:pPr>
        <w:pStyle w:val="Normal"/>
        <w:tabs>
          <w:tab w:val="clear" w:pos="720"/>
          <w:tab w:val="left" w:pos="2554" w:leader="none"/>
        </w:tabs>
        <w:spacing w:before="240" w:after="160"/>
        <w:rPr>
          <w:b/>
          <w:bCs/>
        </w:rPr>
      </w:pPr>
      <w:r>
        <w:rPr>
          <w:b/>
          <w:bCs/>
        </w:rPr>
      </w:r>
    </w:p>
    <w:p>
      <w:pPr>
        <w:pStyle w:val="Normal"/>
        <w:tabs>
          <w:tab w:val="clear" w:pos="720"/>
          <w:tab w:val="left" w:pos="2554" w:leader="none"/>
        </w:tabs>
        <w:spacing w:before="240" w:after="160"/>
        <w:rPr>
          <w:b/>
          <w:bCs/>
        </w:rPr>
      </w:pPr>
      <w:r>
        <w:rPr>
          <w:b/>
          <w:bCs/>
        </w:rPr>
      </w:r>
    </w:p>
    <w:p>
      <w:pPr>
        <w:pStyle w:val="Normal"/>
        <w:tabs>
          <w:tab w:val="clear" w:pos="720"/>
          <w:tab w:val="left" w:pos="2554" w:leader="none"/>
        </w:tabs>
        <w:spacing w:before="240" w:after="16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Normal"/>
        <w:tabs>
          <w:tab w:val="clear" w:pos="720"/>
          <w:tab w:val="left" w:pos="2554" w:leader="none"/>
        </w:tabs>
        <w:spacing w:before="240" w:after="160"/>
        <w:rPr>
          <w:i/>
          <w:i/>
          <w:iCs/>
          <w:sz w:val="20"/>
          <w:szCs w:val="20"/>
        </w:rPr>
      </w:pPr>
      <w:r>
        <w:rPr>
          <w:b/>
          <w:bCs/>
          <w:sz w:val="20"/>
          <w:szCs w:val="20"/>
        </w:rPr>
        <w:t>Table S6: Binding profile S1G2 against N-terminally biotinylated ASM 13-mer peptides using Biacore X100 -</w:t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 xml:space="preserve">ASM peptides (analyte) at five different concentrations (100, 50, 25, 12.5 and 6.25 nM) were flowed over a CM5 chip covalently bonded with S1G2 scAb. Association = 180 s, dissociation= 60 s. </w:t>
      </w:r>
    </w:p>
    <w:p>
      <w:pPr>
        <w:pStyle w:val="Normal"/>
        <w:tabs>
          <w:tab w:val="clear" w:pos="720"/>
          <w:tab w:val="left" w:pos="2554" w:leader="none"/>
        </w:tabs>
        <w:spacing w:before="240" w:after="160"/>
        <w:rPr/>
      </w:pPr>
      <w:r>
        <w:rPr/>
      </w:r>
    </w:p>
    <w:p>
      <w:pPr>
        <w:pStyle w:val="Normal"/>
        <w:tabs>
          <w:tab w:val="clear" w:pos="720"/>
          <w:tab w:val="left" w:pos="2554" w:leader="none"/>
        </w:tabs>
        <w:spacing w:before="240" w:after="160"/>
        <w:rPr/>
      </w:pPr>
      <w:r>
        <w:rPr/>
      </w:r>
    </w:p>
    <w:tbl>
      <w:tblPr>
        <w:tblpPr w:vertAnchor="page" w:horzAnchor="margin" w:tblpXSpec="center" w:leftFromText="180" w:rightFromText="180" w:tblpY="1096"/>
        <w:tblW w:w="1038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19"/>
        <w:gridCol w:w="933"/>
        <w:gridCol w:w="809"/>
        <w:gridCol w:w="1249"/>
        <w:gridCol w:w="797"/>
        <w:gridCol w:w="1033"/>
        <w:gridCol w:w="1032"/>
        <w:gridCol w:w="1262"/>
        <w:gridCol w:w="868"/>
        <w:gridCol w:w="952"/>
        <w:gridCol w:w="926"/>
      </w:tblGrid>
      <w:tr>
        <w:trPr>
          <w:trHeight w:val="355" w:hRule="atLeast"/>
        </w:trPr>
        <w:tc>
          <w:tcPr>
            <w:tcW w:w="51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0"/>
                <w:szCs w:val="24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0"/>
                <w:szCs w:val="24"/>
                <w:lang w:eastAsia="en-GB"/>
              </w:rPr>
            </w:r>
          </w:p>
        </w:tc>
        <w:tc>
          <w:tcPr>
            <w:tcW w:w="933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themeColor="text1"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0"/>
                <w:szCs w:val="20"/>
                <w:lang w:eastAsia="en-GB"/>
              </w:rPr>
            </w:r>
          </w:p>
        </w:tc>
        <w:tc>
          <w:tcPr>
            <w:tcW w:w="8928" w:type="dxa"/>
            <w:gridSpan w:val="9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  <w:t>Detector mAb</w:t>
            </w:r>
          </w:p>
        </w:tc>
      </w:tr>
      <w:tr>
        <w:trPr>
          <w:trHeight w:val="355" w:hRule="atLeast"/>
        </w:trPr>
        <w:tc>
          <w:tcPr>
            <w:tcW w:w="519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themeColor="text1" w:val="000000"/>
                <w:u w:val="single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themeColor="text1" w:val="000000"/>
                <w:u w:val="single"/>
                <w:lang w:eastAsia="en-GB"/>
              </w:rPr>
            </w:r>
          </w:p>
        </w:tc>
        <w:tc>
          <w:tcPr>
            <w:tcW w:w="933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0"/>
                <w:szCs w:val="20"/>
                <w:lang w:eastAsia="en-GB"/>
              </w:rPr>
            </w:r>
          </w:p>
        </w:tc>
        <w:tc>
          <w:tcPr>
            <w:tcW w:w="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  <w:t>CB7</w:t>
            </w:r>
          </w:p>
        </w:tc>
        <w:tc>
          <w:tcPr>
            <w:tcW w:w="1249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  <w:t>Tau12</w:t>
            </w:r>
          </w:p>
        </w:tc>
        <w:tc>
          <w:tcPr>
            <w:tcW w:w="797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  <w:t>CC7</w:t>
            </w:r>
          </w:p>
        </w:tc>
        <w:tc>
          <w:tcPr>
            <w:tcW w:w="1033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  <w:t>HT7</w:t>
            </w:r>
          </w:p>
        </w:tc>
        <w:tc>
          <w:tcPr>
            <w:tcW w:w="103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  <w:t>BT2</w:t>
            </w:r>
          </w:p>
        </w:tc>
        <w:tc>
          <w:tcPr>
            <w:tcW w:w="126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  <w:t>S1D12</w:t>
            </w:r>
          </w:p>
        </w:tc>
        <w:tc>
          <w:tcPr>
            <w:tcW w:w="868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  <w:t>CA4</w:t>
            </w:r>
          </w:p>
        </w:tc>
        <w:tc>
          <w:tcPr>
            <w:tcW w:w="952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  <w:t>S1G2</w:t>
            </w:r>
          </w:p>
        </w:tc>
        <w:tc>
          <w:tcPr>
            <w:tcW w:w="9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  <w:t>Tau46</w:t>
            </w:r>
          </w:p>
        </w:tc>
      </w:tr>
      <w:tr>
        <w:trPr>
          <w:trHeight w:val="338" w:hRule="atLeast"/>
        </w:trPr>
        <w:tc>
          <w:tcPr>
            <w:tcW w:w="519" w:type="dxa"/>
            <w:vMerge w:val="restart"/>
            <w:tcBorders/>
            <w:shd w:color="auto" w:fill="auto" w:val="clear"/>
            <w:textDirection w:val="btL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  <w:t>Capture mAb</w:t>
            </w:r>
          </w:p>
        </w:tc>
        <w:tc>
          <w:tcPr>
            <w:tcW w:w="9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  <w:t>CB7</w:t>
            </w:r>
          </w:p>
        </w:tc>
        <w:tc>
          <w:tcPr>
            <w:tcW w:w="809" w:type="dxa"/>
            <w:tcBorders>
              <w:bottom w:val="single" w:sz="4" w:space="0" w:color="000000"/>
              <w:right w:val="single" w:sz="4" w:space="0" w:color="000000"/>
            </w:tcBorders>
            <w:shd w:color="000000" w:fill="auto" w:val="thinReverseDiagStripe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</w:r>
          </w:p>
        </w:tc>
        <w:tc>
          <w:tcPr>
            <w:tcW w:w="12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174.4</w:t>
            </w:r>
          </w:p>
        </w:tc>
        <w:tc>
          <w:tcPr>
            <w:tcW w:w="79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21.8</w:t>
            </w:r>
          </w:p>
        </w:tc>
        <w:tc>
          <w:tcPr>
            <w:tcW w:w="10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21.8</w:t>
            </w:r>
          </w:p>
        </w:tc>
        <w:tc>
          <w:tcPr>
            <w:tcW w:w="103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21.8</w:t>
            </w:r>
          </w:p>
        </w:tc>
        <w:tc>
          <w:tcPr>
            <w:tcW w:w="126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174.4</w:t>
            </w:r>
          </w:p>
        </w:tc>
        <w:tc>
          <w:tcPr>
            <w:tcW w:w="8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87.2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21.8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43.6</w:t>
            </w:r>
          </w:p>
        </w:tc>
      </w:tr>
      <w:tr>
        <w:trPr>
          <w:trHeight w:val="338" w:hRule="atLeast"/>
        </w:trPr>
        <w:tc>
          <w:tcPr>
            <w:tcW w:w="519" w:type="dxa"/>
            <w:vMerge w:val="continue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bCs/>
                <w:color w:themeColor="text1" w:val="000000"/>
                <w:u w:val="single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themeColor="text1" w:val="000000"/>
                <w:u w:val="single"/>
                <w:lang w:eastAsia="en-GB"/>
              </w:rPr>
            </w:r>
          </w:p>
        </w:tc>
        <w:tc>
          <w:tcPr>
            <w:tcW w:w="93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  <w:t>Tau12</w:t>
            </w:r>
          </w:p>
        </w:tc>
        <w:tc>
          <w:tcPr>
            <w:tcW w:w="8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43.6</w:t>
            </w:r>
          </w:p>
        </w:tc>
        <w:tc>
          <w:tcPr>
            <w:tcW w:w="1249" w:type="dxa"/>
            <w:tcBorders>
              <w:bottom w:val="single" w:sz="4" w:space="0" w:color="000000"/>
              <w:right w:val="single" w:sz="4" w:space="0" w:color="000000"/>
            </w:tcBorders>
            <w:shd w:color="000000" w:fill="auto" w:val="thinReverseDiagStripe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</w:r>
          </w:p>
        </w:tc>
        <w:tc>
          <w:tcPr>
            <w:tcW w:w="79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43.6</w:t>
            </w:r>
          </w:p>
        </w:tc>
        <w:tc>
          <w:tcPr>
            <w:tcW w:w="10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2.7</w:t>
            </w:r>
          </w:p>
        </w:tc>
        <w:tc>
          <w:tcPr>
            <w:tcW w:w="103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2.7</w:t>
            </w:r>
          </w:p>
        </w:tc>
        <w:tc>
          <w:tcPr>
            <w:tcW w:w="126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174.4</w:t>
            </w:r>
          </w:p>
        </w:tc>
        <w:tc>
          <w:tcPr>
            <w:tcW w:w="8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174.4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2.7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2.7</w:t>
            </w:r>
          </w:p>
        </w:tc>
      </w:tr>
      <w:tr>
        <w:trPr>
          <w:trHeight w:val="338" w:hRule="atLeast"/>
        </w:trPr>
        <w:tc>
          <w:tcPr>
            <w:tcW w:w="519" w:type="dxa"/>
            <w:vMerge w:val="continue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bCs/>
                <w:color w:themeColor="text1" w:val="000000"/>
                <w:u w:val="single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themeColor="text1" w:val="000000"/>
                <w:u w:val="single"/>
                <w:lang w:eastAsia="en-GB"/>
              </w:rPr>
            </w:r>
          </w:p>
        </w:tc>
        <w:tc>
          <w:tcPr>
            <w:tcW w:w="93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  <w:t>CC7</w:t>
            </w:r>
          </w:p>
        </w:tc>
        <w:tc>
          <w:tcPr>
            <w:tcW w:w="8928" w:type="dxa"/>
            <w:gridSpan w:val="9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No binding</w:t>
            </w:r>
          </w:p>
        </w:tc>
      </w:tr>
      <w:tr>
        <w:trPr>
          <w:trHeight w:val="338" w:hRule="atLeast"/>
        </w:trPr>
        <w:tc>
          <w:tcPr>
            <w:tcW w:w="519" w:type="dxa"/>
            <w:vMerge w:val="continue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bCs/>
                <w:color w:themeColor="text1" w:val="000000"/>
                <w:u w:val="single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themeColor="text1" w:val="000000"/>
                <w:u w:val="single"/>
                <w:lang w:eastAsia="en-GB"/>
              </w:rPr>
            </w:r>
          </w:p>
        </w:tc>
        <w:tc>
          <w:tcPr>
            <w:tcW w:w="93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  <w:t>HT7</w:t>
            </w:r>
          </w:p>
        </w:tc>
        <w:tc>
          <w:tcPr>
            <w:tcW w:w="8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43.6</w:t>
            </w:r>
          </w:p>
        </w:tc>
        <w:tc>
          <w:tcPr>
            <w:tcW w:w="12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2.7</w:t>
            </w:r>
          </w:p>
        </w:tc>
        <w:tc>
          <w:tcPr>
            <w:tcW w:w="79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43.6</w:t>
            </w:r>
          </w:p>
        </w:tc>
        <w:tc>
          <w:tcPr>
            <w:tcW w:w="1033" w:type="dxa"/>
            <w:tcBorders>
              <w:bottom w:val="single" w:sz="4" w:space="0" w:color="000000"/>
              <w:right w:val="single" w:sz="4" w:space="0" w:color="000000"/>
            </w:tcBorders>
            <w:shd w:color="000000" w:fill="auto" w:val="thinReverseDiagStripe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</w:r>
          </w:p>
        </w:tc>
        <w:tc>
          <w:tcPr>
            <w:tcW w:w="103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2.7</w:t>
            </w:r>
          </w:p>
        </w:tc>
        <w:tc>
          <w:tcPr>
            <w:tcW w:w="126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43.6</w:t>
            </w:r>
          </w:p>
        </w:tc>
        <w:tc>
          <w:tcPr>
            <w:tcW w:w="8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43.6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2.7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2.7</w:t>
            </w:r>
          </w:p>
        </w:tc>
      </w:tr>
      <w:tr>
        <w:trPr>
          <w:trHeight w:val="338" w:hRule="atLeast"/>
        </w:trPr>
        <w:tc>
          <w:tcPr>
            <w:tcW w:w="519" w:type="dxa"/>
            <w:vMerge w:val="continue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bCs/>
                <w:color w:themeColor="text1" w:val="000000"/>
                <w:u w:val="single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themeColor="text1" w:val="000000"/>
                <w:u w:val="single"/>
                <w:lang w:eastAsia="en-GB"/>
              </w:rPr>
            </w:r>
          </w:p>
        </w:tc>
        <w:tc>
          <w:tcPr>
            <w:tcW w:w="93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  <w:t>BT2</w:t>
            </w:r>
          </w:p>
        </w:tc>
        <w:tc>
          <w:tcPr>
            <w:tcW w:w="8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5.4</w:t>
            </w:r>
          </w:p>
        </w:tc>
        <w:tc>
          <w:tcPr>
            <w:tcW w:w="12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2.7</w:t>
            </w:r>
          </w:p>
        </w:tc>
        <w:tc>
          <w:tcPr>
            <w:tcW w:w="79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43.6</w:t>
            </w:r>
          </w:p>
        </w:tc>
        <w:tc>
          <w:tcPr>
            <w:tcW w:w="10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2.7</w:t>
            </w:r>
          </w:p>
        </w:tc>
        <w:tc>
          <w:tcPr>
            <w:tcW w:w="1032" w:type="dxa"/>
            <w:tcBorders>
              <w:bottom w:val="single" w:sz="4" w:space="0" w:color="000000"/>
              <w:right w:val="single" w:sz="4" w:space="0" w:color="000000"/>
            </w:tcBorders>
            <w:shd w:color="000000" w:fill="auto" w:val="thinReverseDiagStripe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</w:r>
          </w:p>
        </w:tc>
        <w:tc>
          <w:tcPr>
            <w:tcW w:w="126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174.4</w:t>
            </w:r>
          </w:p>
        </w:tc>
        <w:tc>
          <w:tcPr>
            <w:tcW w:w="8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174.4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2.7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2.7</w:t>
            </w:r>
          </w:p>
        </w:tc>
      </w:tr>
      <w:tr>
        <w:trPr>
          <w:trHeight w:val="338" w:hRule="atLeast"/>
        </w:trPr>
        <w:tc>
          <w:tcPr>
            <w:tcW w:w="519" w:type="dxa"/>
            <w:vMerge w:val="continue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bCs/>
                <w:color w:themeColor="text1" w:val="000000"/>
                <w:u w:val="single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themeColor="text1" w:val="000000"/>
                <w:u w:val="single"/>
                <w:lang w:eastAsia="en-GB"/>
              </w:rPr>
            </w:r>
          </w:p>
        </w:tc>
        <w:tc>
          <w:tcPr>
            <w:tcW w:w="93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  <w:t>S1D12</w:t>
            </w:r>
          </w:p>
        </w:tc>
        <w:tc>
          <w:tcPr>
            <w:tcW w:w="8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174.4</w:t>
            </w:r>
          </w:p>
        </w:tc>
        <w:tc>
          <w:tcPr>
            <w:tcW w:w="12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10.9</w:t>
            </w:r>
          </w:p>
        </w:tc>
        <w:tc>
          <w:tcPr>
            <w:tcW w:w="79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174.4</w:t>
            </w:r>
          </w:p>
        </w:tc>
        <w:tc>
          <w:tcPr>
            <w:tcW w:w="10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10.9</w:t>
            </w:r>
          </w:p>
        </w:tc>
        <w:tc>
          <w:tcPr>
            <w:tcW w:w="103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5.4</w:t>
            </w:r>
          </w:p>
        </w:tc>
        <w:tc>
          <w:tcPr>
            <w:tcW w:w="1262" w:type="dxa"/>
            <w:tcBorders>
              <w:bottom w:val="single" w:sz="4" w:space="0" w:color="000000"/>
              <w:right w:val="single" w:sz="4" w:space="0" w:color="000000"/>
            </w:tcBorders>
            <w:shd w:color="000000" w:fill="auto" w:val="thinReverseDiagStripe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</w:r>
          </w:p>
        </w:tc>
        <w:tc>
          <w:tcPr>
            <w:tcW w:w="8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nb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1.3</w:t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10.9</w:t>
            </w:r>
          </w:p>
        </w:tc>
      </w:tr>
      <w:tr>
        <w:trPr>
          <w:trHeight w:val="338" w:hRule="atLeast"/>
        </w:trPr>
        <w:tc>
          <w:tcPr>
            <w:tcW w:w="519" w:type="dxa"/>
            <w:vMerge w:val="continue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bCs/>
                <w:color w:themeColor="text1" w:val="000000"/>
                <w:u w:val="single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themeColor="text1" w:val="000000"/>
                <w:u w:val="single"/>
                <w:lang w:eastAsia="en-GB"/>
              </w:rPr>
            </w:r>
          </w:p>
        </w:tc>
        <w:tc>
          <w:tcPr>
            <w:tcW w:w="93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  <w:t>CA4</w:t>
            </w:r>
          </w:p>
        </w:tc>
        <w:tc>
          <w:tcPr>
            <w:tcW w:w="8928" w:type="dxa"/>
            <w:gridSpan w:val="9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No binding</w:t>
            </w:r>
          </w:p>
        </w:tc>
      </w:tr>
      <w:tr>
        <w:trPr>
          <w:trHeight w:val="338" w:hRule="atLeast"/>
        </w:trPr>
        <w:tc>
          <w:tcPr>
            <w:tcW w:w="519" w:type="dxa"/>
            <w:vMerge w:val="continue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bCs/>
                <w:color w:themeColor="text1" w:val="000000"/>
                <w:u w:val="single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themeColor="text1" w:val="000000"/>
                <w:u w:val="single"/>
                <w:lang w:eastAsia="en-GB"/>
              </w:rPr>
            </w:r>
          </w:p>
        </w:tc>
        <w:tc>
          <w:tcPr>
            <w:tcW w:w="93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  <w:t>S1G2</w:t>
            </w:r>
          </w:p>
        </w:tc>
        <w:tc>
          <w:tcPr>
            <w:tcW w:w="8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21.8</w:t>
            </w:r>
          </w:p>
        </w:tc>
        <w:tc>
          <w:tcPr>
            <w:tcW w:w="12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2.7</w:t>
            </w:r>
          </w:p>
        </w:tc>
        <w:tc>
          <w:tcPr>
            <w:tcW w:w="79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174.4</w:t>
            </w:r>
          </w:p>
        </w:tc>
        <w:tc>
          <w:tcPr>
            <w:tcW w:w="103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21.8</w:t>
            </w:r>
          </w:p>
        </w:tc>
        <w:tc>
          <w:tcPr>
            <w:tcW w:w="103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1.3</w:t>
            </w:r>
          </w:p>
        </w:tc>
        <w:tc>
          <w:tcPr>
            <w:tcW w:w="126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43.6</w:t>
            </w:r>
          </w:p>
        </w:tc>
        <w:tc>
          <w:tcPr>
            <w:tcW w:w="8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21.8</w:t>
            </w:r>
          </w:p>
        </w:tc>
        <w:tc>
          <w:tcPr>
            <w:tcW w:w="952" w:type="dxa"/>
            <w:tcBorders>
              <w:bottom w:val="single" w:sz="4" w:space="0" w:color="000000"/>
              <w:right w:val="single" w:sz="4" w:space="0" w:color="000000"/>
            </w:tcBorders>
            <w:shd w:color="000000" w:fill="auto" w:val="thinReverseDiagStripe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</w:r>
          </w:p>
        </w:tc>
        <w:tc>
          <w:tcPr>
            <w:tcW w:w="926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5.4</w:t>
            </w:r>
          </w:p>
        </w:tc>
      </w:tr>
      <w:tr>
        <w:trPr>
          <w:trHeight w:val="355" w:hRule="atLeast"/>
        </w:trPr>
        <w:tc>
          <w:tcPr>
            <w:tcW w:w="519" w:type="dxa"/>
            <w:vMerge w:val="continue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bCs/>
                <w:color w:themeColor="text1" w:val="000000"/>
                <w:u w:val="single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themeColor="text1" w:val="000000"/>
                <w:u w:val="single"/>
                <w:lang w:eastAsia="en-GB"/>
              </w:rPr>
            </w:r>
          </w:p>
        </w:tc>
        <w:tc>
          <w:tcPr>
            <w:tcW w:w="9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themeColor="text1" w:val="000000"/>
                <w:lang w:eastAsia="en-GB"/>
              </w:rPr>
              <w:t>Tau46</w:t>
            </w:r>
          </w:p>
        </w:tc>
        <w:tc>
          <w:tcPr>
            <w:tcW w:w="809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21.8</w:t>
            </w:r>
          </w:p>
        </w:tc>
        <w:tc>
          <w:tcPr>
            <w:tcW w:w="1249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43.6</w:t>
            </w:r>
          </w:p>
        </w:tc>
        <w:tc>
          <w:tcPr>
            <w:tcW w:w="797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174.4</w:t>
            </w:r>
          </w:p>
        </w:tc>
        <w:tc>
          <w:tcPr>
            <w:tcW w:w="1033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2.7</w:t>
            </w:r>
          </w:p>
        </w:tc>
        <w:tc>
          <w:tcPr>
            <w:tcW w:w="1032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10.9</w:t>
            </w:r>
          </w:p>
        </w:tc>
        <w:tc>
          <w:tcPr>
            <w:tcW w:w="1262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174.4</w:t>
            </w:r>
          </w:p>
        </w:tc>
        <w:tc>
          <w:tcPr>
            <w:tcW w:w="868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43.6</w:t>
            </w:r>
          </w:p>
        </w:tc>
        <w:tc>
          <w:tcPr>
            <w:tcW w:w="952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  <w:t>10.9</w:t>
            </w:r>
          </w:p>
        </w:tc>
        <w:tc>
          <w:tcPr>
            <w:tcW w:w="926" w:type="dxa"/>
            <w:tcBorders>
              <w:bottom w:val="single" w:sz="8" w:space="0" w:color="000000"/>
              <w:right w:val="single" w:sz="8" w:space="0" w:color="000000"/>
            </w:tcBorders>
            <w:shd w:color="000000" w:fill="auto" w:val="thinReverseDiagStripe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Calibri"/>
                <w:color w:themeColor="text1" w:val="000000"/>
                <w:lang w:eastAsia="en-GB"/>
              </w:rPr>
            </w:pPr>
            <w:r>
              <w:rPr>
                <w:rFonts w:eastAsia="Times New Roman" w:cs="Calibri"/>
                <w:color w:themeColor="text1" w:val="000000"/>
                <w:lang w:eastAsia="en-GB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sz w:val="20"/>
          <w:szCs w:val="20"/>
        </w:rPr>
      </w:pPr>
      <w:r>
        <w:rPr>
          <w:b/>
          <w:bCs/>
          <w:sz w:val="20"/>
          <w:szCs w:val="20"/>
        </w:rPr>
        <w:t>Table S7: Combined LLOQs for optimised chemiluminescence diagnostic sandwich ELISAs</w:t>
      </w:r>
      <w:r>
        <w:rPr>
          <w:sz w:val="20"/>
          <w:szCs w:val="20"/>
        </w:rPr>
        <w:t xml:space="preserve"> - </w:t>
      </w:r>
      <w:r>
        <w:rPr>
          <w:i/>
          <w:iCs/>
          <w:sz w:val="20"/>
          <w:szCs w:val="20"/>
        </w:rPr>
        <w:t>Values reported in pM. The S1D12/S1G2 and S1G2/BT2 pairings were most sensitive with an LLOQ of 1.3 pM. Values reported from individual ELISA plates with each pairing performed in triplicate. nb = no binding.</w:t>
      </w:r>
    </w:p>
    <w:p>
      <w:pPr>
        <w:pStyle w:val="Normal"/>
        <w:spacing w:before="0" w:after="160"/>
        <w:rPr/>
      </w:pPr>
      <w:r>
        <w:rPr/>
      </w:r>
    </w:p>
    <w:sectPr>
      <w:type w:val="nextPage"/>
      <w:pgSz w:orient="landscape" w:w="16838" w:h="11906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6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GB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933bd"/>
    <w:pPr>
      <w:widowControl/>
      <w:bidi w:val="0"/>
      <w:spacing w:lineRule="auto" w:line="259" w:before="0" w:after="160"/>
      <w:jc w:val="left"/>
    </w:pPr>
    <w:rPr>
      <w:rFonts w:ascii="Cambria" w:hAnsi="Cambria" w:eastAsia="Calibri" w:cs="Arial"/>
      <w:color w:val="auto"/>
      <w:kern w:val="0"/>
      <w:sz w:val="22"/>
      <w:szCs w:val="22"/>
      <w:lang w:val="en-GB" w:eastAsia="en-US" w:bidi="ar-SA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2b60e9"/>
    <w:rPr>
      <w:rFonts w:ascii="Cambria" w:hAnsi="Cambria"/>
      <w:kern w:val="0"/>
      <w14:ligatures w14:val="none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2b60e9"/>
    <w:rPr>
      <w:rFonts w:ascii="Cambria" w:hAnsi="Cambria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63f5f"/>
    <w:rPr>
      <w:sz w:val="16"/>
      <w:szCs w:val="16"/>
    </w:rPr>
  </w:style>
  <w:style w:type="character" w:styleId="CommentTextChar" w:customStyle="1">
    <w:name w:val="Comment Text Char"/>
    <w:basedOn w:val="DefaultParagraphFont"/>
    <w:link w:val="CommentText"/>
    <w:uiPriority w:val="99"/>
    <w:qFormat/>
    <w:rsid w:val="00663f5f"/>
    <w:rPr>
      <w:rFonts w:ascii="Cambria" w:hAnsi="Cambria"/>
      <w:kern w:val="0"/>
      <w:sz w:val="20"/>
      <w:szCs w:val="20"/>
      <w14:ligatures w14:val="none"/>
    </w:rPr>
  </w:style>
  <w:style w:type="character" w:styleId="CommentSubjectChar" w:customStyle="1">
    <w:name w:val="Comment Subject Char"/>
    <w:basedOn w:val="CommentTextChar"/>
    <w:link w:val="annotationsubject"/>
    <w:uiPriority w:val="99"/>
    <w:semiHidden/>
    <w:qFormat/>
    <w:rsid w:val="00663f5f"/>
    <w:rPr>
      <w:rFonts w:ascii="Cambria" w:hAnsi="Cambria"/>
      <w:b/>
      <w:bCs/>
      <w:kern w:val="0"/>
      <w:sz w:val="20"/>
      <w:szCs w:val="20"/>
      <w14:ligatures w14:val="non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2b60e9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2b60e9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Revision">
    <w:name w:val="Revision"/>
    <w:uiPriority w:val="99"/>
    <w:semiHidden/>
    <w:qFormat/>
    <w:rsid w:val="0008550f"/>
    <w:pPr>
      <w:widowControl/>
      <w:bidi w:val="0"/>
      <w:spacing w:lineRule="auto" w:line="240" w:before="0" w:after="0"/>
      <w:jc w:val="left"/>
    </w:pPr>
    <w:rPr>
      <w:rFonts w:ascii="Cambria" w:hAnsi="Cambria" w:eastAsia="Calibri" w:cs="Arial"/>
      <w:color w:val="auto"/>
      <w:kern w:val="0"/>
      <w:sz w:val="22"/>
      <w:szCs w:val="22"/>
      <w:lang w:val="en-GB" w:eastAsia="en-US" w:bidi="ar-SA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663f5f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CommentSubjectChar"/>
    <w:uiPriority w:val="99"/>
    <w:semiHidden/>
    <w:unhideWhenUsed/>
    <w:qFormat/>
    <w:rsid w:val="00663f5f"/>
    <w:pPr/>
    <w:rPr>
      <w:b/>
      <w:bCs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2">
    <w:name w:val="Plain Table 2"/>
    <w:basedOn w:val="TableNormal"/>
    <w:uiPriority w:val="42"/>
    <w:rsid w:val="008c70cb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single" w:color="7F7F7F" w:themeColor="text1" w:sz="4" w:space="0"/>
          <w:right w:val="single" w:color="7F7F7F" w:themeColor="text1" w:sz="4" w:space="0"/>
        </w:tcBorders>
      </w:tcPr>
    </w:tblStylePr>
    <w:tblStylePr w:type="band2Vert">
      <w:tblPr/>
      <w:tcPr>
        <w:tcBorders>
          <w:left w:val="single" w:color="7F7F7F" w:themeColor="text1" w:sz="4" w:space="0"/>
          <w:right w:val="single" w:color="7F7F7F" w:themeColor="text1" w:sz="4" w:space="0"/>
        </w:tcBorders>
      </w:tcPr>
    </w:tblStylePr>
    <w:tblStylePr w:type="band1Horz">
      <w:tblPr/>
      <w:tcPr>
        <w:tcBorders>
          <w:top w:val="single" w:color="7F7F7F" w:themeColor="text1" w:sz="4" w:space="0"/>
          <w:bottom w:val="single" w:color="7F7F7F" w:themeColor="text1" w:sz="4" w:space="0"/>
        </w:tcBorders>
      </w:tcPr>
    </w:tblStylePr>
  </w:style>
  <w:style w:type="table" w:styleId="TableGrid">
    <w:name w:val="Table Grid"/>
    <w:basedOn w:val="TableNormal"/>
    <w:uiPriority w:val="39"/>
    <w:rsid w:val="008c70c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1">
    <w:name w:val="Table Grid1"/>
    <w:basedOn w:val="TableNormal"/>
    <w:uiPriority w:val="39"/>
    <w:rsid w:val="008c70c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2">
    <w:name w:val="Table Grid2"/>
    <w:basedOn w:val="TableNormal"/>
    <w:uiPriority w:val="39"/>
    <w:rsid w:val="008c70c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D4367-23B9-4A66-B4D3-1079DA650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Application>LibreOffice/24.8.3.2$Windows_X86_64 LibreOffice_project/48a6bac9e7e268aeb4c3483fcf825c94556d9f92</Application>
  <AppVersion>15.0000</AppVersion>
  <Pages>7</Pages>
  <Words>1094</Words>
  <Characters>5053</Characters>
  <CharactersWithSpaces>5803</CharactersWithSpaces>
  <Paragraphs>357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2024-09-25T15:38:00Z</dcterms:created>
  <dc:creator>Arastoo, Mohammad</dc:creator>
  <dc:description/>
  <dc:language>en-IN</dc:language>
  <cp:lastModifiedBy/>
  <dcterms:modified xsi:type="dcterms:W3CDTF">2024-11-26T13:42:58Z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