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290D6" w14:textId="77777777" w:rsidR="0010593E" w:rsidRDefault="0010593E" w:rsidP="005A1617">
      <w:pPr>
        <w:jc w:val="center"/>
        <w:rPr>
          <w:b/>
          <w:bCs/>
          <w:sz w:val="36"/>
          <w:szCs w:val="36"/>
          <w:lang w:val="en-US"/>
        </w:rPr>
      </w:pPr>
    </w:p>
    <w:p w14:paraId="43336172" w14:textId="6864BA0E" w:rsidR="005A1617" w:rsidRPr="0010593E" w:rsidRDefault="005A1617" w:rsidP="005A1617">
      <w:pPr>
        <w:jc w:val="center"/>
        <w:rPr>
          <w:b/>
          <w:bCs/>
          <w:sz w:val="36"/>
          <w:szCs w:val="36"/>
          <w:lang w:val="en-US"/>
        </w:rPr>
      </w:pPr>
      <w:r w:rsidRPr="0010593E">
        <w:rPr>
          <w:b/>
          <w:bCs/>
          <w:sz w:val="36"/>
          <w:szCs w:val="36"/>
          <w:lang w:val="en-US"/>
        </w:rPr>
        <w:t>Supplementary Material</w:t>
      </w:r>
      <w:r w:rsidR="0010593E" w:rsidRPr="0010593E">
        <w:rPr>
          <w:b/>
          <w:bCs/>
          <w:sz w:val="36"/>
          <w:szCs w:val="36"/>
          <w:lang w:val="en-US"/>
        </w:rPr>
        <w:t xml:space="preserve"> Methods</w:t>
      </w:r>
    </w:p>
    <w:p w14:paraId="265DD8D6" w14:textId="358A0C10" w:rsidR="00286E96" w:rsidRPr="0010593E" w:rsidRDefault="005A1617" w:rsidP="005A1617">
      <w:pPr>
        <w:jc w:val="center"/>
        <w:rPr>
          <w:b/>
          <w:bCs/>
          <w:sz w:val="36"/>
          <w:szCs w:val="36"/>
          <w:lang w:val="en-US"/>
        </w:rPr>
      </w:pPr>
      <w:r w:rsidRPr="0010593E">
        <w:rPr>
          <w:b/>
          <w:bCs/>
          <w:sz w:val="36"/>
          <w:szCs w:val="36"/>
          <w:lang w:val="en-US"/>
        </w:rPr>
        <w:t>Atrophy patterns and co-pathologies in early- v</w:t>
      </w:r>
      <w:r w:rsidR="00E37850">
        <w:rPr>
          <w:b/>
          <w:bCs/>
          <w:sz w:val="36"/>
          <w:szCs w:val="36"/>
          <w:lang w:val="en-US"/>
        </w:rPr>
        <w:t>ersus</w:t>
      </w:r>
      <w:r w:rsidRPr="0010593E">
        <w:rPr>
          <w:b/>
          <w:bCs/>
          <w:sz w:val="36"/>
          <w:szCs w:val="36"/>
          <w:lang w:val="en-US"/>
        </w:rPr>
        <w:t xml:space="preserve"> late-onset amnestic Alzheimer’s disease</w:t>
      </w:r>
    </w:p>
    <w:p w14:paraId="006C18A9" w14:textId="77777777" w:rsidR="0010593E" w:rsidRPr="0010593E" w:rsidRDefault="0010593E" w:rsidP="001E4BC9">
      <w:pPr>
        <w:jc w:val="both"/>
        <w:rPr>
          <w:b/>
          <w:bCs/>
          <w:sz w:val="32"/>
          <w:szCs w:val="32"/>
          <w:lang w:val="en-US"/>
        </w:rPr>
      </w:pPr>
    </w:p>
    <w:sdt>
      <w:sdtPr>
        <w:rPr>
          <w:rFonts w:ascii="Times New Roman" w:eastAsia="Times New Roman" w:hAnsi="Times New Roman" w:cs="Times New Roman"/>
          <w:b w:val="0"/>
          <w:bCs w:val="0"/>
          <w:color w:val="000000" w:themeColor="text1"/>
          <w:sz w:val="24"/>
          <w:szCs w:val="24"/>
          <w:lang w:val="en-SE" w:eastAsia="en-GB"/>
        </w:rPr>
        <w:id w:val="-580603025"/>
        <w:docPartObj>
          <w:docPartGallery w:val="Table of Contents"/>
          <w:docPartUnique/>
        </w:docPartObj>
      </w:sdtPr>
      <w:sdtEndPr>
        <w:rPr>
          <w:noProof/>
          <w:color w:val="auto"/>
        </w:rPr>
      </w:sdtEndPr>
      <w:sdtContent>
        <w:p w14:paraId="31B144A2" w14:textId="0070A6F8" w:rsidR="0010593E" w:rsidRPr="0010593E" w:rsidRDefault="0010593E">
          <w:pPr>
            <w:pStyle w:val="TOCHeading"/>
            <w:rPr>
              <w:rFonts w:ascii="Times New Roman" w:hAnsi="Times New Roman" w:cs="Times New Roman"/>
              <w:color w:val="000000" w:themeColor="text1"/>
            </w:rPr>
          </w:pPr>
          <w:r w:rsidRPr="0010593E">
            <w:rPr>
              <w:rFonts w:ascii="Times New Roman" w:hAnsi="Times New Roman" w:cs="Times New Roman"/>
              <w:color w:val="000000" w:themeColor="text1"/>
            </w:rPr>
            <w:t>Table of Contents</w:t>
          </w:r>
        </w:p>
        <w:p w14:paraId="29A60E5A" w14:textId="28EB0DD3" w:rsidR="00E4541B" w:rsidRDefault="0010593E">
          <w:pPr>
            <w:pStyle w:val="TOC1"/>
            <w:tabs>
              <w:tab w:val="right" w:leader="dot" w:pos="9016"/>
            </w:tabs>
            <w:rPr>
              <w:rFonts w:eastAsiaTheme="minorEastAsia" w:cstheme="minorBidi"/>
              <w:b w:val="0"/>
              <w:bCs w:val="0"/>
              <w:noProof/>
              <w:kern w:val="2"/>
              <w:sz w:val="24"/>
              <w:szCs w:val="24"/>
              <w14:ligatures w14:val="standardContextual"/>
            </w:rPr>
          </w:pPr>
          <w:r w:rsidRPr="0010593E">
            <w:rPr>
              <w:rFonts w:ascii="Times New Roman" w:hAnsi="Times New Roman" w:cs="Times New Roman"/>
              <w:b w:val="0"/>
              <w:bCs w:val="0"/>
            </w:rPr>
            <w:fldChar w:fldCharType="begin"/>
          </w:r>
          <w:r w:rsidRPr="0010593E">
            <w:rPr>
              <w:rFonts w:ascii="Times New Roman" w:hAnsi="Times New Roman" w:cs="Times New Roman"/>
            </w:rPr>
            <w:instrText xml:space="preserve"> TOC \o "1-3" \h \z \u </w:instrText>
          </w:r>
          <w:r w:rsidRPr="0010593E">
            <w:rPr>
              <w:rFonts w:ascii="Times New Roman" w:hAnsi="Times New Roman" w:cs="Times New Roman"/>
              <w:b w:val="0"/>
              <w:bCs w:val="0"/>
            </w:rPr>
            <w:fldChar w:fldCharType="separate"/>
          </w:r>
          <w:hyperlink w:anchor="_Toc161409434" w:history="1">
            <w:r w:rsidR="00E4541B" w:rsidRPr="00421BB1">
              <w:rPr>
                <w:rStyle w:val="Hyperlink"/>
                <w:rFonts w:ascii="Times New Roman" w:eastAsiaTheme="majorEastAsia" w:hAnsi="Times New Roman" w:cs="Times New Roman"/>
                <w:noProof/>
                <w:lang w:val="en-US"/>
              </w:rPr>
              <w:t>Amygdala segmentation protocol</w:t>
            </w:r>
            <w:r w:rsidR="00E4541B">
              <w:rPr>
                <w:noProof/>
                <w:webHidden/>
              </w:rPr>
              <w:tab/>
            </w:r>
            <w:r w:rsidR="00E4541B">
              <w:rPr>
                <w:noProof/>
                <w:webHidden/>
              </w:rPr>
              <w:fldChar w:fldCharType="begin"/>
            </w:r>
            <w:r w:rsidR="00E4541B">
              <w:rPr>
                <w:noProof/>
                <w:webHidden/>
              </w:rPr>
              <w:instrText xml:space="preserve"> PAGEREF _Toc161409434 \h </w:instrText>
            </w:r>
            <w:r w:rsidR="00E4541B">
              <w:rPr>
                <w:noProof/>
                <w:webHidden/>
              </w:rPr>
            </w:r>
            <w:r w:rsidR="00E4541B">
              <w:rPr>
                <w:noProof/>
                <w:webHidden/>
              </w:rPr>
              <w:fldChar w:fldCharType="separate"/>
            </w:r>
            <w:r w:rsidR="00A97855">
              <w:rPr>
                <w:noProof/>
                <w:webHidden/>
              </w:rPr>
              <w:t>2</w:t>
            </w:r>
            <w:r w:rsidR="00E4541B">
              <w:rPr>
                <w:noProof/>
                <w:webHidden/>
              </w:rPr>
              <w:fldChar w:fldCharType="end"/>
            </w:r>
          </w:hyperlink>
        </w:p>
        <w:p w14:paraId="6281524F" w14:textId="58565B1E" w:rsidR="00E4541B" w:rsidRDefault="00000000">
          <w:pPr>
            <w:pStyle w:val="TOC2"/>
            <w:tabs>
              <w:tab w:val="right" w:leader="dot" w:pos="9016"/>
            </w:tabs>
            <w:rPr>
              <w:rFonts w:eastAsiaTheme="minorEastAsia" w:cstheme="minorBidi"/>
              <w:i w:val="0"/>
              <w:iCs w:val="0"/>
              <w:noProof/>
              <w:kern w:val="2"/>
              <w:sz w:val="24"/>
              <w:szCs w:val="24"/>
              <w14:ligatures w14:val="standardContextual"/>
            </w:rPr>
          </w:pPr>
          <w:hyperlink w:anchor="_Toc161409435" w:history="1">
            <w:r w:rsidR="00E4541B" w:rsidRPr="00421BB1">
              <w:rPr>
                <w:rStyle w:val="Hyperlink"/>
                <w:rFonts w:ascii="Times New Roman" w:eastAsiaTheme="majorEastAsia" w:hAnsi="Times New Roman" w:cs="Times New Roman"/>
                <w:noProof/>
                <w:lang w:val="en-US"/>
              </w:rPr>
              <w:t>Posterior Portion of the Amygdala</w:t>
            </w:r>
            <w:r w:rsidR="00E4541B">
              <w:rPr>
                <w:noProof/>
                <w:webHidden/>
              </w:rPr>
              <w:tab/>
            </w:r>
            <w:r w:rsidR="00E4541B">
              <w:rPr>
                <w:noProof/>
                <w:webHidden/>
              </w:rPr>
              <w:fldChar w:fldCharType="begin"/>
            </w:r>
            <w:r w:rsidR="00E4541B">
              <w:rPr>
                <w:noProof/>
                <w:webHidden/>
              </w:rPr>
              <w:instrText xml:space="preserve"> PAGEREF _Toc161409435 \h </w:instrText>
            </w:r>
            <w:r w:rsidR="00E4541B">
              <w:rPr>
                <w:noProof/>
                <w:webHidden/>
              </w:rPr>
            </w:r>
            <w:r w:rsidR="00E4541B">
              <w:rPr>
                <w:noProof/>
                <w:webHidden/>
              </w:rPr>
              <w:fldChar w:fldCharType="separate"/>
            </w:r>
            <w:r w:rsidR="00A97855">
              <w:rPr>
                <w:noProof/>
                <w:webHidden/>
              </w:rPr>
              <w:t>2</w:t>
            </w:r>
            <w:r w:rsidR="00E4541B">
              <w:rPr>
                <w:noProof/>
                <w:webHidden/>
              </w:rPr>
              <w:fldChar w:fldCharType="end"/>
            </w:r>
          </w:hyperlink>
        </w:p>
        <w:p w14:paraId="163F82B5" w14:textId="05CD4BF9" w:rsidR="00E4541B" w:rsidRDefault="00000000">
          <w:pPr>
            <w:pStyle w:val="TOC3"/>
            <w:tabs>
              <w:tab w:val="right" w:leader="dot" w:pos="9016"/>
            </w:tabs>
            <w:rPr>
              <w:rFonts w:eastAsiaTheme="minorEastAsia" w:cstheme="minorBidi"/>
              <w:noProof/>
              <w:kern w:val="2"/>
              <w:sz w:val="24"/>
              <w:szCs w:val="24"/>
              <w14:ligatures w14:val="standardContextual"/>
            </w:rPr>
          </w:pPr>
          <w:hyperlink w:anchor="_Toc161409436" w:history="1">
            <w:r w:rsidR="00E4541B" w:rsidRPr="00421BB1">
              <w:rPr>
                <w:rStyle w:val="Hyperlink"/>
                <w:rFonts w:ascii="Times New Roman" w:eastAsiaTheme="majorEastAsia" w:hAnsi="Times New Roman" w:cs="Times New Roman"/>
                <w:i/>
                <w:iCs/>
                <w:noProof/>
                <w:lang w:val="en-US"/>
              </w:rPr>
              <w:t>Most posterior slice</w:t>
            </w:r>
            <w:r w:rsidR="00E4541B">
              <w:rPr>
                <w:noProof/>
                <w:webHidden/>
              </w:rPr>
              <w:tab/>
            </w:r>
            <w:r w:rsidR="00E4541B">
              <w:rPr>
                <w:noProof/>
                <w:webHidden/>
              </w:rPr>
              <w:fldChar w:fldCharType="begin"/>
            </w:r>
            <w:r w:rsidR="00E4541B">
              <w:rPr>
                <w:noProof/>
                <w:webHidden/>
              </w:rPr>
              <w:instrText xml:space="preserve"> PAGEREF _Toc161409436 \h </w:instrText>
            </w:r>
            <w:r w:rsidR="00E4541B">
              <w:rPr>
                <w:noProof/>
                <w:webHidden/>
              </w:rPr>
            </w:r>
            <w:r w:rsidR="00E4541B">
              <w:rPr>
                <w:noProof/>
                <w:webHidden/>
              </w:rPr>
              <w:fldChar w:fldCharType="separate"/>
            </w:r>
            <w:r w:rsidR="00A97855">
              <w:rPr>
                <w:noProof/>
                <w:webHidden/>
              </w:rPr>
              <w:t>2</w:t>
            </w:r>
            <w:r w:rsidR="00E4541B">
              <w:rPr>
                <w:noProof/>
                <w:webHidden/>
              </w:rPr>
              <w:fldChar w:fldCharType="end"/>
            </w:r>
          </w:hyperlink>
        </w:p>
        <w:p w14:paraId="1D8623B6" w14:textId="7D7C0F8F" w:rsidR="00E4541B" w:rsidRDefault="00000000">
          <w:pPr>
            <w:pStyle w:val="TOC2"/>
            <w:tabs>
              <w:tab w:val="right" w:leader="dot" w:pos="9016"/>
            </w:tabs>
            <w:rPr>
              <w:rFonts w:eastAsiaTheme="minorEastAsia" w:cstheme="minorBidi"/>
              <w:i w:val="0"/>
              <w:iCs w:val="0"/>
              <w:noProof/>
              <w:kern w:val="2"/>
              <w:sz w:val="24"/>
              <w:szCs w:val="24"/>
              <w14:ligatures w14:val="standardContextual"/>
            </w:rPr>
          </w:pPr>
          <w:hyperlink w:anchor="_Toc161409437" w:history="1">
            <w:r w:rsidR="00E4541B" w:rsidRPr="00421BB1">
              <w:rPr>
                <w:rStyle w:val="Hyperlink"/>
                <w:rFonts w:ascii="Times New Roman" w:eastAsiaTheme="majorEastAsia" w:hAnsi="Times New Roman" w:cs="Times New Roman"/>
                <w:noProof/>
                <w:lang w:val="en-US"/>
              </w:rPr>
              <w:t>Mid-portion of the Amygdala</w:t>
            </w:r>
            <w:r w:rsidR="00E4541B">
              <w:rPr>
                <w:noProof/>
                <w:webHidden/>
              </w:rPr>
              <w:tab/>
            </w:r>
            <w:r w:rsidR="00E4541B">
              <w:rPr>
                <w:noProof/>
                <w:webHidden/>
              </w:rPr>
              <w:fldChar w:fldCharType="begin"/>
            </w:r>
            <w:r w:rsidR="00E4541B">
              <w:rPr>
                <w:noProof/>
                <w:webHidden/>
              </w:rPr>
              <w:instrText xml:space="preserve"> PAGEREF _Toc161409437 \h </w:instrText>
            </w:r>
            <w:r w:rsidR="00E4541B">
              <w:rPr>
                <w:noProof/>
                <w:webHidden/>
              </w:rPr>
            </w:r>
            <w:r w:rsidR="00E4541B">
              <w:rPr>
                <w:noProof/>
                <w:webHidden/>
              </w:rPr>
              <w:fldChar w:fldCharType="separate"/>
            </w:r>
            <w:r w:rsidR="00A97855">
              <w:rPr>
                <w:noProof/>
                <w:webHidden/>
              </w:rPr>
              <w:t>3</w:t>
            </w:r>
            <w:r w:rsidR="00E4541B">
              <w:rPr>
                <w:noProof/>
                <w:webHidden/>
              </w:rPr>
              <w:fldChar w:fldCharType="end"/>
            </w:r>
          </w:hyperlink>
        </w:p>
        <w:p w14:paraId="3E14BB4F" w14:textId="62CD969E" w:rsidR="00E4541B" w:rsidRDefault="00000000">
          <w:pPr>
            <w:pStyle w:val="TOC3"/>
            <w:tabs>
              <w:tab w:val="right" w:leader="dot" w:pos="9016"/>
            </w:tabs>
            <w:rPr>
              <w:rFonts w:eastAsiaTheme="minorEastAsia" w:cstheme="minorBidi"/>
              <w:noProof/>
              <w:kern w:val="2"/>
              <w:sz w:val="24"/>
              <w:szCs w:val="24"/>
              <w14:ligatures w14:val="standardContextual"/>
            </w:rPr>
          </w:pPr>
          <w:hyperlink w:anchor="_Toc161409438" w:history="1">
            <w:r w:rsidR="00E4541B" w:rsidRPr="00421BB1">
              <w:rPr>
                <w:rStyle w:val="Hyperlink"/>
                <w:rFonts w:ascii="Times New Roman" w:eastAsiaTheme="majorEastAsia" w:hAnsi="Times New Roman" w:cs="Times New Roman"/>
                <w:i/>
                <w:iCs/>
                <w:noProof/>
                <w:lang w:val="en-US"/>
              </w:rPr>
              <w:t>Last slice of the HC</w:t>
            </w:r>
            <w:r w:rsidR="00E4541B">
              <w:rPr>
                <w:noProof/>
                <w:webHidden/>
              </w:rPr>
              <w:tab/>
            </w:r>
            <w:r w:rsidR="00E4541B">
              <w:rPr>
                <w:noProof/>
                <w:webHidden/>
              </w:rPr>
              <w:fldChar w:fldCharType="begin"/>
            </w:r>
            <w:r w:rsidR="00E4541B">
              <w:rPr>
                <w:noProof/>
                <w:webHidden/>
              </w:rPr>
              <w:instrText xml:space="preserve"> PAGEREF _Toc161409438 \h </w:instrText>
            </w:r>
            <w:r w:rsidR="00E4541B">
              <w:rPr>
                <w:noProof/>
                <w:webHidden/>
              </w:rPr>
            </w:r>
            <w:r w:rsidR="00E4541B">
              <w:rPr>
                <w:noProof/>
                <w:webHidden/>
              </w:rPr>
              <w:fldChar w:fldCharType="separate"/>
            </w:r>
            <w:r w:rsidR="00A97855">
              <w:rPr>
                <w:noProof/>
                <w:webHidden/>
              </w:rPr>
              <w:t>4</w:t>
            </w:r>
            <w:r w:rsidR="00E4541B">
              <w:rPr>
                <w:noProof/>
                <w:webHidden/>
              </w:rPr>
              <w:fldChar w:fldCharType="end"/>
            </w:r>
          </w:hyperlink>
        </w:p>
        <w:p w14:paraId="3C629666" w14:textId="2C33FCCD" w:rsidR="00E4541B" w:rsidRDefault="00000000">
          <w:pPr>
            <w:pStyle w:val="TOC2"/>
            <w:tabs>
              <w:tab w:val="right" w:leader="dot" w:pos="9016"/>
            </w:tabs>
            <w:rPr>
              <w:rFonts w:eastAsiaTheme="minorEastAsia" w:cstheme="minorBidi"/>
              <w:i w:val="0"/>
              <w:iCs w:val="0"/>
              <w:noProof/>
              <w:kern w:val="2"/>
              <w:sz w:val="24"/>
              <w:szCs w:val="24"/>
              <w14:ligatures w14:val="standardContextual"/>
            </w:rPr>
          </w:pPr>
          <w:hyperlink w:anchor="_Toc161409439" w:history="1">
            <w:r w:rsidR="00E4541B" w:rsidRPr="00421BB1">
              <w:rPr>
                <w:rStyle w:val="Hyperlink"/>
                <w:rFonts w:ascii="Times New Roman" w:eastAsiaTheme="majorEastAsia" w:hAnsi="Times New Roman" w:cs="Times New Roman"/>
                <w:noProof/>
                <w:lang w:val="en-US"/>
              </w:rPr>
              <w:t>Anterior Portion of the Amygdala</w:t>
            </w:r>
            <w:r w:rsidR="00E4541B">
              <w:rPr>
                <w:noProof/>
                <w:webHidden/>
              </w:rPr>
              <w:tab/>
            </w:r>
            <w:r w:rsidR="00E4541B">
              <w:rPr>
                <w:noProof/>
                <w:webHidden/>
              </w:rPr>
              <w:fldChar w:fldCharType="begin"/>
            </w:r>
            <w:r w:rsidR="00E4541B">
              <w:rPr>
                <w:noProof/>
                <w:webHidden/>
              </w:rPr>
              <w:instrText xml:space="preserve"> PAGEREF _Toc161409439 \h </w:instrText>
            </w:r>
            <w:r w:rsidR="00E4541B">
              <w:rPr>
                <w:noProof/>
                <w:webHidden/>
              </w:rPr>
            </w:r>
            <w:r w:rsidR="00E4541B">
              <w:rPr>
                <w:noProof/>
                <w:webHidden/>
              </w:rPr>
              <w:fldChar w:fldCharType="separate"/>
            </w:r>
            <w:r w:rsidR="00A97855">
              <w:rPr>
                <w:noProof/>
                <w:webHidden/>
              </w:rPr>
              <w:t>4</w:t>
            </w:r>
            <w:r w:rsidR="00E4541B">
              <w:rPr>
                <w:noProof/>
                <w:webHidden/>
              </w:rPr>
              <w:fldChar w:fldCharType="end"/>
            </w:r>
          </w:hyperlink>
        </w:p>
        <w:p w14:paraId="2D309295" w14:textId="0BE5CFB2" w:rsidR="00E4541B" w:rsidRDefault="00000000">
          <w:pPr>
            <w:pStyle w:val="TOC3"/>
            <w:tabs>
              <w:tab w:val="right" w:leader="dot" w:pos="9016"/>
            </w:tabs>
            <w:rPr>
              <w:rFonts w:eastAsiaTheme="minorEastAsia" w:cstheme="minorBidi"/>
              <w:noProof/>
              <w:kern w:val="2"/>
              <w:sz w:val="24"/>
              <w:szCs w:val="24"/>
              <w14:ligatures w14:val="standardContextual"/>
            </w:rPr>
          </w:pPr>
          <w:hyperlink w:anchor="_Toc161409440" w:history="1">
            <w:r w:rsidR="00E4541B" w:rsidRPr="00421BB1">
              <w:rPr>
                <w:rStyle w:val="Hyperlink"/>
                <w:rFonts w:ascii="Times New Roman" w:eastAsiaTheme="majorEastAsia" w:hAnsi="Times New Roman" w:cs="Times New Roman"/>
                <w:i/>
                <w:iCs/>
                <w:noProof/>
                <w:lang w:val="en-US"/>
              </w:rPr>
              <w:t>First slice anterior to the HC</w:t>
            </w:r>
            <w:r w:rsidR="00E4541B">
              <w:rPr>
                <w:noProof/>
                <w:webHidden/>
              </w:rPr>
              <w:tab/>
            </w:r>
            <w:r w:rsidR="00E4541B">
              <w:rPr>
                <w:noProof/>
                <w:webHidden/>
              </w:rPr>
              <w:fldChar w:fldCharType="begin"/>
            </w:r>
            <w:r w:rsidR="00E4541B">
              <w:rPr>
                <w:noProof/>
                <w:webHidden/>
              </w:rPr>
              <w:instrText xml:space="preserve"> PAGEREF _Toc161409440 \h </w:instrText>
            </w:r>
            <w:r w:rsidR="00E4541B">
              <w:rPr>
                <w:noProof/>
                <w:webHidden/>
              </w:rPr>
            </w:r>
            <w:r w:rsidR="00E4541B">
              <w:rPr>
                <w:noProof/>
                <w:webHidden/>
              </w:rPr>
              <w:fldChar w:fldCharType="separate"/>
            </w:r>
            <w:r w:rsidR="00A97855">
              <w:rPr>
                <w:noProof/>
                <w:webHidden/>
              </w:rPr>
              <w:t>4</w:t>
            </w:r>
            <w:r w:rsidR="00E4541B">
              <w:rPr>
                <w:noProof/>
                <w:webHidden/>
              </w:rPr>
              <w:fldChar w:fldCharType="end"/>
            </w:r>
          </w:hyperlink>
        </w:p>
        <w:p w14:paraId="3B743B91" w14:textId="41BA8B12" w:rsidR="00E4541B" w:rsidRDefault="00000000">
          <w:pPr>
            <w:pStyle w:val="TOC3"/>
            <w:tabs>
              <w:tab w:val="right" w:leader="dot" w:pos="9016"/>
            </w:tabs>
            <w:rPr>
              <w:rFonts w:eastAsiaTheme="minorEastAsia" w:cstheme="minorBidi"/>
              <w:noProof/>
              <w:kern w:val="2"/>
              <w:sz w:val="24"/>
              <w:szCs w:val="24"/>
              <w14:ligatures w14:val="standardContextual"/>
            </w:rPr>
          </w:pPr>
          <w:hyperlink w:anchor="_Toc161409441" w:history="1">
            <w:r w:rsidR="00E4541B" w:rsidRPr="00421BB1">
              <w:rPr>
                <w:rStyle w:val="Hyperlink"/>
                <w:rFonts w:ascii="Times New Roman" w:eastAsiaTheme="majorEastAsia" w:hAnsi="Times New Roman" w:cs="Times New Roman"/>
                <w:i/>
                <w:iCs/>
                <w:noProof/>
                <w:lang w:val="en-US"/>
              </w:rPr>
              <w:t>First slice excluding the cortex</w:t>
            </w:r>
            <w:r w:rsidR="00E4541B">
              <w:rPr>
                <w:noProof/>
                <w:webHidden/>
              </w:rPr>
              <w:tab/>
            </w:r>
            <w:r w:rsidR="00E4541B">
              <w:rPr>
                <w:noProof/>
                <w:webHidden/>
              </w:rPr>
              <w:fldChar w:fldCharType="begin"/>
            </w:r>
            <w:r w:rsidR="00E4541B">
              <w:rPr>
                <w:noProof/>
                <w:webHidden/>
              </w:rPr>
              <w:instrText xml:space="preserve"> PAGEREF _Toc161409441 \h </w:instrText>
            </w:r>
            <w:r w:rsidR="00E4541B">
              <w:rPr>
                <w:noProof/>
                <w:webHidden/>
              </w:rPr>
            </w:r>
            <w:r w:rsidR="00E4541B">
              <w:rPr>
                <w:noProof/>
                <w:webHidden/>
              </w:rPr>
              <w:fldChar w:fldCharType="separate"/>
            </w:r>
            <w:r w:rsidR="00A97855">
              <w:rPr>
                <w:noProof/>
                <w:webHidden/>
              </w:rPr>
              <w:t>4</w:t>
            </w:r>
            <w:r w:rsidR="00E4541B">
              <w:rPr>
                <w:noProof/>
                <w:webHidden/>
              </w:rPr>
              <w:fldChar w:fldCharType="end"/>
            </w:r>
          </w:hyperlink>
        </w:p>
        <w:p w14:paraId="751DF08E" w14:textId="47ECF66B" w:rsidR="00E4541B" w:rsidRDefault="00000000">
          <w:pPr>
            <w:pStyle w:val="TOC3"/>
            <w:tabs>
              <w:tab w:val="right" w:leader="dot" w:pos="9016"/>
            </w:tabs>
            <w:rPr>
              <w:rFonts w:eastAsiaTheme="minorEastAsia" w:cstheme="minorBidi"/>
              <w:noProof/>
              <w:kern w:val="2"/>
              <w:sz w:val="24"/>
              <w:szCs w:val="24"/>
              <w14:ligatures w14:val="standardContextual"/>
            </w:rPr>
          </w:pPr>
          <w:hyperlink w:anchor="_Toc161409442" w:history="1">
            <w:r w:rsidR="00E4541B" w:rsidRPr="00421BB1">
              <w:rPr>
                <w:rStyle w:val="Hyperlink"/>
                <w:rFonts w:ascii="Times New Roman" w:eastAsiaTheme="majorEastAsia" w:hAnsi="Times New Roman" w:cs="Times New Roman"/>
                <w:i/>
                <w:iCs/>
                <w:noProof/>
                <w:lang w:val="en-US"/>
              </w:rPr>
              <w:t>Most anterior slice</w:t>
            </w:r>
            <w:r w:rsidR="00E4541B">
              <w:rPr>
                <w:noProof/>
                <w:webHidden/>
              </w:rPr>
              <w:tab/>
            </w:r>
            <w:r w:rsidR="00E4541B">
              <w:rPr>
                <w:noProof/>
                <w:webHidden/>
              </w:rPr>
              <w:fldChar w:fldCharType="begin"/>
            </w:r>
            <w:r w:rsidR="00E4541B">
              <w:rPr>
                <w:noProof/>
                <w:webHidden/>
              </w:rPr>
              <w:instrText xml:space="preserve"> PAGEREF _Toc161409442 \h </w:instrText>
            </w:r>
            <w:r w:rsidR="00E4541B">
              <w:rPr>
                <w:noProof/>
                <w:webHidden/>
              </w:rPr>
            </w:r>
            <w:r w:rsidR="00E4541B">
              <w:rPr>
                <w:noProof/>
                <w:webHidden/>
              </w:rPr>
              <w:fldChar w:fldCharType="separate"/>
            </w:r>
            <w:r w:rsidR="00A97855">
              <w:rPr>
                <w:noProof/>
                <w:webHidden/>
              </w:rPr>
              <w:t>5</w:t>
            </w:r>
            <w:r w:rsidR="00E4541B">
              <w:rPr>
                <w:noProof/>
                <w:webHidden/>
              </w:rPr>
              <w:fldChar w:fldCharType="end"/>
            </w:r>
          </w:hyperlink>
        </w:p>
        <w:p w14:paraId="18A27159" w14:textId="335EB1F8" w:rsidR="00E4541B" w:rsidRDefault="00000000">
          <w:pPr>
            <w:pStyle w:val="TOC2"/>
            <w:tabs>
              <w:tab w:val="right" w:leader="dot" w:pos="9016"/>
            </w:tabs>
            <w:rPr>
              <w:rFonts w:eastAsiaTheme="minorEastAsia" w:cstheme="minorBidi"/>
              <w:i w:val="0"/>
              <w:iCs w:val="0"/>
              <w:noProof/>
              <w:kern w:val="2"/>
              <w:sz w:val="24"/>
              <w:szCs w:val="24"/>
              <w14:ligatures w14:val="standardContextual"/>
            </w:rPr>
          </w:pPr>
          <w:hyperlink w:anchor="_Toc161409443" w:history="1">
            <w:r w:rsidR="00E4541B" w:rsidRPr="00421BB1">
              <w:rPr>
                <w:rStyle w:val="Hyperlink"/>
                <w:rFonts w:ascii="Times New Roman" w:eastAsiaTheme="majorEastAsia" w:hAnsi="Times New Roman" w:cs="Times New Roman"/>
                <w:noProof/>
                <w:lang w:val="en-US"/>
              </w:rPr>
              <w:t>Finishing the segmentation</w:t>
            </w:r>
            <w:r w:rsidR="00E4541B">
              <w:rPr>
                <w:noProof/>
                <w:webHidden/>
              </w:rPr>
              <w:tab/>
            </w:r>
            <w:r w:rsidR="00E4541B">
              <w:rPr>
                <w:noProof/>
                <w:webHidden/>
              </w:rPr>
              <w:fldChar w:fldCharType="begin"/>
            </w:r>
            <w:r w:rsidR="00E4541B">
              <w:rPr>
                <w:noProof/>
                <w:webHidden/>
              </w:rPr>
              <w:instrText xml:space="preserve"> PAGEREF _Toc161409443 \h </w:instrText>
            </w:r>
            <w:r w:rsidR="00E4541B">
              <w:rPr>
                <w:noProof/>
                <w:webHidden/>
              </w:rPr>
            </w:r>
            <w:r w:rsidR="00E4541B">
              <w:rPr>
                <w:noProof/>
                <w:webHidden/>
              </w:rPr>
              <w:fldChar w:fldCharType="separate"/>
            </w:r>
            <w:r w:rsidR="00A97855">
              <w:rPr>
                <w:noProof/>
                <w:webHidden/>
              </w:rPr>
              <w:t>5</w:t>
            </w:r>
            <w:r w:rsidR="00E4541B">
              <w:rPr>
                <w:noProof/>
                <w:webHidden/>
              </w:rPr>
              <w:fldChar w:fldCharType="end"/>
            </w:r>
          </w:hyperlink>
        </w:p>
        <w:p w14:paraId="2AE31D41" w14:textId="36B6C848" w:rsidR="00E4541B" w:rsidRDefault="00000000">
          <w:pPr>
            <w:pStyle w:val="TOC2"/>
            <w:tabs>
              <w:tab w:val="right" w:leader="dot" w:pos="9016"/>
            </w:tabs>
            <w:rPr>
              <w:rFonts w:eastAsiaTheme="minorEastAsia" w:cstheme="minorBidi"/>
              <w:i w:val="0"/>
              <w:iCs w:val="0"/>
              <w:noProof/>
              <w:kern w:val="2"/>
              <w:sz w:val="24"/>
              <w:szCs w:val="24"/>
              <w14:ligatures w14:val="standardContextual"/>
            </w:rPr>
          </w:pPr>
          <w:hyperlink w:anchor="_Toc161409444" w:history="1">
            <w:r w:rsidR="00E4541B" w:rsidRPr="00421BB1">
              <w:rPr>
                <w:rStyle w:val="Hyperlink"/>
                <w:rFonts w:ascii="Times New Roman" w:eastAsiaTheme="majorEastAsia" w:hAnsi="Times New Roman" w:cs="Times New Roman"/>
                <w:noProof/>
                <w:lang w:val="en-US"/>
              </w:rPr>
              <w:t>Differences in amygdala segmentations</w:t>
            </w:r>
            <w:r w:rsidR="00E4541B">
              <w:rPr>
                <w:noProof/>
                <w:webHidden/>
              </w:rPr>
              <w:tab/>
            </w:r>
            <w:r w:rsidR="00E4541B">
              <w:rPr>
                <w:noProof/>
                <w:webHidden/>
              </w:rPr>
              <w:fldChar w:fldCharType="begin"/>
            </w:r>
            <w:r w:rsidR="00E4541B">
              <w:rPr>
                <w:noProof/>
                <w:webHidden/>
              </w:rPr>
              <w:instrText xml:space="preserve"> PAGEREF _Toc161409444 \h </w:instrText>
            </w:r>
            <w:r w:rsidR="00E4541B">
              <w:rPr>
                <w:noProof/>
                <w:webHidden/>
              </w:rPr>
            </w:r>
            <w:r w:rsidR="00E4541B">
              <w:rPr>
                <w:noProof/>
                <w:webHidden/>
              </w:rPr>
              <w:fldChar w:fldCharType="separate"/>
            </w:r>
            <w:r w:rsidR="00A97855">
              <w:rPr>
                <w:noProof/>
                <w:webHidden/>
              </w:rPr>
              <w:t>6</w:t>
            </w:r>
            <w:r w:rsidR="00E4541B">
              <w:rPr>
                <w:noProof/>
                <w:webHidden/>
              </w:rPr>
              <w:fldChar w:fldCharType="end"/>
            </w:r>
          </w:hyperlink>
        </w:p>
        <w:p w14:paraId="65E609BF" w14:textId="1149484A" w:rsidR="00E4541B" w:rsidRDefault="00000000">
          <w:pPr>
            <w:pStyle w:val="TOC1"/>
            <w:tabs>
              <w:tab w:val="right" w:leader="dot" w:pos="9016"/>
            </w:tabs>
            <w:rPr>
              <w:rFonts w:eastAsiaTheme="minorEastAsia" w:cstheme="minorBidi"/>
              <w:b w:val="0"/>
              <w:bCs w:val="0"/>
              <w:noProof/>
              <w:kern w:val="2"/>
              <w:sz w:val="24"/>
              <w:szCs w:val="24"/>
              <w14:ligatures w14:val="standardContextual"/>
            </w:rPr>
          </w:pPr>
          <w:hyperlink w:anchor="_Toc161409445" w:history="1">
            <w:r w:rsidR="00E4541B" w:rsidRPr="00421BB1">
              <w:rPr>
                <w:rStyle w:val="Hyperlink"/>
                <w:rFonts w:ascii="Times New Roman" w:eastAsiaTheme="majorEastAsia" w:hAnsi="Times New Roman" w:cs="Times New Roman"/>
                <w:noProof/>
                <w:lang w:val="en-US"/>
              </w:rPr>
              <w:t>Reliability analyses</w:t>
            </w:r>
            <w:r w:rsidR="00E4541B">
              <w:rPr>
                <w:noProof/>
                <w:webHidden/>
              </w:rPr>
              <w:tab/>
            </w:r>
            <w:r w:rsidR="00E4541B">
              <w:rPr>
                <w:noProof/>
                <w:webHidden/>
              </w:rPr>
              <w:fldChar w:fldCharType="begin"/>
            </w:r>
            <w:r w:rsidR="00E4541B">
              <w:rPr>
                <w:noProof/>
                <w:webHidden/>
              </w:rPr>
              <w:instrText xml:space="preserve"> PAGEREF _Toc161409445 \h </w:instrText>
            </w:r>
            <w:r w:rsidR="00E4541B">
              <w:rPr>
                <w:noProof/>
                <w:webHidden/>
              </w:rPr>
            </w:r>
            <w:r w:rsidR="00E4541B">
              <w:rPr>
                <w:noProof/>
                <w:webHidden/>
              </w:rPr>
              <w:fldChar w:fldCharType="separate"/>
            </w:r>
            <w:r w:rsidR="00A97855">
              <w:rPr>
                <w:noProof/>
                <w:webHidden/>
              </w:rPr>
              <w:t>15</w:t>
            </w:r>
            <w:r w:rsidR="00E4541B">
              <w:rPr>
                <w:noProof/>
                <w:webHidden/>
              </w:rPr>
              <w:fldChar w:fldCharType="end"/>
            </w:r>
          </w:hyperlink>
        </w:p>
        <w:p w14:paraId="4510DB00" w14:textId="619D0BE0" w:rsidR="00E4541B" w:rsidRDefault="00000000">
          <w:pPr>
            <w:pStyle w:val="TOC1"/>
            <w:tabs>
              <w:tab w:val="right" w:leader="dot" w:pos="9016"/>
            </w:tabs>
            <w:rPr>
              <w:rFonts w:eastAsiaTheme="minorEastAsia" w:cstheme="minorBidi"/>
              <w:b w:val="0"/>
              <w:bCs w:val="0"/>
              <w:noProof/>
              <w:kern w:val="2"/>
              <w:sz w:val="24"/>
              <w:szCs w:val="24"/>
              <w14:ligatures w14:val="standardContextual"/>
            </w:rPr>
          </w:pPr>
          <w:hyperlink w:anchor="_Toc161409446" w:history="1">
            <w:r w:rsidR="00E4541B" w:rsidRPr="00421BB1">
              <w:rPr>
                <w:rStyle w:val="Hyperlink"/>
                <w:rFonts w:ascii="Times New Roman" w:eastAsiaTheme="majorEastAsia" w:hAnsi="Times New Roman" w:cs="Times New Roman"/>
                <w:noProof/>
                <w:lang w:val="en-US"/>
              </w:rPr>
              <w:t>References</w:t>
            </w:r>
            <w:r w:rsidR="00E4541B">
              <w:rPr>
                <w:noProof/>
                <w:webHidden/>
              </w:rPr>
              <w:tab/>
            </w:r>
            <w:r w:rsidR="00E4541B">
              <w:rPr>
                <w:noProof/>
                <w:webHidden/>
              </w:rPr>
              <w:fldChar w:fldCharType="begin"/>
            </w:r>
            <w:r w:rsidR="00E4541B">
              <w:rPr>
                <w:noProof/>
                <w:webHidden/>
              </w:rPr>
              <w:instrText xml:space="preserve"> PAGEREF _Toc161409446 \h </w:instrText>
            </w:r>
            <w:r w:rsidR="00E4541B">
              <w:rPr>
                <w:noProof/>
                <w:webHidden/>
              </w:rPr>
            </w:r>
            <w:r w:rsidR="00E4541B">
              <w:rPr>
                <w:noProof/>
                <w:webHidden/>
              </w:rPr>
              <w:fldChar w:fldCharType="separate"/>
            </w:r>
            <w:r w:rsidR="00A97855">
              <w:rPr>
                <w:noProof/>
                <w:webHidden/>
              </w:rPr>
              <w:t>16</w:t>
            </w:r>
            <w:r w:rsidR="00E4541B">
              <w:rPr>
                <w:noProof/>
                <w:webHidden/>
              </w:rPr>
              <w:fldChar w:fldCharType="end"/>
            </w:r>
          </w:hyperlink>
        </w:p>
        <w:p w14:paraId="78A2BCDC" w14:textId="32AE5715" w:rsidR="0010593E" w:rsidRPr="0010593E" w:rsidRDefault="0010593E">
          <w:r w:rsidRPr="0010593E">
            <w:rPr>
              <w:b/>
              <w:bCs/>
              <w:noProof/>
            </w:rPr>
            <w:fldChar w:fldCharType="end"/>
          </w:r>
        </w:p>
      </w:sdtContent>
    </w:sdt>
    <w:p w14:paraId="47A39845" w14:textId="77777777" w:rsidR="0010593E" w:rsidRPr="0010593E" w:rsidRDefault="0010593E" w:rsidP="001E4BC9">
      <w:pPr>
        <w:jc w:val="both"/>
        <w:rPr>
          <w:b/>
          <w:bCs/>
          <w:sz w:val="32"/>
          <w:szCs w:val="32"/>
          <w:lang w:val="en-US"/>
        </w:rPr>
      </w:pPr>
    </w:p>
    <w:p w14:paraId="49187CF6" w14:textId="77777777" w:rsidR="0010593E" w:rsidRPr="0010593E" w:rsidRDefault="0010593E" w:rsidP="001E4BC9">
      <w:pPr>
        <w:jc w:val="both"/>
        <w:rPr>
          <w:b/>
          <w:bCs/>
          <w:sz w:val="32"/>
          <w:szCs w:val="32"/>
          <w:lang w:val="en-US"/>
        </w:rPr>
      </w:pPr>
    </w:p>
    <w:p w14:paraId="6FE370F2" w14:textId="77777777" w:rsidR="0010593E" w:rsidRDefault="0010593E">
      <w:pPr>
        <w:rPr>
          <w:rFonts w:eastAsiaTheme="majorEastAsia"/>
          <w:color w:val="000000" w:themeColor="text1"/>
          <w:sz w:val="32"/>
          <w:szCs w:val="32"/>
          <w:lang w:val="en-US"/>
        </w:rPr>
      </w:pPr>
      <w:r>
        <w:rPr>
          <w:color w:val="000000" w:themeColor="text1"/>
          <w:lang w:val="en-US"/>
        </w:rPr>
        <w:br w:type="page"/>
      </w:r>
    </w:p>
    <w:p w14:paraId="0E6F55C6" w14:textId="1BEAE947" w:rsidR="001E4BC9" w:rsidRPr="004102CB" w:rsidRDefault="005A1617" w:rsidP="00E4541B">
      <w:pPr>
        <w:pStyle w:val="Heading1"/>
        <w:spacing w:line="480" w:lineRule="auto"/>
        <w:rPr>
          <w:rFonts w:ascii="Times New Roman" w:hAnsi="Times New Roman" w:cs="Times New Roman"/>
          <w:b/>
          <w:bCs/>
          <w:color w:val="000000" w:themeColor="text1"/>
          <w:lang w:val="en-US"/>
        </w:rPr>
      </w:pPr>
      <w:bookmarkStart w:id="0" w:name="_Toc161409434"/>
      <w:r w:rsidRPr="004102CB">
        <w:rPr>
          <w:rFonts w:ascii="Times New Roman" w:hAnsi="Times New Roman" w:cs="Times New Roman"/>
          <w:b/>
          <w:bCs/>
          <w:color w:val="000000" w:themeColor="text1"/>
          <w:lang w:val="en-US"/>
        </w:rPr>
        <w:lastRenderedPageBreak/>
        <w:t>Amygdala segmentation protocol</w:t>
      </w:r>
      <w:bookmarkEnd w:id="0"/>
    </w:p>
    <w:p w14:paraId="603A548F"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Segmentation of the human amygdala was informed by atlases from Ding et al. (2018) and Mai, Paxinos, &amp; Voss (2008). Segmentations were done on T1-weighted images with voxel size of 0.5x0.5x1.0 mm using ITK-SNAP (Yushkevich et al., 2006). Tracing was prepared in the coronal plane while the sagittal and axial plane were used to inspect and edit the segmentation. However, in case of conflicting information between the three planes, preference was always given to the coronal plane. The amygdala was segmented as a whole, and nuclei were not specified as subfields. The amygdala is traced in a posterior to anterior direction, starting with the most posterior slice of the amygdala because the borders of the amygdala can more easily be identified in posterior sections. The aim of the protocol is to only include amygdala tissue. However, as not all border of the amygdala can be clearly identified on MRI, it is possible that in some instances non-amygdala tissue will be included or that small portions of the amygdala will not be included in the final segmentation. More details are provided below.</w:t>
      </w:r>
    </w:p>
    <w:p w14:paraId="5AB32B1E" w14:textId="5422E7FE" w:rsidR="001E4BC9" w:rsidRPr="0010593E" w:rsidRDefault="001E4BC9" w:rsidP="00E4541B">
      <w:pPr>
        <w:spacing w:after="240" w:line="480" w:lineRule="auto"/>
        <w:ind w:firstLine="284"/>
        <w:jc w:val="both"/>
        <w:rPr>
          <w:sz w:val="22"/>
          <w:szCs w:val="22"/>
          <w:lang w:val="en-US"/>
        </w:rPr>
      </w:pPr>
      <w:r w:rsidRPr="0010593E">
        <w:rPr>
          <w:sz w:val="22"/>
          <w:szCs w:val="22"/>
          <w:lang w:val="en-US"/>
        </w:rPr>
        <w:t>The protocol is shown with one example case, but it is important to note that individual anatomical differences exist, so the shape of the amygdala may look somewhat different than in the shown example case. Furthermore, the protocol can be used to segment amygdalae in both hemispheres</w:t>
      </w:r>
      <w:r w:rsidR="00E4541B">
        <w:rPr>
          <w:sz w:val="22"/>
          <w:szCs w:val="22"/>
          <w:lang w:val="en-US"/>
        </w:rPr>
        <w:t>.</w:t>
      </w:r>
    </w:p>
    <w:p w14:paraId="268A042D" w14:textId="77777777" w:rsidR="001E4BC9" w:rsidRPr="004102CB" w:rsidRDefault="001E4BC9" w:rsidP="00E4541B">
      <w:pPr>
        <w:pStyle w:val="Heading2"/>
        <w:spacing w:line="480" w:lineRule="auto"/>
        <w:rPr>
          <w:rFonts w:ascii="Times New Roman" w:hAnsi="Times New Roman" w:cs="Times New Roman"/>
          <w:b/>
          <w:bCs/>
          <w:color w:val="000000" w:themeColor="text1"/>
          <w:lang w:val="en-US"/>
        </w:rPr>
      </w:pPr>
      <w:bookmarkStart w:id="1" w:name="_Toc161409435"/>
      <w:r w:rsidRPr="004102CB">
        <w:rPr>
          <w:rFonts w:ascii="Times New Roman" w:hAnsi="Times New Roman" w:cs="Times New Roman"/>
          <w:b/>
          <w:bCs/>
          <w:color w:val="000000" w:themeColor="text1"/>
          <w:lang w:val="en-US"/>
        </w:rPr>
        <w:t>Posterior Portion of the Amygdala</w:t>
      </w:r>
      <w:bookmarkEnd w:id="1"/>
    </w:p>
    <w:p w14:paraId="17CF09DE" w14:textId="77777777" w:rsidR="001E4BC9" w:rsidRPr="004E1080" w:rsidRDefault="001E4BC9" w:rsidP="00E4541B">
      <w:pPr>
        <w:pStyle w:val="Heading3"/>
        <w:spacing w:line="480" w:lineRule="auto"/>
        <w:rPr>
          <w:rFonts w:ascii="Times New Roman" w:hAnsi="Times New Roman" w:cs="Times New Roman"/>
          <w:i/>
          <w:iCs/>
          <w:color w:val="000000" w:themeColor="text1"/>
          <w:lang w:val="en-US"/>
        </w:rPr>
      </w:pPr>
      <w:bookmarkStart w:id="2" w:name="_Toc161409436"/>
      <w:r w:rsidRPr="004E1080">
        <w:rPr>
          <w:rFonts w:ascii="Times New Roman" w:hAnsi="Times New Roman" w:cs="Times New Roman"/>
          <w:i/>
          <w:iCs/>
          <w:color w:val="000000" w:themeColor="text1"/>
          <w:lang w:val="en-US"/>
        </w:rPr>
        <w:t>Most posterior slice</w:t>
      </w:r>
      <w:bookmarkEnd w:id="2"/>
    </w:p>
    <w:p w14:paraId="7CBA431D"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 xml:space="preserve">The most posterior slice of the amygdala is defined as the first slice where hippocampal amygdaloid transition area (HATA) and the amygdala are not connected anymore (compare Fig. 1.2 and 1.3; see Fig. 2). In case of an ambiguous slice where the HATA and amygdala may be connected, the most posterior slice with a definite connection is chosen to determine the most posterior slice. This slice was chosen as the most posterior slice since it is consistently identifiable. However, a very small portion of the posterior tip of the amygdala may be excluded due to this rule. On this most posterior slice, the superior border is the white matter and the optic tract; the inferior border is the cerebrospinal fluid (CSF) in the temporal horn of the lateral ventricle (TLV); the medial border is CSF; the lateral border is the white matter of the temporal stem and the amygdalostriatal transition area (AStr). The inferolateral border should be symmetrical to </w:t>
      </w:r>
      <w:r w:rsidRPr="0010593E">
        <w:rPr>
          <w:color w:val="000000" w:themeColor="text1"/>
          <w:sz w:val="22"/>
          <w:szCs w:val="22"/>
          <w:lang w:val="en-US"/>
        </w:rPr>
        <w:t xml:space="preserve">the </w:t>
      </w:r>
      <w:r w:rsidRPr="0010593E">
        <w:rPr>
          <w:sz w:val="22"/>
          <w:szCs w:val="22"/>
          <w:lang w:val="en-US"/>
        </w:rPr>
        <w:t>inferomedial side to exclude most of the tail of caudate (CAT). Fig. 2 (see arrows on bottom rows) shows that the inferolateral border does not extend further inferiorly than the inferomedial border.</w:t>
      </w:r>
    </w:p>
    <w:p w14:paraId="10ADBBF4"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lastRenderedPageBreak/>
        <w:t xml:space="preserve">Working in an anterior direction, in the next slice there is a definite connection between the HATA and the amygdala show a definite connection (Fig. 1.2, see Fig. 2). The superior, lateral, and inferior borders do not change, while the medial border is now CSF and the most superior portion of the HATA, which is not segmented as amygdala. The border to the HATA is determined by finding the shortest connection between the superomedial CSF and superior CSF (Fig. 3). </w:t>
      </w:r>
    </w:p>
    <w:p w14:paraId="2ED03D30" w14:textId="786E5F23" w:rsidR="001E4BC9" w:rsidRPr="0010593E" w:rsidRDefault="001E4BC9" w:rsidP="00E4541B">
      <w:pPr>
        <w:spacing w:after="240" w:line="480" w:lineRule="auto"/>
        <w:ind w:firstLine="284"/>
        <w:jc w:val="both"/>
        <w:rPr>
          <w:sz w:val="22"/>
          <w:szCs w:val="22"/>
          <w:lang w:val="en-US"/>
        </w:rPr>
      </w:pPr>
      <w:r w:rsidRPr="0010593E">
        <w:rPr>
          <w:sz w:val="22"/>
          <w:szCs w:val="22"/>
          <w:lang w:val="en-US"/>
        </w:rPr>
        <w:t>Continue moving anteriorly segmenting with the same borders as before (Fig. 1.3-1.5).</w:t>
      </w:r>
    </w:p>
    <w:p w14:paraId="05C83747" w14:textId="77777777" w:rsidR="001E4BC9" w:rsidRPr="004102CB" w:rsidRDefault="001E4BC9" w:rsidP="00E4541B">
      <w:pPr>
        <w:pStyle w:val="Heading2"/>
        <w:spacing w:line="480" w:lineRule="auto"/>
        <w:rPr>
          <w:rFonts w:ascii="Times New Roman" w:hAnsi="Times New Roman" w:cs="Times New Roman"/>
          <w:b/>
          <w:bCs/>
          <w:color w:val="000000" w:themeColor="text1"/>
          <w:lang w:val="en-US"/>
        </w:rPr>
      </w:pPr>
      <w:bookmarkStart w:id="3" w:name="_Toc161409437"/>
      <w:r w:rsidRPr="004102CB">
        <w:rPr>
          <w:rFonts w:ascii="Times New Roman" w:hAnsi="Times New Roman" w:cs="Times New Roman"/>
          <w:b/>
          <w:bCs/>
          <w:color w:val="000000" w:themeColor="text1"/>
          <w:lang w:val="en-US"/>
        </w:rPr>
        <w:t>Mid-portion of the Amygdala</w:t>
      </w:r>
      <w:bookmarkEnd w:id="3"/>
    </w:p>
    <w:p w14:paraId="6CFD544A"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The mid-portion starts after a few slices (in the anterior direction) when a superior bulge relative to the endorhinal sulcus appears (starting Fig. 1.6). At this point the superiomedial border is not drawn straight but with a slight angle to the superior white matter. The inferiomedial border of the amygdala to the HATA is the semiannular sulcus (sas) (Fig.1.6). From the semiannular sulcus (noted in Fig. 1.7) the border is traced superolateral towards the fundus of the endorhinal sulcus and then continues in a slight angle to the superior white matter (see Fig. 4). The inferior border continues to be CSF and the hippocampus (HC).</w:t>
      </w:r>
    </w:p>
    <w:p w14:paraId="4D978F3F"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Laterally, connect the superior white matter (i.e., the superior border) to the inferior CSF of the TLV (i.e., the inferior border) (see Fig. 4). To draw this line, use the gray/white matter border. In some cases, some grey matter may be lateral beyond the direct connection between superior white matter and inferior CSF (see Fig. 4), which would result in a biologically implausible bulge on the superolateral portion of the amygdala. If this is the case, this extra portion should not be included. In such cases, superimposing the border from the immediate posterior slice will additionally help to determine whether this portion should be excluded. Hence, it helps to move between slices when tracing these borders. This border is drawn so the AStr and putamen/peduncle of lentiform (PUV/PedL) are excluded from the segmentation. Continue moving anteriorly segmenting with the same borders (Fig. 1.7).</w:t>
      </w:r>
    </w:p>
    <w:p w14:paraId="4A5F412C"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 xml:space="preserve">When moving more anteriorly, the inferior border of the amygdala is the hippocampus and inferomedial the entorhinal cortex (ERC; Fig. 1.8). The border to the entorhinal cortex continues to be based on the semiannular sulcus. Since the border to the hippocampus is sometimes easier to identify in sagittal plane, the border to the hippocampus should be inspected in this plane to ensure correct segmentation. </w:t>
      </w:r>
    </w:p>
    <w:p w14:paraId="0B9B5CE3" w14:textId="7A325832" w:rsidR="001E4BC9" w:rsidRPr="0010593E" w:rsidRDefault="001E4BC9" w:rsidP="00E4541B">
      <w:pPr>
        <w:spacing w:after="240" w:line="480" w:lineRule="auto"/>
        <w:ind w:firstLine="284"/>
        <w:jc w:val="both"/>
        <w:rPr>
          <w:sz w:val="22"/>
          <w:szCs w:val="22"/>
          <w:lang w:val="en-US"/>
        </w:rPr>
      </w:pPr>
      <w:r w:rsidRPr="0010593E">
        <w:rPr>
          <w:sz w:val="22"/>
          <w:szCs w:val="22"/>
          <w:lang w:val="en-US"/>
        </w:rPr>
        <w:t>Segmentation continues anteriorly with the same borders (Fig. 1.9-1.10).</w:t>
      </w:r>
    </w:p>
    <w:p w14:paraId="6247298F" w14:textId="77777777" w:rsidR="001E4BC9" w:rsidRPr="004E1080" w:rsidRDefault="001E4BC9" w:rsidP="00E4541B">
      <w:pPr>
        <w:pStyle w:val="Heading3"/>
        <w:spacing w:line="480" w:lineRule="auto"/>
        <w:rPr>
          <w:rFonts w:ascii="Times New Roman" w:hAnsi="Times New Roman" w:cs="Times New Roman"/>
          <w:i/>
          <w:iCs/>
          <w:color w:val="000000" w:themeColor="text1"/>
          <w:lang w:val="en-US"/>
        </w:rPr>
      </w:pPr>
      <w:bookmarkStart w:id="4" w:name="_Toc161409438"/>
      <w:r w:rsidRPr="004E1080">
        <w:rPr>
          <w:rFonts w:ascii="Times New Roman" w:hAnsi="Times New Roman" w:cs="Times New Roman"/>
          <w:i/>
          <w:iCs/>
          <w:color w:val="000000" w:themeColor="text1"/>
          <w:lang w:val="en-US"/>
        </w:rPr>
        <w:lastRenderedPageBreak/>
        <w:t>Last slice of the HC</w:t>
      </w:r>
      <w:bookmarkEnd w:id="4"/>
    </w:p>
    <w:p w14:paraId="59A8B7E5" w14:textId="33E52E6A" w:rsidR="001E4BC9" w:rsidRPr="0010593E" w:rsidRDefault="001E4BC9" w:rsidP="00E4541B">
      <w:pPr>
        <w:spacing w:after="240" w:line="480" w:lineRule="auto"/>
        <w:ind w:firstLine="284"/>
        <w:jc w:val="both"/>
        <w:rPr>
          <w:sz w:val="22"/>
          <w:szCs w:val="22"/>
          <w:lang w:val="en-US"/>
        </w:rPr>
      </w:pPr>
      <w:r w:rsidRPr="0010593E">
        <w:rPr>
          <w:sz w:val="22"/>
          <w:szCs w:val="22"/>
          <w:lang w:val="en-US"/>
        </w:rPr>
        <w:t>Segmentation continues as on the previous slices. Inferior, the TLV may start to decrease in some cases (e.g., compare Fig. 1.10 and 1.11). Therefore, the white matter of the parahippocampal gyrus will slowly become the new inferior border (see consecutive slices). If the TLV remains larger, continue segmenting the inferior-lateral border in the same fashion as on previous slices.</w:t>
      </w:r>
    </w:p>
    <w:p w14:paraId="38A3B684" w14:textId="77777777" w:rsidR="001E4BC9" w:rsidRPr="004102CB" w:rsidRDefault="001E4BC9" w:rsidP="00E4541B">
      <w:pPr>
        <w:pStyle w:val="Heading2"/>
        <w:spacing w:line="480" w:lineRule="auto"/>
        <w:rPr>
          <w:rFonts w:ascii="Times New Roman" w:hAnsi="Times New Roman" w:cs="Times New Roman"/>
          <w:b/>
          <w:bCs/>
          <w:color w:val="000000" w:themeColor="text1"/>
          <w:lang w:val="en-US"/>
        </w:rPr>
      </w:pPr>
      <w:bookmarkStart w:id="5" w:name="_Toc161409439"/>
      <w:r w:rsidRPr="004102CB">
        <w:rPr>
          <w:rFonts w:ascii="Times New Roman" w:hAnsi="Times New Roman" w:cs="Times New Roman"/>
          <w:b/>
          <w:bCs/>
          <w:color w:val="000000" w:themeColor="text1"/>
          <w:lang w:val="en-US"/>
        </w:rPr>
        <w:t>Anterior Portion of the Amygdala</w:t>
      </w:r>
      <w:bookmarkEnd w:id="5"/>
    </w:p>
    <w:p w14:paraId="7B9DB620" w14:textId="77777777" w:rsidR="001E4BC9" w:rsidRPr="004E1080" w:rsidRDefault="001E4BC9" w:rsidP="00E4541B">
      <w:pPr>
        <w:pStyle w:val="Heading3"/>
        <w:spacing w:line="480" w:lineRule="auto"/>
        <w:rPr>
          <w:rFonts w:ascii="Times New Roman" w:hAnsi="Times New Roman" w:cs="Times New Roman"/>
          <w:i/>
          <w:iCs/>
          <w:color w:val="000000" w:themeColor="text1"/>
          <w:lang w:val="en-US"/>
        </w:rPr>
      </w:pPr>
      <w:bookmarkStart w:id="6" w:name="_Toc161409440"/>
      <w:r w:rsidRPr="004E1080">
        <w:rPr>
          <w:rFonts w:ascii="Times New Roman" w:hAnsi="Times New Roman" w:cs="Times New Roman"/>
          <w:i/>
          <w:iCs/>
          <w:color w:val="000000" w:themeColor="text1"/>
          <w:lang w:val="en-US"/>
        </w:rPr>
        <w:t>First slice anterior to the HC</w:t>
      </w:r>
      <w:bookmarkEnd w:id="6"/>
    </w:p>
    <w:p w14:paraId="6C60D119"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 xml:space="preserve">The superior border (white matter) continues to be traced from the sas (medial border) in a superolateral direction towards the fundus of the endorhinal sulcus and then continues in a slight angle (counterclockwise) to the superior white matter (Fig. 1.11). The medial border continues to be the sas. The inferomedial border of the amygdala is the parahippocampal white matter, which is segmented by following the white matter border from the inferior border (the parahippocampal white matter) to the sas (Fig. 1.12 and see Fig. 5 as example). The lateral and superolateral border continues to be the white matter of the parahippocampal gyrus. Inferolateral, CSF continues to be the border until the white matter of the parahippocampal gyrus becomes the border (see next slice).  </w:t>
      </w:r>
    </w:p>
    <w:p w14:paraId="6CF8085A" w14:textId="0EECF7A5" w:rsidR="001E4BC9" w:rsidRPr="0010593E" w:rsidRDefault="001E4BC9" w:rsidP="00E4541B">
      <w:pPr>
        <w:spacing w:after="240" w:line="480" w:lineRule="auto"/>
        <w:ind w:firstLine="284"/>
        <w:jc w:val="both"/>
        <w:rPr>
          <w:sz w:val="22"/>
          <w:szCs w:val="22"/>
          <w:lang w:val="en-US"/>
        </w:rPr>
      </w:pPr>
      <w:r w:rsidRPr="0010593E">
        <w:rPr>
          <w:sz w:val="22"/>
          <w:szCs w:val="22"/>
          <w:lang w:val="en-US"/>
        </w:rPr>
        <w:t xml:space="preserve">Segmentation continues as on the previous slice. Inferiorly, the white matter of the parahippocampal gyrus becomes the border (Fig. 1.12). In the anterior portion of the amygdala, small parts of the preamygdalar claustrum (PACI) may be included in the segmentation, if PACI cannot be distinguished as a separate nucleus but rather seems fused with the amygdala (Fig. 6). As much of the PACI as possible should be excluded from the amygdala. </w:t>
      </w:r>
    </w:p>
    <w:p w14:paraId="02655398" w14:textId="77777777" w:rsidR="001E4BC9" w:rsidRPr="004E1080" w:rsidRDefault="001E4BC9" w:rsidP="00E4541B">
      <w:pPr>
        <w:pStyle w:val="Heading3"/>
        <w:spacing w:line="480" w:lineRule="auto"/>
        <w:rPr>
          <w:rFonts w:ascii="Times New Roman" w:hAnsi="Times New Roman" w:cs="Times New Roman"/>
          <w:i/>
          <w:iCs/>
          <w:color w:val="000000" w:themeColor="text1"/>
          <w:lang w:val="en-US"/>
        </w:rPr>
      </w:pPr>
      <w:bookmarkStart w:id="7" w:name="_Toc161409441"/>
      <w:r w:rsidRPr="004E1080">
        <w:rPr>
          <w:rFonts w:ascii="Times New Roman" w:hAnsi="Times New Roman" w:cs="Times New Roman"/>
          <w:i/>
          <w:iCs/>
          <w:color w:val="000000" w:themeColor="text1"/>
          <w:lang w:val="en-US"/>
        </w:rPr>
        <w:t>First slice excluding the cortex</w:t>
      </w:r>
      <w:bookmarkEnd w:id="7"/>
    </w:p>
    <w:p w14:paraId="04449B1B"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 xml:space="preserve">According to the atlases (Mai, Paxinos, &amp; Voss, 2008; Ding et al., 2018), the cortical nuclei only appear approximately 2.9 mm after the most anterior slice of the amygdala. Therefore, the three most anterior slices (3 mm) are segmented excluding the periamygdaloid cortex (PAM) and piriform cortex, temporal pole (PirT), which are not part of the amygdala (Fig. 1.13). In order to establish the last three anterior slices, one should determine the most anterior slice first (see next section). </w:t>
      </w:r>
    </w:p>
    <w:p w14:paraId="56FF06B8"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 xml:space="preserve">Once the three most anterior slices are determined, segment the first slice (third most anterior slice) excluding the cortex in the following way: If there is a thin white matter layer between the cortex and </w:t>
      </w:r>
      <w:r w:rsidRPr="0010593E">
        <w:rPr>
          <w:sz w:val="22"/>
          <w:szCs w:val="22"/>
          <w:lang w:val="en-US"/>
        </w:rPr>
        <w:lastRenderedPageBreak/>
        <w:t xml:space="preserve">the amygdala, that should be the superior and medial borders. If the white matter layer is not visible, the thickness of the cortex adjacent to the amygdala should be of the same thickness as the entorhinal cortex inferomedial to the amygdala, under the assumption that the thickness of the cortex is roughly the same. The inferior, inferomedial, and inferolateral borders continue to be the white matter of the parahippocampal gyrus and the grey matter of the entorhinal cortex. </w:t>
      </w:r>
    </w:p>
    <w:p w14:paraId="08C3FE86" w14:textId="7D5A5E9F" w:rsidR="001E4BC9" w:rsidRPr="0010593E" w:rsidRDefault="001E4BC9" w:rsidP="00E4541B">
      <w:pPr>
        <w:spacing w:after="240" w:line="480" w:lineRule="auto"/>
        <w:ind w:firstLine="284"/>
        <w:jc w:val="both"/>
        <w:rPr>
          <w:sz w:val="22"/>
          <w:szCs w:val="22"/>
          <w:lang w:val="en-US"/>
        </w:rPr>
      </w:pPr>
      <w:r w:rsidRPr="0010593E">
        <w:rPr>
          <w:sz w:val="22"/>
          <w:szCs w:val="22"/>
          <w:lang w:val="en-US"/>
        </w:rPr>
        <w:t>Continue segmenting the next amygdala slice as on the previous slice (Fig., 1.14) ensuring that the amygdala is getting smaller with each slice moving anterior.</w:t>
      </w:r>
    </w:p>
    <w:p w14:paraId="620801CA" w14:textId="77777777" w:rsidR="001E4BC9" w:rsidRPr="004E1080" w:rsidRDefault="001E4BC9" w:rsidP="00E4541B">
      <w:pPr>
        <w:pStyle w:val="Heading3"/>
        <w:spacing w:line="480" w:lineRule="auto"/>
        <w:rPr>
          <w:rFonts w:ascii="Times New Roman" w:hAnsi="Times New Roman" w:cs="Times New Roman"/>
          <w:i/>
          <w:iCs/>
          <w:color w:val="000000" w:themeColor="text1"/>
          <w:lang w:val="en-US"/>
        </w:rPr>
      </w:pPr>
      <w:bookmarkStart w:id="8" w:name="_Toc161409442"/>
      <w:r w:rsidRPr="004E1080">
        <w:rPr>
          <w:rFonts w:ascii="Times New Roman" w:hAnsi="Times New Roman" w:cs="Times New Roman"/>
          <w:i/>
          <w:iCs/>
          <w:color w:val="000000" w:themeColor="text1"/>
          <w:lang w:val="en-US"/>
        </w:rPr>
        <w:t>Most anterior slice</w:t>
      </w:r>
      <w:bookmarkEnd w:id="8"/>
    </w:p>
    <w:p w14:paraId="68399B8A"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 xml:space="preserve">The most anterior slice is determined by visually assessing the coronal slices while again supporting the decision with the sagittal view (Fig. 1.15). Instead of the amygdala, white matter of the parahippocampal gyrus will occur in its place (Fig. 1.16), which is the first slice anterior of the amygdala that should not be segmented anymore. If there is a slice where grey matter of the amygdala is seen, but on the slice immediately anterior, the white matter of the parahippocampal gyrus occurs in its place, this definite slice with amygdala grey matter should be segmented as the most anterior slice. It can occur that there is a slice where there is mixed white and grey matter signal in the area where the amygdala was located on previous slices, but it is unclear whether it is amygdala or partial volume effects, this slice should be segmented as the most anterior slice of the amygdala. This rule should be followed for one slice only. If there are two slices where this occurs, only the one immediately anterior to the last definite slice should be segmented as amygdala. Note that there may be grey matter on a slice, but in a different location and is outside the area where the amygdala was previously located. This should not be segmented as amygdala and is not the most anterior slice. See Fig. 7 for examples of the most anterior slice. </w:t>
      </w:r>
    </w:p>
    <w:p w14:paraId="762D10EC" w14:textId="23D4277A" w:rsidR="001E4BC9" w:rsidRPr="0010593E" w:rsidRDefault="001E4BC9" w:rsidP="00E4541B">
      <w:pPr>
        <w:spacing w:after="240" w:line="480" w:lineRule="auto"/>
        <w:ind w:firstLine="284"/>
        <w:jc w:val="both"/>
        <w:rPr>
          <w:sz w:val="22"/>
          <w:szCs w:val="22"/>
          <w:lang w:val="en-US"/>
        </w:rPr>
      </w:pPr>
      <w:r w:rsidRPr="0010593E">
        <w:rPr>
          <w:sz w:val="22"/>
          <w:szCs w:val="22"/>
          <w:lang w:val="en-US"/>
        </w:rPr>
        <w:t>The borders are the same as on the previous slice.</w:t>
      </w:r>
    </w:p>
    <w:p w14:paraId="39EF2578" w14:textId="77777777" w:rsidR="001E4BC9" w:rsidRPr="004102CB" w:rsidRDefault="001E4BC9" w:rsidP="00E4541B">
      <w:pPr>
        <w:pStyle w:val="Heading2"/>
        <w:spacing w:line="480" w:lineRule="auto"/>
        <w:rPr>
          <w:rFonts w:ascii="Times New Roman" w:hAnsi="Times New Roman" w:cs="Times New Roman"/>
          <w:b/>
          <w:bCs/>
          <w:color w:val="000000" w:themeColor="text1"/>
          <w:lang w:val="en-US"/>
        </w:rPr>
      </w:pPr>
      <w:bookmarkStart w:id="9" w:name="_Toc161409443"/>
      <w:r w:rsidRPr="004102CB">
        <w:rPr>
          <w:rFonts w:ascii="Times New Roman" w:hAnsi="Times New Roman" w:cs="Times New Roman"/>
          <w:b/>
          <w:bCs/>
          <w:color w:val="000000" w:themeColor="text1"/>
          <w:lang w:val="en-US"/>
        </w:rPr>
        <w:t>Finishing the segmentation</w:t>
      </w:r>
      <w:bookmarkEnd w:id="9"/>
    </w:p>
    <w:p w14:paraId="308AD069" w14:textId="08852D0E" w:rsidR="001E4BC9" w:rsidRPr="0010593E" w:rsidRDefault="001E4BC9" w:rsidP="00E4541B">
      <w:pPr>
        <w:spacing w:after="240" w:line="480" w:lineRule="auto"/>
        <w:ind w:firstLine="284"/>
        <w:jc w:val="both"/>
        <w:rPr>
          <w:sz w:val="22"/>
          <w:szCs w:val="22"/>
          <w:lang w:val="en-US"/>
        </w:rPr>
      </w:pPr>
      <w:r w:rsidRPr="0010593E">
        <w:rPr>
          <w:sz w:val="22"/>
          <w:szCs w:val="22"/>
          <w:lang w:val="en-US"/>
        </w:rPr>
        <w:t xml:space="preserve">After segmenting the amygdala according to the protocol, it is helpful to go through the sagittal and axial planes to double-check the segmentation. First, it should be noted whether the border to the HC is correctly segmented (see Fig. 8). Second, all other borders should be checked and made smoother if possible. Third, after going through sagittal and axial view and potentially adjusting the segmentation, the coronal plane should be inspected again to ensure that the amygdala is correctly segmented </w:t>
      </w:r>
      <w:r w:rsidRPr="0010593E">
        <w:rPr>
          <w:sz w:val="22"/>
          <w:szCs w:val="22"/>
          <w:lang w:val="en-US"/>
        </w:rPr>
        <w:lastRenderedPageBreak/>
        <w:t>according to the protocol. This process can be repeated if needed. It can be helpful to only make small adjustments in the sagittal and axial planes, to prevent deviations from the protocol in the coronal plane. Otherwise, it can be helpful to only make bigger changes in the axial and sagittal planes while inspecting all three planes at the same time.</w:t>
      </w:r>
    </w:p>
    <w:p w14:paraId="586A0E28" w14:textId="77777777" w:rsidR="001E4BC9" w:rsidRPr="004102CB" w:rsidRDefault="001E4BC9" w:rsidP="00E4541B">
      <w:pPr>
        <w:pStyle w:val="Heading2"/>
        <w:spacing w:line="480" w:lineRule="auto"/>
        <w:rPr>
          <w:rFonts w:ascii="Times New Roman" w:hAnsi="Times New Roman" w:cs="Times New Roman"/>
          <w:b/>
          <w:bCs/>
          <w:color w:val="000000" w:themeColor="text1"/>
          <w:lang w:val="en-US"/>
        </w:rPr>
      </w:pPr>
      <w:bookmarkStart w:id="10" w:name="_Toc161409444"/>
      <w:r w:rsidRPr="004102CB">
        <w:rPr>
          <w:rFonts w:ascii="Times New Roman" w:hAnsi="Times New Roman" w:cs="Times New Roman"/>
          <w:b/>
          <w:bCs/>
          <w:color w:val="000000" w:themeColor="text1"/>
          <w:lang w:val="en-US"/>
        </w:rPr>
        <w:t>Differences in amygdala segmentations</w:t>
      </w:r>
      <w:bookmarkEnd w:id="10"/>
    </w:p>
    <w:p w14:paraId="77ADEF57"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 xml:space="preserve">Fig. 10 exemplifies the segmentation of a different amygdala in the right hemisphere and its segmentation. Note that the overall shape is similar for both examples, while differences, such as the number of slices (14 slices vs. 16 slices), occur. Additionally, the endorhinal sulcus in Fig. 10 is much wider. </w:t>
      </w:r>
    </w:p>
    <w:p w14:paraId="66C3E280" w14:textId="77777777" w:rsidR="001E4BC9" w:rsidRPr="0010593E" w:rsidRDefault="001E4BC9" w:rsidP="00E4541B">
      <w:pPr>
        <w:spacing w:line="480" w:lineRule="auto"/>
        <w:ind w:firstLine="284"/>
        <w:jc w:val="both"/>
        <w:rPr>
          <w:sz w:val="22"/>
          <w:szCs w:val="22"/>
          <w:lang w:val="en-US"/>
        </w:rPr>
      </w:pPr>
      <w:r w:rsidRPr="0010593E">
        <w:rPr>
          <w:sz w:val="22"/>
          <w:szCs w:val="22"/>
          <w:lang w:val="en-US"/>
        </w:rPr>
        <w:t>The semiannular sulcus may be challenging to identify on each slice and may differ per subject/hemisphere. Therefore, marking the sulcus where it can be clearly seen and extrapolating from these slices to slices on which this border is less clear may be helpful.</w:t>
      </w:r>
    </w:p>
    <w:p w14:paraId="03D5391F" w14:textId="77777777" w:rsidR="001E4BC9" w:rsidRPr="0010593E" w:rsidRDefault="001E4BC9" w:rsidP="001E4BC9">
      <w:pPr>
        <w:ind w:firstLine="284"/>
        <w:jc w:val="both"/>
        <w:rPr>
          <w:sz w:val="22"/>
          <w:szCs w:val="22"/>
          <w:lang w:val="en-US"/>
        </w:rPr>
      </w:pPr>
    </w:p>
    <w:p w14:paraId="25FD0DF7" w14:textId="77777777" w:rsidR="001E4BC9" w:rsidRPr="0010593E" w:rsidRDefault="001E4BC9" w:rsidP="001E4BC9">
      <w:pPr>
        <w:jc w:val="both"/>
        <w:rPr>
          <w:b/>
          <w:bCs/>
          <w:sz w:val="22"/>
          <w:szCs w:val="22"/>
          <w:lang w:val="en-US"/>
        </w:rPr>
      </w:pPr>
      <w:r w:rsidRPr="0010593E">
        <w:rPr>
          <w:b/>
          <w:bCs/>
          <w:sz w:val="22"/>
          <w:szCs w:val="22"/>
          <w:lang w:val="en-US"/>
        </w:rPr>
        <w:t>Abbreviations</w:t>
      </w:r>
    </w:p>
    <w:tbl>
      <w:tblPr>
        <w:tblW w:w="5460" w:type="dxa"/>
        <w:tblInd w:w="284" w:type="dxa"/>
        <w:tblLook w:val="04A0" w:firstRow="1" w:lastRow="0" w:firstColumn="1" w:lastColumn="0" w:noHBand="0" w:noVBand="1"/>
      </w:tblPr>
      <w:tblGrid>
        <w:gridCol w:w="1300"/>
        <w:gridCol w:w="4160"/>
      </w:tblGrid>
      <w:tr w:rsidR="001E4BC9" w:rsidRPr="0010593E" w14:paraId="7F8618E5" w14:textId="77777777" w:rsidTr="00A37523">
        <w:trPr>
          <w:trHeight w:val="320"/>
        </w:trPr>
        <w:tc>
          <w:tcPr>
            <w:tcW w:w="1300" w:type="dxa"/>
            <w:tcBorders>
              <w:top w:val="nil"/>
              <w:left w:val="nil"/>
              <w:bottom w:val="nil"/>
              <w:right w:val="nil"/>
            </w:tcBorders>
            <w:shd w:val="clear" w:color="auto" w:fill="auto"/>
            <w:noWrap/>
            <w:vAlign w:val="center"/>
            <w:hideMark/>
          </w:tcPr>
          <w:p w14:paraId="780D7CF1" w14:textId="4B361138" w:rsidR="001E4BC9" w:rsidRPr="0010593E" w:rsidRDefault="001E4BC9" w:rsidP="00A37523">
            <w:pPr>
              <w:ind w:firstLine="29"/>
              <w:rPr>
                <w:color w:val="000000"/>
                <w:sz w:val="22"/>
                <w:szCs w:val="22"/>
                <w:lang w:val="en-US"/>
              </w:rPr>
            </w:pPr>
            <w:r w:rsidRPr="0010593E">
              <w:rPr>
                <w:color w:val="000000"/>
                <w:sz w:val="22"/>
                <w:szCs w:val="22"/>
                <w:lang w:val="en-US"/>
              </w:rPr>
              <w:t>AM</w:t>
            </w:r>
            <w:r w:rsidR="00293664">
              <w:rPr>
                <w:color w:val="000000"/>
                <w:sz w:val="22"/>
                <w:szCs w:val="22"/>
                <w:lang w:val="en-US"/>
              </w:rPr>
              <w:t>Y</w:t>
            </w:r>
          </w:p>
        </w:tc>
        <w:tc>
          <w:tcPr>
            <w:tcW w:w="4160" w:type="dxa"/>
            <w:tcBorders>
              <w:top w:val="nil"/>
              <w:left w:val="nil"/>
              <w:bottom w:val="nil"/>
              <w:right w:val="nil"/>
            </w:tcBorders>
            <w:shd w:val="clear" w:color="auto" w:fill="auto"/>
            <w:noWrap/>
            <w:vAlign w:val="center"/>
            <w:hideMark/>
          </w:tcPr>
          <w:p w14:paraId="387F1CF1" w14:textId="77777777" w:rsidR="001E4BC9" w:rsidRPr="0010593E" w:rsidRDefault="001E4BC9" w:rsidP="00A37523">
            <w:pPr>
              <w:rPr>
                <w:color w:val="000000"/>
                <w:sz w:val="22"/>
                <w:szCs w:val="22"/>
                <w:lang w:val="en-US"/>
              </w:rPr>
            </w:pPr>
            <w:r w:rsidRPr="0010593E">
              <w:rPr>
                <w:color w:val="000000"/>
                <w:sz w:val="22"/>
                <w:szCs w:val="22"/>
                <w:lang w:val="en-US"/>
              </w:rPr>
              <w:t>amygdala</w:t>
            </w:r>
          </w:p>
        </w:tc>
      </w:tr>
      <w:tr w:rsidR="001E4BC9" w:rsidRPr="0010593E" w14:paraId="2D27EFE9" w14:textId="77777777" w:rsidTr="00A37523">
        <w:trPr>
          <w:trHeight w:val="320"/>
        </w:trPr>
        <w:tc>
          <w:tcPr>
            <w:tcW w:w="1300" w:type="dxa"/>
            <w:tcBorders>
              <w:top w:val="nil"/>
              <w:left w:val="nil"/>
              <w:bottom w:val="nil"/>
              <w:right w:val="nil"/>
            </w:tcBorders>
            <w:shd w:val="clear" w:color="auto" w:fill="auto"/>
            <w:noWrap/>
            <w:vAlign w:val="center"/>
            <w:hideMark/>
          </w:tcPr>
          <w:p w14:paraId="5676171B" w14:textId="77777777" w:rsidR="001E4BC9" w:rsidRPr="0010593E" w:rsidRDefault="001E4BC9" w:rsidP="00A37523">
            <w:pPr>
              <w:rPr>
                <w:color w:val="000000"/>
                <w:sz w:val="22"/>
                <w:szCs w:val="22"/>
                <w:lang w:val="en-US"/>
              </w:rPr>
            </w:pPr>
            <w:r w:rsidRPr="0010593E">
              <w:rPr>
                <w:color w:val="000000"/>
                <w:sz w:val="22"/>
                <w:szCs w:val="22"/>
                <w:lang w:val="en-US"/>
              </w:rPr>
              <w:t>Astr</w:t>
            </w:r>
          </w:p>
        </w:tc>
        <w:tc>
          <w:tcPr>
            <w:tcW w:w="4160" w:type="dxa"/>
            <w:tcBorders>
              <w:top w:val="nil"/>
              <w:left w:val="nil"/>
              <w:bottom w:val="nil"/>
              <w:right w:val="nil"/>
            </w:tcBorders>
            <w:shd w:val="clear" w:color="auto" w:fill="auto"/>
            <w:noWrap/>
            <w:vAlign w:val="center"/>
            <w:hideMark/>
          </w:tcPr>
          <w:p w14:paraId="0B6141DA" w14:textId="77777777" w:rsidR="001E4BC9" w:rsidRPr="0010593E" w:rsidRDefault="001E4BC9" w:rsidP="00A37523">
            <w:pPr>
              <w:rPr>
                <w:color w:val="000000"/>
                <w:sz w:val="22"/>
                <w:szCs w:val="22"/>
                <w:lang w:val="en-US"/>
              </w:rPr>
            </w:pPr>
            <w:r w:rsidRPr="0010593E">
              <w:rPr>
                <w:color w:val="000000"/>
                <w:sz w:val="22"/>
                <w:szCs w:val="22"/>
                <w:lang w:val="en-US"/>
              </w:rPr>
              <w:t>amygdalostriatal transition area</w:t>
            </w:r>
          </w:p>
        </w:tc>
      </w:tr>
      <w:tr w:rsidR="001E4BC9" w:rsidRPr="0010593E" w14:paraId="6D8A561F" w14:textId="77777777" w:rsidTr="00A37523">
        <w:trPr>
          <w:trHeight w:val="320"/>
        </w:trPr>
        <w:tc>
          <w:tcPr>
            <w:tcW w:w="1300" w:type="dxa"/>
            <w:tcBorders>
              <w:top w:val="nil"/>
              <w:left w:val="nil"/>
              <w:bottom w:val="nil"/>
              <w:right w:val="nil"/>
            </w:tcBorders>
            <w:shd w:val="clear" w:color="auto" w:fill="auto"/>
            <w:noWrap/>
            <w:vAlign w:val="center"/>
            <w:hideMark/>
          </w:tcPr>
          <w:p w14:paraId="702B7B75" w14:textId="77777777" w:rsidR="001E4BC9" w:rsidRPr="0010593E" w:rsidRDefault="001E4BC9" w:rsidP="00A37523">
            <w:pPr>
              <w:rPr>
                <w:color w:val="000000"/>
                <w:sz w:val="22"/>
                <w:szCs w:val="22"/>
                <w:lang w:val="en-US"/>
              </w:rPr>
            </w:pPr>
            <w:r w:rsidRPr="0010593E">
              <w:rPr>
                <w:color w:val="000000"/>
                <w:sz w:val="22"/>
                <w:szCs w:val="22"/>
                <w:lang w:val="en-US"/>
              </w:rPr>
              <w:t>CSF</w:t>
            </w:r>
          </w:p>
        </w:tc>
        <w:tc>
          <w:tcPr>
            <w:tcW w:w="4160" w:type="dxa"/>
            <w:tcBorders>
              <w:top w:val="nil"/>
              <w:left w:val="nil"/>
              <w:bottom w:val="nil"/>
              <w:right w:val="nil"/>
            </w:tcBorders>
            <w:shd w:val="clear" w:color="auto" w:fill="auto"/>
            <w:noWrap/>
            <w:vAlign w:val="center"/>
            <w:hideMark/>
          </w:tcPr>
          <w:p w14:paraId="4F2C3216" w14:textId="77777777" w:rsidR="001E4BC9" w:rsidRPr="0010593E" w:rsidRDefault="001E4BC9" w:rsidP="00A37523">
            <w:pPr>
              <w:rPr>
                <w:color w:val="000000"/>
                <w:sz w:val="22"/>
                <w:szCs w:val="22"/>
                <w:lang w:val="en-US"/>
              </w:rPr>
            </w:pPr>
            <w:r w:rsidRPr="0010593E">
              <w:rPr>
                <w:color w:val="000000"/>
                <w:sz w:val="22"/>
                <w:szCs w:val="22"/>
                <w:lang w:val="en-US"/>
              </w:rPr>
              <w:t>cerebrospinal fluid</w:t>
            </w:r>
          </w:p>
        </w:tc>
      </w:tr>
      <w:tr w:rsidR="001E4BC9" w:rsidRPr="0010593E" w14:paraId="65DE439B" w14:textId="77777777" w:rsidTr="00A37523">
        <w:trPr>
          <w:trHeight w:val="320"/>
        </w:trPr>
        <w:tc>
          <w:tcPr>
            <w:tcW w:w="1300" w:type="dxa"/>
            <w:tcBorders>
              <w:top w:val="nil"/>
              <w:left w:val="nil"/>
              <w:bottom w:val="nil"/>
              <w:right w:val="nil"/>
            </w:tcBorders>
            <w:shd w:val="clear" w:color="auto" w:fill="auto"/>
            <w:noWrap/>
            <w:vAlign w:val="center"/>
            <w:hideMark/>
          </w:tcPr>
          <w:p w14:paraId="6F16E52F" w14:textId="77777777" w:rsidR="001E4BC9" w:rsidRPr="0010593E" w:rsidRDefault="001E4BC9" w:rsidP="00A37523">
            <w:pPr>
              <w:rPr>
                <w:color w:val="000000"/>
                <w:sz w:val="22"/>
                <w:szCs w:val="22"/>
                <w:lang w:val="en-US"/>
              </w:rPr>
            </w:pPr>
            <w:r w:rsidRPr="0010593E">
              <w:rPr>
                <w:color w:val="000000"/>
                <w:sz w:val="22"/>
                <w:szCs w:val="22"/>
                <w:lang w:val="en-US"/>
              </w:rPr>
              <w:t>ERC</w:t>
            </w:r>
          </w:p>
        </w:tc>
        <w:tc>
          <w:tcPr>
            <w:tcW w:w="4160" w:type="dxa"/>
            <w:tcBorders>
              <w:top w:val="nil"/>
              <w:left w:val="nil"/>
              <w:bottom w:val="nil"/>
              <w:right w:val="nil"/>
            </w:tcBorders>
            <w:shd w:val="clear" w:color="auto" w:fill="auto"/>
            <w:noWrap/>
            <w:vAlign w:val="center"/>
            <w:hideMark/>
          </w:tcPr>
          <w:p w14:paraId="5C633B14" w14:textId="77777777" w:rsidR="001E4BC9" w:rsidRPr="0010593E" w:rsidRDefault="001E4BC9" w:rsidP="00A37523">
            <w:pPr>
              <w:rPr>
                <w:color w:val="000000"/>
                <w:sz w:val="22"/>
                <w:szCs w:val="22"/>
                <w:lang w:val="en-US"/>
              </w:rPr>
            </w:pPr>
            <w:r w:rsidRPr="0010593E">
              <w:rPr>
                <w:color w:val="000000"/>
                <w:sz w:val="22"/>
                <w:szCs w:val="22"/>
                <w:lang w:val="en-US"/>
              </w:rPr>
              <w:t>entorhinal cortex</w:t>
            </w:r>
          </w:p>
        </w:tc>
      </w:tr>
      <w:tr w:rsidR="001E4BC9" w:rsidRPr="0010593E" w14:paraId="6837EFF6" w14:textId="77777777" w:rsidTr="00A37523">
        <w:trPr>
          <w:trHeight w:val="320"/>
        </w:trPr>
        <w:tc>
          <w:tcPr>
            <w:tcW w:w="1300" w:type="dxa"/>
            <w:tcBorders>
              <w:top w:val="nil"/>
              <w:left w:val="nil"/>
              <w:bottom w:val="nil"/>
              <w:right w:val="nil"/>
            </w:tcBorders>
            <w:shd w:val="clear" w:color="auto" w:fill="auto"/>
            <w:noWrap/>
            <w:vAlign w:val="center"/>
            <w:hideMark/>
          </w:tcPr>
          <w:p w14:paraId="1AD48D3E" w14:textId="77777777" w:rsidR="001E4BC9" w:rsidRPr="0010593E" w:rsidRDefault="001E4BC9" w:rsidP="00A37523">
            <w:pPr>
              <w:rPr>
                <w:color w:val="000000"/>
                <w:sz w:val="22"/>
                <w:szCs w:val="22"/>
                <w:lang w:val="en-US"/>
              </w:rPr>
            </w:pPr>
            <w:r w:rsidRPr="0010593E">
              <w:rPr>
                <w:color w:val="000000"/>
                <w:sz w:val="22"/>
                <w:szCs w:val="22"/>
                <w:lang w:val="en-US"/>
              </w:rPr>
              <w:t>es</w:t>
            </w:r>
          </w:p>
        </w:tc>
        <w:tc>
          <w:tcPr>
            <w:tcW w:w="4160" w:type="dxa"/>
            <w:tcBorders>
              <w:top w:val="nil"/>
              <w:left w:val="nil"/>
              <w:bottom w:val="nil"/>
              <w:right w:val="nil"/>
            </w:tcBorders>
            <w:shd w:val="clear" w:color="auto" w:fill="auto"/>
            <w:noWrap/>
            <w:vAlign w:val="center"/>
            <w:hideMark/>
          </w:tcPr>
          <w:p w14:paraId="673B47A2" w14:textId="77777777" w:rsidR="001E4BC9" w:rsidRPr="0010593E" w:rsidRDefault="001E4BC9" w:rsidP="00A37523">
            <w:pPr>
              <w:rPr>
                <w:color w:val="000000"/>
                <w:sz w:val="22"/>
                <w:szCs w:val="22"/>
                <w:lang w:val="en-US"/>
              </w:rPr>
            </w:pPr>
            <w:r w:rsidRPr="0010593E">
              <w:rPr>
                <w:color w:val="000000"/>
                <w:sz w:val="22"/>
                <w:szCs w:val="22"/>
                <w:lang w:val="en-US"/>
              </w:rPr>
              <w:t>endorhinal sulcus</w:t>
            </w:r>
          </w:p>
        </w:tc>
      </w:tr>
      <w:tr w:rsidR="001E4BC9" w:rsidRPr="0010593E" w14:paraId="5A47F99D" w14:textId="77777777" w:rsidTr="00A37523">
        <w:trPr>
          <w:trHeight w:val="320"/>
        </w:trPr>
        <w:tc>
          <w:tcPr>
            <w:tcW w:w="1300" w:type="dxa"/>
            <w:tcBorders>
              <w:top w:val="nil"/>
              <w:left w:val="nil"/>
              <w:bottom w:val="nil"/>
              <w:right w:val="nil"/>
            </w:tcBorders>
            <w:shd w:val="clear" w:color="auto" w:fill="auto"/>
            <w:noWrap/>
            <w:vAlign w:val="center"/>
            <w:hideMark/>
          </w:tcPr>
          <w:p w14:paraId="44FD8F9A" w14:textId="77777777" w:rsidR="001E4BC9" w:rsidRPr="0010593E" w:rsidRDefault="001E4BC9" w:rsidP="00A37523">
            <w:pPr>
              <w:rPr>
                <w:color w:val="000000"/>
                <w:sz w:val="22"/>
                <w:szCs w:val="22"/>
                <w:lang w:val="en-US"/>
              </w:rPr>
            </w:pPr>
            <w:r w:rsidRPr="0010593E">
              <w:rPr>
                <w:color w:val="000000"/>
                <w:sz w:val="22"/>
                <w:szCs w:val="22"/>
                <w:lang w:val="en-US"/>
              </w:rPr>
              <w:t>HATA</w:t>
            </w:r>
          </w:p>
        </w:tc>
        <w:tc>
          <w:tcPr>
            <w:tcW w:w="4160" w:type="dxa"/>
            <w:tcBorders>
              <w:top w:val="nil"/>
              <w:left w:val="nil"/>
              <w:bottom w:val="nil"/>
              <w:right w:val="nil"/>
            </w:tcBorders>
            <w:shd w:val="clear" w:color="auto" w:fill="auto"/>
            <w:noWrap/>
            <w:vAlign w:val="center"/>
            <w:hideMark/>
          </w:tcPr>
          <w:p w14:paraId="4E7ADB9D" w14:textId="77777777" w:rsidR="001E4BC9" w:rsidRPr="0010593E" w:rsidRDefault="001E4BC9" w:rsidP="00A37523">
            <w:pPr>
              <w:rPr>
                <w:color w:val="000000"/>
                <w:sz w:val="22"/>
                <w:szCs w:val="22"/>
                <w:lang w:val="en-US"/>
              </w:rPr>
            </w:pPr>
            <w:r w:rsidRPr="0010593E">
              <w:rPr>
                <w:color w:val="000000"/>
                <w:sz w:val="22"/>
                <w:szCs w:val="22"/>
                <w:lang w:val="en-US"/>
              </w:rPr>
              <w:t>hippocampal amygdaloid transition area</w:t>
            </w:r>
          </w:p>
        </w:tc>
      </w:tr>
      <w:tr w:rsidR="001E4BC9" w:rsidRPr="0010593E" w14:paraId="2F5CA556" w14:textId="77777777" w:rsidTr="00A37523">
        <w:trPr>
          <w:trHeight w:val="320"/>
        </w:trPr>
        <w:tc>
          <w:tcPr>
            <w:tcW w:w="1300" w:type="dxa"/>
            <w:tcBorders>
              <w:top w:val="nil"/>
              <w:left w:val="nil"/>
              <w:bottom w:val="nil"/>
              <w:right w:val="nil"/>
            </w:tcBorders>
            <w:shd w:val="clear" w:color="auto" w:fill="auto"/>
            <w:noWrap/>
            <w:vAlign w:val="center"/>
            <w:hideMark/>
          </w:tcPr>
          <w:p w14:paraId="163FE53D" w14:textId="77777777" w:rsidR="001E4BC9" w:rsidRPr="0010593E" w:rsidRDefault="001E4BC9" w:rsidP="00A37523">
            <w:pPr>
              <w:rPr>
                <w:color w:val="000000"/>
                <w:sz w:val="22"/>
                <w:szCs w:val="22"/>
                <w:lang w:val="en-US"/>
              </w:rPr>
            </w:pPr>
            <w:r w:rsidRPr="0010593E">
              <w:rPr>
                <w:color w:val="000000"/>
                <w:sz w:val="22"/>
                <w:szCs w:val="22"/>
                <w:lang w:val="en-US"/>
              </w:rPr>
              <w:t>HC</w:t>
            </w:r>
          </w:p>
        </w:tc>
        <w:tc>
          <w:tcPr>
            <w:tcW w:w="4160" w:type="dxa"/>
            <w:tcBorders>
              <w:top w:val="nil"/>
              <w:left w:val="nil"/>
              <w:bottom w:val="nil"/>
              <w:right w:val="nil"/>
            </w:tcBorders>
            <w:shd w:val="clear" w:color="auto" w:fill="auto"/>
            <w:noWrap/>
            <w:vAlign w:val="center"/>
            <w:hideMark/>
          </w:tcPr>
          <w:p w14:paraId="2C4A0989" w14:textId="77777777" w:rsidR="001E4BC9" w:rsidRPr="0010593E" w:rsidRDefault="001E4BC9" w:rsidP="00A37523">
            <w:pPr>
              <w:rPr>
                <w:color w:val="000000"/>
                <w:sz w:val="22"/>
                <w:szCs w:val="22"/>
                <w:lang w:val="en-US"/>
              </w:rPr>
            </w:pPr>
            <w:r w:rsidRPr="0010593E">
              <w:rPr>
                <w:color w:val="000000"/>
                <w:sz w:val="22"/>
                <w:szCs w:val="22"/>
                <w:lang w:val="en-US"/>
              </w:rPr>
              <w:t>hippocampus</w:t>
            </w:r>
          </w:p>
        </w:tc>
      </w:tr>
      <w:tr w:rsidR="001E4BC9" w:rsidRPr="0010593E" w14:paraId="0FA90934" w14:textId="77777777" w:rsidTr="00A37523">
        <w:trPr>
          <w:trHeight w:val="320"/>
        </w:trPr>
        <w:tc>
          <w:tcPr>
            <w:tcW w:w="1300" w:type="dxa"/>
            <w:tcBorders>
              <w:top w:val="nil"/>
              <w:left w:val="nil"/>
              <w:bottom w:val="nil"/>
              <w:right w:val="nil"/>
            </w:tcBorders>
            <w:shd w:val="clear" w:color="auto" w:fill="auto"/>
            <w:noWrap/>
            <w:vAlign w:val="center"/>
            <w:hideMark/>
          </w:tcPr>
          <w:p w14:paraId="103FA28C" w14:textId="77777777" w:rsidR="001E4BC9" w:rsidRPr="0010593E" w:rsidRDefault="001E4BC9" w:rsidP="00A37523">
            <w:pPr>
              <w:rPr>
                <w:color w:val="000000"/>
                <w:sz w:val="22"/>
                <w:szCs w:val="22"/>
                <w:lang w:val="en-US"/>
              </w:rPr>
            </w:pPr>
            <w:r w:rsidRPr="0010593E">
              <w:rPr>
                <w:color w:val="000000"/>
                <w:sz w:val="22"/>
                <w:szCs w:val="22"/>
                <w:lang w:val="en-US"/>
              </w:rPr>
              <w:t>opt</w:t>
            </w:r>
          </w:p>
        </w:tc>
        <w:tc>
          <w:tcPr>
            <w:tcW w:w="4160" w:type="dxa"/>
            <w:tcBorders>
              <w:top w:val="nil"/>
              <w:left w:val="nil"/>
              <w:bottom w:val="nil"/>
              <w:right w:val="nil"/>
            </w:tcBorders>
            <w:shd w:val="clear" w:color="auto" w:fill="auto"/>
            <w:noWrap/>
            <w:vAlign w:val="center"/>
            <w:hideMark/>
          </w:tcPr>
          <w:p w14:paraId="744B8137" w14:textId="77777777" w:rsidR="001E4BC9" w:rsidRPr="0010593E" w:rsidRDefault="001E4BC9" w:rsidP="00A37523">
            <w:pPr>
              <w:rPr>
                <w:color w:val="000000"/>
                <w:sz w:val="22"/>
                <w:szCs w:val="22"/>
                <w:lang w:val="en-US"/>
              </w:rPr>
            </w:pPr>
            <w:r w:rsidRPr="0010593E">
              <w:rPr>
                <w:color w:val="000000"/>
                <w:sz w:val="22"/>
                <w:szCs w:val="22"/>
                <w:lang w:val="en-US"/>
              </w:rPr>
              <w:t>optic tract</w:t>
            </w:r>
          </w:p>
        </w:tc>
      </w:tr>
      <w:tr w:rsidR="001E4BC9" w:rsidRPr="0010593E" w14:paraId="342FB4BF" w14:textId="77777777" w:rsidTr="00A37523">
        <w:trPr>
          <w:trHeight w:val="320"/>
        </w:trPr>
        <w:tc>
          <w:tcPr>
            <w:tcW w:w="1300" w:type="dxa"/>
            <w:tcBorders>
              <w:top w:val="nil"/>
              <w:left w:val="nil"/>
              <w:bottom w:val="nil"/>
              <w:right w:val="nil"/>
            </w:tcBorders>
            <w:shd w:val="clear" w:color="auto" w:fill="auto"/>
            <w:noWrap/>
            <w:vAlign w:val="center"/>
            <w:hideMark/>
          </w:tcPr>
          <w:p w14:paraId="62D2CADB" w14:textId="77777777" w:rsidR="001E4BC9" w:rsidRPr="0010593E" w:rsidRDefault="001E4BC9" w:rsidP="00A37523">
            <w:pPr>
              <w:rPr>
                <w:color w:val="000000"/>
                <w:sz w:val="22"/>
                <w:szCs w:val="22"/>
                <w:lang w:val="en-US"/>
              </w:rPr>
            </w:pPr>
            <w:r w:rsidRPr="0010593E">
              <w:rPr>
                <w:color w:val="000000"/>
                <w:sz w:val="22"/>
                <w:szCs w:val="22"/>
                <w:lang w:val="en-US"/>
              </w:rPr>
              <w:t>PACI</w:t>
            </w:r>
          </w:p>
        </w:tc>
        <w:tc>
          <w:tcPr>
            <w:tcW w:w="4160" w:type="dxa"/>
            <w:tcBorders>
              <w:top w:val="nil"/>
              <w:left w:val="nil"/>
              <w:bottom w:val="nil"/>
              <w:right w:val="nil"/>
            </w:tcBorders>
            <w:shd w:val="clear" w:color="auto" w:fill="auto"/>
            <w:noWrap/>
            <w:vAlign w:val="center"/>
            <w:hideMark/>
          </w:tcPr>
          <w:p w14:paraId="4BBD31E3" w14:textId="77777777" w:rsidR="001E4BC9" w:rsidRPr="0010593E" w:rsidRDefault="001E4BC9" w:rsidP="00A37523">
            <w:pPr>
              <w:rPr>
                <w:color w:val="000000"/>
                <w:sz w:val="22"/>
                <w:szCs w:val="22"/>
                <w:lang w:val="en-US"/>
              </w:rPr>
            </w:pPr>
            <w:r w:rsidRPr="0010593E">
              <w:rPr>
                <w:color w:val="000000"/>
                <w:sz w:val="22"/>
                <w:szCs w:val="22"/>
                <w:lang w:val="en-US"/>
              </w:rPr>
              <w:t>preamygdalar claustrum</w:t>
            </w:r>
          </w:p>
        </w:tc>
      </w:tr>
      <w:tr w:rsidR="001E4BC9" w:rsidRPr="0010593E" w14:paraId="11C9FDAD" w14:textId="77777777" w:rsidTr="00A37523">
        <w:trPr>
          <w:trHeight w:val="320"/>
        </w:trPr>
        <w:tc>
          <w:tcPr>
            <w:tcW w:w="1300" w:type="dxa"/>
            <w:tcBorders>
              <w:top w:val="nil"/>
              <w:left w:val="nil"/>
              <w:bottom w:val="nil"/>
              <w:right w:val="nil"/>
            </w:tcBorders>
            <w:shd w:val="clear" w:color="auto" w:fill="auto"/>
            <w:noWrap/>
            <w:vAlign w:val="center"/>
            <w:hideMark/>
          </w:tcPr>
          <w:p w14:paraId="2535D0B7" w14:textId="77777777" w:rsidR="001E4BC9" w:rsidRPr="0010593E" w:rsidRDefault="001E4BC9" w:rsidP="00A37523">
            <w:pPr>
              <w:rPr>
                <w:color w:val="000000"/>
                <w:sz w:val="22"/>
                <w:szCs w:val="22"/>
                <w:lang w:val="en-US"/>
              </w:rPr>
            </w:pPr>
            <w:r w:rsidRPr="0010593E">
              <w:rPr>
                <w:color w:val="000000"/>
                <w:sz w:val="22"/>
                <w:szCs w:val="22"/>
                <w:lang w:val="en-US"/>
              </w:rPr>
              <w:t>PAM</w:t>
            </w:r>
          </w:p>
        </w:tc>
        <w:tc>
          <w:tcPr>
            <w:tcW w:w="4160" w:type="dxa"/>
            <w:tcBorders>
              <w:top w:val="nil"/>
              <w:left w:val="nil"/>
              <w:bottom w:val="nil"/>
              <w:right w:val="nil"/>
            </w:tcBorders>
            <w:shd w:val="clear" w:color="auto" w:fill="auto"/>
            <w:noWrap/>
            <w:vAlign w:val="center"/>
            <w:hideMark/>
          </w:tcPr>
          <w:p w14:paraId="1C94C158" w14:textId="77777777" w:rsidR="001E4BC9" w:rsidRPr="0010593E" w:rsidRDefault="001E4BC9" w:rsidP="00A37523">
            <w:pPr>
              <w:rPr>
                <w:color w:val="000000"/>
                <w:sz w:val="22"/>
                <w:szCs w:val="22"/>
                <w:lang w:val="en-US"/>
              </w:rPr>
            </w:pPr>
            <w:r w:rsidRPr="0010593E">
              <w:rPr>
                <w:color w:val="000000"/>
                <w:sz w:val="22"/>
                <w:szCs w:val="22"/>
                <w:lang w:val="en-US"/>
              </w:rPr>
              <w:t>periamygdaloid cortex</w:t>
            </w:r>
          </w:p>
        </w:tc>
      </w:tr>
      <w:tr w:rsidR="001E4BC9" w:rsidRPr="0010593E" w14:paraId="3B66B653" w14:textId="77777777" w:rsidTr="00A37523">
        <w:trPr>
          <w:trHeight w:val="320"/>
        </w:trPr>
        <w:tc>
          <w:tcPr>
            <w:tcW w:w="1300" w:type="dxa"/>
            <w:tcBorders>
              <w:top w:val="nil"/>
              <w:left w:val="nil"/>
              <w:bottom w:val="nil"/>
              <w:right w:val="nil"/>
            </w:tcBorders>
            <w:shd w:val="clear" w:color="auto" w:fill="auto"/>
            <w:noWrap/>
            <w:vAlign w:val="center"/>
            <w:hideMark/>
          </w:tcPr>
          <w:p w14:paraId="0D158BE0" w14:textId="77777777" w:rsidR="001E4BC9" w:rsidRPr="0010593E" w:rsidRDefault="001E4BC9" w:rsidP="00A37523">
            <w:pPr>
              <w:rPr>
                <w:color w:val="000000"/>
                <w:sz w:val="22"/>
                <w:szCs w:val="22"/>
                <w:lang w:val="en-US"/>
              </w:rPr>
            </w:pPr>
            <w:r w:rsidRPr="0010593E">
              <w:rPr>
                <w:color w:val="000000"/>
                <w:sz w:val="22"/>
                <w:szCs w:val="22"/>
                <w:lang w:val="en-US"/>
              </w:rPr>
              <w:t>PirT</w:t>
            </w:r>
          </w:p>
        </w:tc>
        <w:tc>
          <w:tcPr>
            <w:tcW w:w="4160" w:type="dxa"/>
            <w:tcBorders>
              <w:top w:val="nil"/>
              <w:left w:val="nil"/>
              <w:bottom w:val="nil"/>
              <w:right w:val="nil"/>
            </w:tcBorders>
            <w:shd w:val="clear" w:color="auto" w:fill="auto"/>
            <w:noWrap/>
            <w:vAlign w:val="center"/>
            <w:hideMark/>
          </w:tcPr>
          <w:p w14:paraId="0EA3C26E" w14:textId="77777777" w:rsidR="001E4BC9" w:rsidRPr="0010593E" w:rsidRDefault="001E4BC9" w:rsidP="00A37523">
            <w:pPr>
              <w:rPr>
                <w:color w:val="000000"/>
                <w:sz w:val="22"/>
                <w:szCs w:val="22"/>
                <w:lang w:val="en-US"/>
              </w:rPr>
            </w:pPr>
            <w:r w:rsidRPr="0010593E">
              <w:rPr>
                <w:color w:val="000000"/>
                <w:sz w:val="22"/>
                <w:szCs w:val="22"/>
                <w:lang w:val="en-US"/>
              </w:rPr>
              <w:t>piriform cortex, temporal pole</w:t>
            </w:r>
          </w:p>
        </w:tc>
      </w:tr>
      <w:tr w:rsidR="001E4BC9" w:rsidRPr="0010593E" w14:paraId="5223EDBD" w14:textId="77777777" w:rsidTr="00A37523">
        <w:trPr>
          <w:trHeight w:val="320"/>
        </w:trPr>
        <w:tc>
          <w:tcPr>
            <w:tcW w:w="1300" w:type="dxa"/>
            <w:tcBorders>
              <w:top w:val="nil"/>
              <w:left w:val="nil"/>
              <w:bottom w:val="nil"/>
              <w:right w:val="nil"/>
            </w:tcBorders>
            <w:shd w:val="clear" w:color="auto" w:fill="auto"/>
            <w:noWrap/>
            <w:vAlign w:val="center"/>
            <w:hideMark/>
          </w:tcPr>
          <w:p w14:paraId="6E6D691D" w14:textId="77777777" w:rsidR="001E4BC9" w:rsidRPr="0010593E" w:rsidRDefault="001E4BC9" w:rsidP="00A37523">
            <w:pPr>
              <w:rPr>
                <w:color w:val="000000"/>
                <w:sz w:val="22"/>
                <w:szCs w:val="22"/>
                <w:lang w:val="en-US"/>
              </w:rPr>
            </w:pPr>
            <w:r w:rsidRPr="0010593E">
              <w:rPr>
                <w:color w:val="000000"/>
                <w:sz w:val="22"/>
                <w:szCs w:val="22"/>
                <w:lang w:val="en-US"/>
              </w:rPr>
              <w:t>PUV/PedL</w:t>
            </w:r>
          </w:p>
        </w:tc>
        <w:tc>
          <w:tcPr>
            <w:tcW w:w="4160" w:type="dxa"/>
            <w:tcBorders>
              <w:top w:val="nil"/>
              <w:left w:val="nil"/>
              <w:bottom w:val="nil"/>
              <w:right w:val="nil"/>
            </w:tcBorders>
            <w:shd w:val="clear" w:color="auto" w:fill="auto"/>
            <w:noWrap/>
            <w:vAlign w:val="center"/>
            <w:hideMark/>
          </w:tcPr>
          <w:p w14:paraId="76666B01" w14:textId="77777777" w:rsidR="001E4BC9" w:rsidRPr="0010593E" w:rsidRDefault="001E4BC9" w:rsidP="00A37523">
            <w:pPr>
              <w:rPr>
                <w:color w:val="000000"/>
                <w:sz w:val="22"/>
                <w:szCs w:val="22"/>
                <w:lang w:val="en-US"/>
              </w:rPr>
            </w:pPr>
            <w:r w:rsidRPr="0010593E">
              <w:rPr>
                <w:color w:val="000000"/>
                <w:sz w:val="22"/>
                <w:szCs w:val="22"/>
                <w:lang w:val="en-US"/>
              </w:rPr>
              <w:t>putamen/peduncle of lentiform</w:t>
            </w:r>
          </w:p>
        </w:tc>
      </w:tr>
      <w:tr w:rsidR="001E4BC9" w:rsidRPr="0010593E" w14:paraId="4D3868D8" w14:textId="77777777" w:rsidTr="00A37523">
        <w:trPr>
          <w:trHeight w:val="320"/>
        </w:trPr>
        <w:tc>
          <w:tcPr>
            <w:tcW w:w="1300" w:type="dxa"/>
            <w:tcBorders>
              <w:top w:val="nil"/>
              <w:left w:val="nil"/>
              <w:bottom w:val="nil"/>
              <w:right w:val="nil"/>
            </w:tcBorders>
            <w:shd w:val="clear" w:color="auto" w:fill="auto"/>
            <w:noWrap/>
            <w:vAlign w:val="center"/>
            <w:hideMark/>
          </w:tcPr>
          <w:p w14:paraId="4764468C" w14:textId="77777777" w:rsidR="001E4BC9" w:rsidRPr="0010593E" w:rsidRDefault="001E4BC9" w:rsidP="00A37523">
            <w:pPr>
              <w:rPr>
                <w:color w:val="000000"/>
                <w:sz w:val="22"/>
                <w:szCs w:val="22"/>
                <w:lang w:val="en-US"/>
              </w:rPr>
            </w:pPr>
            <w:r w:rsidRPr="0010593E">
              <w:rPr>
                <w:color w:val="000000"/>
                <w:sz w:val="22"/>
                <w:szCs w:val="22"/>
                <w:lang w:val="en-US"/>
              </w:rPr>
              <w:t>sas</w:t>
            </w:r>
          </w:p>
        </w:tc>
        <w:tc>
          <w:tcPr>
            <w:tcW w:w="4160" w:type="dxa"/>
            <w:tcBorders>
              <w:top w:val="nil"/>
              <w:left w:val="nil"/>
              <w:bottom w:val="nil"/>
              <w:right w:val="nil"/>
            </w:tcBorders>
            <w:shd w:val="clear" w:color="auto" w:fill="auto"/>
            <w:noWrap/>
            <w:vAlign w:val="center"/>
            <w:hideMark/>
          </w:tcPr>
          <w:p w14:paraId="6CF34F5C" w14:textId="77777777" w:rsidR="001E4BC9" w:rsidRPr="0010593E" w:rsidRDefault="001E4BC9" w:rsidP="00A37523">
            <w:pPr>
              <w:rPr>
                <w:color w:val="000000"/>
                <w:sz w:val="22"/>
                <w:szCs w:val="22"/>
                <w:lang w:val="en-US"/>
              </w:rPr>
            </w:pPr>
            <w:r w:rsidRPr="0010593E">
              <w:rPr>
                <w:color w:val="000000"/>
                <w:sz w:val="22"/>
                <w:szCs w:val="22"/>
                <w:lang w:val="en-US"/>
              </w:rPr>
              <w:t>semiannular sulcus</w:t>
            </w:r>
          </w:p>
        </w:tc>
      </w:tr>
      <w:tr w:rsidR="001E4BC9" w:rsidRPr="0010593E" w14:paraId="39185F16" w14:textId="77777777" w:rsidTr="00A37523">
        <w:trPr>
          <w:trHeight w:val="320"/>
        </w:trPr>
        <w:tc>
          <w:tcPr>
            <w:tcW w:w="1300" w:type="dxa"/>
            <w:tcBorders>
              <w:top w:val="nil"/>
              <w:left w:val="nil"/>
              <w:bottom w:val="nil"/>
              <w:right w:val="nil"/>
            </w:tcBorders>
            <w:shd w:val="clear" w:color="auto" w:fill="auto"/>
            <w:noWrap/>
            <w:vAlign w:val="center"/>
            <w:hideMark/>
          </w:tcPr>
          <w:p w14:paraId="081AFA04" w14:textId="77777777" w:rsidR="001E4BC9" w:rsidRPr="0010593E" w:rsidRDefault="001E4BC9" w:rsidP="00A37523">
            <w:pPr>
              <w:rPr>
                <w:color w:val="000000"/>
                <w:sz w:val="22"/>
                <w:szCs w:val="22"/>
                <w:lang w:val="en-US"/>
              </w:rPr>
            </w:pPr>
            <w:r w:rsidRPr="0010593E">
              <w:rPr>
                <w:color w:val="000000"/>
                <w:sz w:val="22"/>
                <w:szCs w:val="22"/>
                <w:lang w:val="en-US"/>
              </w:rPr>
              <w:t>TLV</w:t>
            </w:r>
          </w:p>
        </w:tc>
        <w:tc>
          <w:tcPr>
            <w:tcW w:w="4160" w:type="dxa"/>
            <w:tcBorders>
              <w:top w:val="nil"/>
              <w:left w:val="nil"/>
              <w:bottom w:val="nil"/>
              <w:right w:val="nil"/>
            </w:tcBorders>
            <w:shd w:val="clear" w:color="auto" w:fill="auto"/>
            <w:noWrap/>
            <w:vAlign w:val="center"/>
            <w:hideMark/>
          </w:tcPr>
          <w:p w14:paraId="0DF6333D" w14:textId="77777777" w:rsidR="001E4BC9" w:rsidRPr="0010593E" w:rsidRDefault="001E4BC9" w:rsidP="00A37523">
            <w:pPr>
              <w:rPr>
                <w:color w:val="000000"/>
                <w:sz w:val="22"/>
                <w:szCs w:val="22"/>
                <w:lang w:val="en-US"/>
              </w:rPr>
            </w:pPr>
            <w:r w:rsidRPr="0010593E">
              <w:rPr>
                <w:color w:val="000000"/>
                <w:sz w:val="22"/>
                <w:szCs w:val="22"/>
                <w:lang w:val="en-US"/>
              </w:rPr>
              <w:t>temporal horn of the lateral ventricle</w:t>
            </w:r>
          </w:p>
        </w:tc>
      </w:tr>
    </w:tbl>
    <w:p w14:paraId="35B94E14" w14:textId="77777777" w:rsidR="001E4BC9" w:rsidRPr="0010593E" w:rsidRDefault="001E4BC9" w:rsidP="00E4541B">
      <w:pPr>
        <w:jc w:val="both"/>
        <w:rPr>
          <w:sz w:val="22"/>
          <w:szCs w:val="22"/>
          <w:lang w:val="en-US"/>
        </w:rPr>
      </w:pPr>
      <w:r w:rsidRPr="0010593E">
        <w:rPr>
          <w:sz w:val="22"/>
          <w:szCs w:val="22"/>
          <w:lang w:val="en-US"/>
        </w:rPr>
        <w:br w:type="page"/>
      </w:r>
    </w:p>
    <w:p w14:paraId="107BA5C6" w14:textId="77777777" w:rsidR="0010593E" w:rsidRDefault="0010593E" w:rsidP="001E4BC9">
      <w:pPr>
        <w:jc w:val="both"/>
        <w:rPr>
          <w:b/>
          <w:bCs/>
          <w:sz w:val="22"/>
          <w:szCs w:val="22"/>
          <w:lang w:val="en-US"/>
        </w:rPr>
      </w:pPr>
      <w:bookmarkStart w:id="11" w:name="_Hlk81412725"/>
    </w:p>
    <w:p w14:paraId="20F512DC" w14:textId="66DB91F7" w:rsidR="001E4BC9" w:rsidRPr="0010593E" w:rsidRDefault="001E4BC9" w:rsidP="001E4BC9">
      <w:pPr>
        <w:jc w:val="both"/>
        <w:rPr>
          <w:sz w:val="22"/>
          <w:szCs w:val="22"/>
          <w:lang w:val="en-US"/>
        </w:rPr>
      </w:pPr>
      <w:r w:rsidRPr="0010593E">
        <w:rPr>
          <w:b/>
          <w:bCs/>
          <w:sz w:val="22"/>
          <w:szCs w:val="22"/>
          <w:lang w:val="en-US"/>
        </w:rPr>
        <w:t>Figure 1.</w:t>
      </w:r>
      <w:r w:rsidRPr="0010593E">
        <w:rPr>
          <w:sz w:val="22"/>
          <w:szCs w:val="22"/>
          <w:lang w:val="en-US"/>
        </w:rPr>
        <w:t xml:space="preserve"> Example whole amygdala segmentation moving from a posterior (1.1) to an anterior direction. For each slice the raw MRI, an annotated version, and a segmented version is shown in a row.</w:t>
      </w:r>
    </w:p>
    <w:p w14:paraId="74E1413C" w14:textId="77777777" w:rsidR="001E4BC9" w:rsidRPr="0010593E" w:rsidRDefault="001E4BC9" w:rsidP="001E4BC9">
      <w:pPr>
        <w:jc w:val="both"/>
        <w:rPr>
          <w:sz w:val="6"/>
          <w:szCs w:val="6"/>
          <w:lang w:val="en-US"/>
        </w:rPr>
      </w:pPr>
    </w:p>
    <w:p w14:paraId="0090874C" w14:textId="77777777" w:rsidR="001E4BC9" w:rsidRPr="0010593E" w:rsidRDefault="001E4BC9" w:rsidP="001E4BC9">
      <w:pPr>
        <w:jc w:val="both"/>
        <w:rPr>
          <w:sz w:val="22"/>
          <w:szCs w:val="22"/>
          <w:lang w:val="en-US"/>
        </w:rPr>
      </w:pPr>
      <w:r w:rsidRPr="0010593E">
        <w:rPr>
          <w:noProof/>
          <w:sz w:val="22"/>
          <w:szCs w:val="22"/>
          <w:lang w:val="en-US"/>
        </w:rPr>
        <w:drawing>
          <wp:inline distT="0" distB="0" distL="0" distR="0" wp14:anchorId="3B62ADA1" wp14:editId="53ABBF3F">
            <wp:extent cx="5731510" cy="7383533"/>
            <wp:effectExtent l="0" t="0" r="0" b="0"/>
            <wp:docPr id="11" name="Picture 11" descr="A close-up of several images of a sp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up of several images of a spin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383533"/>
                    </a:xfrm>
                    <a:prstGeom prst="rect">
                      <a:avLst/>
                    </a:prstGeom>
                  </pic:spPr>
                </pic:pic>
              </a:graphicData>
            </a:graphic>
          </wp:inline>
        </w:drawing>
      </w:r>
    </w:p>
    <w:p w14:paraId="43A322AF" w14:textId="77777777" w:rsidR="001E4BC9" w:rsidRPr="0010593E" w:rsidRDefault="001E4BC9" w:rsidP="001E4BC9">
      <w:pPr>
        <w:jc w:val="both"/>
        <w:rPr>
          <w:sz w:val="6"/>
          <w:szCs w:val="6"/>
          <w:lang w:val="en-US"/>
        </w:rPr>
      </w:pPr>
    </w:p>
    <w:p w14:paraId="647676A1" w14:textId="5C2D95C0" w:rsidR="001E4BC9" w:rsidRPr="0010593E" w:rsidRDefault="001E4BC9" w:rsidP="001E4BC9">
      <w:pPr>
        <w:jc w:val="both"/>
        <w:rPr>
          <w:color w:val="000000"/>
          <w:sz w:val="20"/>
          <w:szCs w:val="20"/>
          <w:lang w:val="en-US"/>
        </w:rPr>
      </w:pPr>
      <w:r w:rsidRPr="0010593E">
        <w:rPr>
          <w:i/>
          <w:iCs/>
          <w:sz w:val="20"/>
          <w:szCs w:val="20"/>
          <w:lang w:val="en-US"/>
        </w:rPr>
        <w:t>Abbreviations</w:t>
      </w:r>
      <w:r w:rsidRPr="0010593E">
        <w:rPr>
          <w:sz w:val="20"/>
          <w:szCs w:val="20"/>
          <w:lang w:val="en-US"/>
        </w:rPr>
        <w:t xml:space="preserve">: </w:t>
      </w:r>
      <w:r w:rsidR="00293664">
        <w:rPr>
          <w:sz w:val="20"/>
          <w:szCs w:val="20"/>
          <w:lang w:val="en-US"/>
        </w:rPr>
        <w:t>AMY:</w:t>
      </w:r>
      <w:r w:rsidRPr="0010593E">
        <w:rPr>
          <w:sz w:val="20"/>
          <w:szCs w:val="20"/>
          <w:lang w:val="en-US"/>
        </w:rPr>
        <w:t xml:space="preserve"> amygdala; AStr: </w:t>
      </w:r>
      <w:r w:rsidRPr="0010593E">
        <w:rPr>
          <w:color w:val="000000"/>
          <w:sz w:val="20"/>
          <w:szCs w:val="20"/>
          <w:lang w:val="en-US"/>
        </w:rPr>
        <w:t>amygdalostriatal transition area; CSF: cerebrospinal fluid; ERC: entorhinal cortex; es: endorhinal sulcus; HATA: hippocampal amygdaloid transition area; HC: hippocampus; opt: optic tract; PACI: preamygdalar claustrum; PAM: periamygdaloid cortex; PirT: piriform cortex, temporal pole; PUV/PedL: putamen/peduncle of lentiform; sas: semiannular sulcus; TLV: temporal horn of the lateral ventricle.</w:t>
      </w:r>
    </w:p>
    <w:p w14:paraId="2FB1E8BD" w14:textId="77777777" w:rsidR="001E4BC9" w:rsidRPr="0010593E" w:rsidRDefault="001E4BC9" w:rsidP="001E4BC9">
      <w:pPr>
        <w:jc w:val="both"/>
        <w:rPr>
          <w:sz w:val="22"/>
          <w:szCs w:val="22"/>
          <w:lang w:val="en-US"/>
        </w:rPr>
      </w:pPr>
    </w:p>
    <w:p w14:paraId="573A63DD" w14:textId="77777777" w:rsidR="001E4BC9" w:rsidRPr="0010593E" w:rsidRDefault="001E4BC9" w:rsidP="001E4BC9">
      <w:pPr>
        <w:jc w:val="both"/>
        <w:rPr>
          <w:sz w:val="22"/>
          <w:szCs w:val="22"/>
          <w:lang w:val="en-US"/>
        </w:rPr>
      </w:pPr>
    </w:p>
    <w:p w14:paraId="761600E1" w14:textId="77777777" w:rsidR="001E4BC9" w:rsidRPr="0010593E" w:rsidRDefault="001E4BC9" w:rsidP="001E4BC9">
      <w:pPr>
        <w:jc w:val="both"/>
        <w:rPr>
          <w:sz w:val="22"/>
          <w:szCs w:val="22"/>
          <w:lang w:val="en-US"/>
        </w:rPr>
      </w:pPr>
    </w:p>
    <w:p w14:paraId="452CB1A6" w14:textId="77777777" w:rsidR="001E4BC9" w:rsidRPr="0010593E" w:rsidRDefault="001E4BC9" w:rsidP="001E4BC9">
      <w:pPr>
        <w:jc w:val="both"/>
        <w:rPr>
          <w:sz w:val="22"/>
          <w:szCs w:val="22"/>
          <w:lang w:val="en-US"/>
        </w:rPr>
      </w:pPr>
    </w:p>
    <w:p w14:paraId="449165BB" w14:textId="77777777" w:rsidR="0010593E" w:rsidRPr="0010593E" w:rsidRDefault="0010593E">
      <w:pPr>
        <w:rPr>
          <w:b/>
          <w:bCs/>
          <w:sz w:val="22"/>
          <w:szCs w:val="22"/>
          <w:lang w:val="en-US"/>
        </w:rPr>
      </w:pPr>
      <w:bookmarkStart w:id="12" w:name="_Hlk81412904"/>
      <w:bookmarkEnd w:id="11"/>
      <w:r w:rsidRPr="0010593E">
        <w:rPr>
          <w:b/>
          <w:bCs/>
          <w:sz w:val="22"/>
          <w:szCs w:val="22"/>
          <w:lang w:val="en-US"/>
        </w:rPr>
        <w:br w:type="page"/>
      </w:r>
    </w:p>
    <w:p w14:paraId="1585CEB2" w14:textId="77777777" w:rsidR="0010593E" w:rsidRPr="0010593E" w:rsidRDefault="0010593E" w:rsidP="001E4BC9">
      <w:pPr>
        <w:jc w:val="both"/>
        <w:rPr>
          <w:b/>
          <w:bCs/>
          <w:sz w:val="22"/>
          <w:szCs w:val="22"/>
          <w:lang w:val="en-US"/>
        </w:rPr>
      </w:pPr>
    </w:p>
    <w:p w14:paraId="49D7DAF3" w14:textId="77777777" w:rsidR="0010593E" w:rsidRPr="0010593E" w:rsidRDefault="0010593E" w:rsidP="001E4BC9">
      <w:pPr>
        <w:jc w:val="both"/>
        <w:rPr>
          <w:b/>
          <w:bCs/>
          <w:sz w:val="22"/>
          <w:szCs w:val="22"/>
          <w:lang w:val="en-US"/>
        </w:rPr>
      </w:pPr>
    </w:p>
    <w:p w14:paraId="5EA7F529" w14:textId="416B3B89" w:rsidR="001E4BC9" w:rsidRPr="0010593E" w:rsidRDefault="001E4BC9" w:rsidP="001E4BC9">
      <w:pPr>
        <w:jc w:val="both"/>
        <w:rPr>
          <w:color w:val="000000"/>
          <w:sz w:val="22"/>
          <w:szCs w:val="22"/>
          <w:lang w:val="en-US"/>
        </w:rPr>
      </w:pPr>
      <w:r w:rsidRPr="0010593E">
        <w:rPr>
          <w:b/>
          <w:bCs/>
          <w:sz w:val="22"/>
          <w:szCs w:val="22"/>
          <w:lang w:val="en-US"/>
        </w:rPr>
        <w:t xml:space="preserve">Figure 2. </w:t>
      </w:r>
      <w:r w:rsidRPr="0010593E">
        <w:rPr>
          <w:sz w:val="22"/>
          <w:szCs w:val="22"/>
          <w:lang w:val="en-US"/>
        </w:rPr>
        <w:t xml:space="preserve">Two examples of most posterior slice of the amygdala (A and B). Case A is a well-defined example where the connection between </w:t>
      </w:r>
      <w:r w:rsidRPr="0010593E">
        <w:rPr>
          <w:color w:val="000000"/>
          <w:sz w:val="22"/>
          <w:szCs w:val="22"/>
          <w:lang w:val="en-US"/>
        </w:rPr>
        <w:t>hippocampal amygdaloid transition area (HATA) and amygdala is clearly visible. Case B shows an ambiguous slice (B.2). Since this is unclear, the last slice where there is no ambiguous connection (B.3) is used to determine the most anterior slice.</w:t>
      </w:r>
    </w:p>
    <w:p w14:paraId="6C750726" w14:textId="77777777" w:rsidR="001E4BC9" w:rsidRPr="0010593E" w:rsidRDefault="001E4BC9" w:rsidP="001E4BC9">
      <w:pPr>
        <w:jc w:val="both"/>
        <w:rPr>
          <w:color w:val="000000"/>
          <w:sz w:val="6"/>
          <w:szCs w:val="6"/>
          <w:lang w:val="en-US"/>
        </w:rPr>
      </w:pPr>
    </w:p>
    <w:p w14:paraId="60A0342A" w14:textId="77777777" w:rsidR="001E4BC9" w:rsidRPr="0010593E" w:rsidRDefault="001E4BC9" w:rsidP="001E4BC9">
      <w:pPr>
        <w:jc w:val="both"/>
        <w:rPr>
          <w:sz w:val="22"/>
          <w:szCs w:val="22"/>
          <w:lang w:val="en-US"/>
        </w:rPr>
      </w:pPr>
      <w:r w:rsidRPr="0010593E">
        <w:rPr>
          <w:noProof/>
          <w:sz w:val="22"/>
          <w:szCs w:val="22"/>
          <w:lang w:val="en-US"/>
        </w:rPr>
        <w:drawing>
          <wp:inline distT="0" distB="0" distL="0" distR="0" wp14:anchorId="7ED4B1D8" wp14:editId="40B7A321">
            <wp:extent cx="5731510" cy="6069330"/>
            <wp:effectExtent l="0" t="0" r="0" b="1270"/>
            <wp:docPr id="10" name="Picture 10" descr="A collage of bird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ollage of birds&#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069330"/>
                    </a:xfrm>
                    <a:prstGeom prst="rect">
                      <a:avLst/>
                    </a:prstGeom>
                  </pic:spPr>
                </pic:pic>
              </a:graphicData>
            </a:graphic>
          </wp:inline>
        </w:drawing>
      </w:r>
    </w:p>
    <w:p w14:paraId="7CFE16BB" w14:textId="77777777" w:rsidR="001E4BC9" w:rsidRPr="0010593E" w:rsidRDefault="001E4BC9" w:rsidP="001E4BC9">
      <w:pPr>
        <w:jc w:val="both"/>
        <w:rPr>
          <w:sz w:val="6"/>
          <w:szCs w:val="6"/>
          <w:lang w:val="en-US"/>
        </w:rPr>
      </w:pPr>
    </w:p>
    <w:p w14:paraId="3ABAFE38" w14:textId="4D275CC5" w:rsidR="001E4BC9" w:rsidRPr="0010593E" w:rsidRDefault="001E4BC9" w:rsidP="001E4BC9">
      <w:pPr>
        <w:jc w:val="both"/>
        <w:rPr>
          <w:color w:val="000000"/>
          <w:sz w:val="20"/>
          <w:szCs w:val="20"/>
          <w:lang w:val="en-US"/>
        </w:rPr>
      </w:pPr>
      <w:r w:rsidRPr="0010593E">
        <w:rPr>
          <w:i/>
          <w:iCs/>
          <w:sz w:val="20"/>
          <w:szCs w:val="20"/>
          <w:lang w:val="en-US"/>
        </w:rPr>
        <w:t>Abbreviations</w:t>
      </w:r>
      <w:r w:rsidRPr="0010593E">
        <w:rPr>
          <w:sz w:val="20"/>
          <w:szCs w:val="20"/>
          <w:lang w:val="en-US"/>
        </w:rPr>
        <w:t xml:space="preserve">: </w:t>
      </w:r>
      <w:r w:rsidR="00293664">
        <w:rPr>
          <w:sz w:val="20"/>
          <w:szCs w:val="20"/>
          <w:lang w:val="en-US"/>
        </w:rPr>
        <w:t>AMY:</w:t>
      </w:r>
      <w:r w:rsidRPr="0010593E">
        <w:rPr>
          <w:sz w:val="20"/>
          <w:szCs w:val="20"/>
          <w:lang w:val="en-US"/>
        </w:rPr>
        <w:t xml:space="preserve"> amygdala; </w:t>
      </w:r>
      <w:r w:rsidRPr="0010593E">
        <w:rPr>
          <w:color w:val="000000"/>
          <w:sz w:val="20"/>
          <w:szCs w:val="20"/>
          <w:lang w:val="en-US"/>
        </w:rPr>
        <w:t>HATA: hippocampal amygdaloid transition area; HC: hippocampus.</w:t>
      </w:r>
    </w:p>
    <w:p w14:paraId="32B76E9B" w14:textId="77777777" w:rsidR="001E4BC9" w:rsidRPr="0010593E" w:rsidRDefault="001E4BC9" w:rsidP="001E4BC9">
      <w:pPr>
        <w:jc w:val="both"/>
        <w:rPr>
          <w:b/>
          <w:bCs/>
          <w:sz w:val="22"/>
          <w:szCs w:val="22"/>
          <w:lang w:val="en-US"/>
        </w:rPr>
      </w:pPr>
    </w:p>
    <w:p w14:paraId="421AF5FE" w14:textId="77777777" w:rsidR="001E4BC9" w:rsidRPr="0010593E" w:rsidRDefault="001E4BC9" w:rsidP="001E4BC9">
      <w:pPr>
        <w:jc w:val="both"/>
        <w:rPr>
          <w:b/>
          <w:bCs/>
          <w:sz w:val="22"/>
          <w:szCs w:val="22"/>
          <w:lang w:val="en-US"/>
        </w:rPr>
      </w:pPr>
    </w:p>
    <w:p w14:paraId="1F5BE844" w14:textId="77777777" w:rsidR="001E4BC9" w:rsidRPr="0010593E" w:rsidRDefault="001E4BC9" w:rsidP="001E4BC9">
      <w:pPr>
        <w:jc w:val="both"/>
        <w:rPr>
          <w:b/>
          <w:bCs/>
          <w:sz w:val="22"/>
          <w:szCs w:val="22"/>
          <w:lang w:val="en-US"/>
        </w:rPr>
      </w:pPr>
    </w:p>
    <w:p w14:paraId="23EA4E20" w14:textId="77777777" w:rsidR="001E4BC9" w:rsidRPr="0010593E" w:rsidRDefault="001E4BC9" w:rsidP="001E4BC9">
      <w:pPr>
        <w:jc w:val="both"/>
        <w:rPr>
          <w:b/>
          <w:bCs/>
          <w:sz w:val="22"/>
          <w:szCs w:val="22"/>
          <w:lang w:val="en-US"/>
        </w:rPr>
      </w:pPr>
    </w:p>
    <w:p w14:paraId="6EC3D7CC" w14:textId="77777777" w:rsidR="001E4BC9" w:rsidRPr="0010593E" w:rsidRDefault="001E4BC9" w:rsidP="001E4BC9">
      <w:pPr>
        <w:jc w:val="both"/>
        <w:rPr>
          <w:b/>
          <w:bCs/>
          <w:sz w:val="22"/>
          <w:szCs w:val="22"/>
          <w:lang w:val="en-US"/>
        </w:rPr>
      </w:pPr>
    </w:p>
    <w:p w14:paraId="6A3A9376" w14:textId="77777777" w:rsidR="001E4BC9" w:rsidRPr="0010593E" w:rsidRDefault="001E4BC9" w:rsidP="001E4BC9">
      <w:pPr>
        <w:jc w:val="both"/>
        <w:rPr>
          <w:b/>
          <w:bCs/>
          <w:sz w:val="22"/>
          <w:szCs w:val="22"/>
          <w:lang w:val="en-US"/>
        </w:rPr>
      </w:pPr>
    </w:p>
    <w:p w14:paraId="6437F480" w14:textId="77777777" w:rsidR="001E4BC9" w:rsidRPr="0010593E" w:rsidRDefault="001E4BC9" w:rsidP="001E4BC9">
      <w:pPr>
        <w:jc w:val="both"/>
        <w:rPr>
          <w:b/>
          <w:bCs/>
          <w:sz w:val="22"/>
          <w:szCs w:val="22"/>
          <w:lang w:val="en-US"/>
        </w:rPr>
      </w:pPr>
    </w:p>
    <w:p w14:paraId="51ABBC26" w14:textId="77777777" w:rsidR="001E4BC9" w:rsidRPr="0010593E" w:rsidRDefault="001E4BC9" w:rsidP="001E4BC9">
      <w:pPr>
        <w:jc w:val="both"/>
        <w:rPr>
          <w:b/>
          <w:bCs/>
          <w:sz w:val="22"/>
          <w:szCs w:val="22"/>
          <w:lang w:val="en-US"/>
        </w:rPr>
      </w:pPr>
    </w:p>
    <w:p w14:paraId="445DDBFD" w14:textId="77777777" w:rsidR="001E4BC9" w:rsidRPr="0010593E" w:rsidRDefault="001E4BC9" w:rsidP="001E4BC9">
      <w:pPr>
        <w:jc w:val="both"/>
        <w:rPr>
          <w:b/>
          <w:bCs/>
          <w:sz w:val="22"/>
          <w:szCs w:val="22"/>
          <w:lang w:val="en-US"/>
        </w:rPr>
      </w:pPr>
    </w:p>
    <w:p w14:paraId="72458ACE" w14:textId="77777777" w:rsidR="001E4BC9" w:rsidRPr="0010593E" w:rsidRDefault="001E4BC9" w:rsidP="001E4BC9">
      <w:pPr>
        <w:jc w:val="both"/>
        <w:rPr>
          <w:b/>
          <w:bCs/>
          <w:sz w:val="22"/>
          <w:szCs w:val="22"/>
          <w:lang w:val="en-US"/>
        </w:rPr>
      </w:pPr>
    </w:p>
    <w:p w14:paraId="70EAED54" w14:textId="77777777" w:rsidR="001E4BC9" w:rsidRPr="0010593E" w:rsidRDefault="001E4BC9" w:rsidP="001E4BC9">
      <w:pPr>
        <w:jc w:val="both"/>
        <w:rPr>
          <w:b/>
          <w:bCs/>
          <w:sz w:val="22"/>
          <w:szCs w:val="22"/>
          <w:lang w:val="en-US"/>
        </w:rPr>
      </w:pPr>
    </w:p>
    <w:p w14:paraId="2FB88119" w14:textId="77777777" w:rsidR="0010593E" w:rsidRPr="0010593E" w:rsidRDefault="0010593E">
      <w:pPr>
        <w:rPr>
          <w:b/>
          <w:bCs/>
          <w:sz w:val="22"/>
          <w:szCs w:val="22"/>
          <w:lang w:val="en-US"/>
        </w:rPr>
      </w:pPr>
      <w:r w:rsidRPr="0010593E">
        <w:rPr>
          <w:b/>
          <w:bCs/>
          <w:sz w:val="22"/>
          <w:szCs w:val="22"/>
          <w:lang w:val="en-US"/>
        </w:rPr>
        <w:br w:type="page"/>
      </w:r>
    </w:p>
    <w:p w14:paraId="3108DA0E" w14:textId="77777777" w:rsidR="0010593E" w:rsidRPr="0010593E" w:rsidRDefault="0010593E" w:rsidP="001E4BC9">
      <w:pPr>
        <w:jc w:val="both"/>
        <w:rPr>
          <w:b/>
          <w:bCs/>
          <w:sz w:val="22"/>
          <w:szCs w:val="22"/>
          <w:lang w:val="en-US"/>
        </w:rPr>
      </w:pPr>
    </w:p>
    <w:p w14:paraId="7F9FB050" w14:textId="45E9AFC4" w:rsidR="001E4BC9" w:rsidRPr="0010593E" w:rsidRDefault="001E4BC9" w:rsidP="001E4BC9">
      <w:pPr>
        <w:jc w:val="both"/>
        <w:rPr>
          <w:sz w:val="22"/>
          <w:szCs w:val="22"/>
          <w:lang w:val="en-US"/>
        </w:rPr>
      </w:pPr>
      <w:r w:rsidRPr="0010593E">
        <w:rPr>
          <w:b/>
          <w:bCs/>
          <w:sz w:val="22"/>
          <w:szCs w:val="22"/>
          <w:lang w:val="en-US"/>
        </w:rPr>
        <w:t xml:space="preserve">Figure 3. </w:t>
      </w:r>
      <w:r w:rsidRPr="0010593E">
        <w:rPr>
          <w:sz w:val="22"/>
          <w:szCs w:val="22"/>
          <w:lang w:val="en-US"/>
        </w:rPr>
        <w:t>The medial border of the posterior portion of the amygdala to the hippocampal amygdaloid transition area (HATA) if found by outlining the grey matter and finding the shortest connection between the superomedial cerebrospinal fluid (CSF) of the endorhinal sulcus (es) and superior CSF of the temporal horn of the lateral ventricle (TLV).</w:t>
      </w:r>
    </w:p>
    <w:p w14:paraId="2C3BF68F" w14:textId="77777777" w:rsidR="001E4BC9" w:rsidRPr="0010593E" w:rsidRDefault="001E4BC9" w:rsidP="001E4BC9">
      <w:pPr>
        <w:jc w:val="both"/>
        <w:rPr>
          <w:sz w:val="6"/>
          <w:szCs w:val="6"/>
          <w:lang w:val="en-US"/>
        </w:rPr>
      </w:pPr>
    </w:p>
    <w:p w14:paraId="136E8B6B" w14:textId="77777777" w:rsidR="001E4BC9" w:rsidRPr="0010593E" w:rsidRDefault="001E4BC9" w:rsidP="001E4BC9">
      <w:pPr>
        <w:jc w:val="both"/>
        <w:rPr>
          <w:b/>
          <w:bCs/>
          <w:sz w:val="22"/>
          <w:szCs w:val="22"/>
          <w:lang w:val="en-US"/>
        </w:rPr>
      </w:pPr>
      <w:r w:rsidRPr="0010593E">
        <w:rPr>
          <w:b/>
          <w:bCs/>
          <w:noProof/>
          <w:sz w:val="22"/>
          <w:szCs w:val="22"/>
          <w:lang w:val="en-US"/>
        </w:rPr>
        <w:drawing>
          <wp:inline distT="0" distB="0" distL="0" distR="0" wp14:anchorId="5FFA05F9" wp14:editId="15C40B42">
            <wp:extent cx="5731510" cy="1910715"/>
            <wp:effectExtent l="0" t="0" r="0" b="0"/>
            <wp:docPr id="9" name="Picture 9" descr="A close up of a dog'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dog's 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12E73595" w14:textId="77777777" w:rsidR="001E4BC9" w:rsidRPr="0010593E" w:rsidRDefault="001E4BC9" w:rsidP="001E4BC9">
      <w:pPr>
        <w:jc w:val="both"/>
        <w:rPr>
          <w:b/>
          <w:bCs/>
          <w:sz w:val="6"/>
          <w:szCs w:val="6"/>
          <w:lang w:val="en-US"/>
        </w:rPr>
      </w:pPr>
    </w:p>
    <w:p w14:paraId="4AFF40F6" w14:textId="0B42DCE3" w:rsidR="001E4BC9" w:rsidRPr="0010593E" w:rsidRDefault="001E4BC9" w:rsidP="001E4BC9">
      <w:pPr>
        <w:jc w:val="both"/>
        <w:rPr>
          <w:color w:val="000000"/>
          <w:sz w:val="20"/>
          <w:szCs w:val="20"/>
          <w:lang w:val="en-US"/>
        </w:rPr>
      </w:pPr>
      <w:r w:rsidRPr="0010593E">
        <w:rPr>
          <w:i/>
          <w:iCs/>
          <w:sz w:val="20"/>
          <w:szCs w:val="20"/>
          <w:lang w:val="en-US"/>
        </w:rPr>
        <w:t>Abbreviations:</w:t>
      </w:r>
      <w:r w:rsidRPr="0010593E">
        <w:rPr>
          <w:b/>
          <w:bCs/>
          <w:sz w:val="20"/>
          <w:szCs w:val="20"/>
          <w:lang w:val="en-US"/>
        </w:rPr>
        <w:t xml:space="preserve"> </w:t>
      </w:r>
      <w:r w:rsidR="00293664">
        <w:rPr>
          <w:sz w:val="20"/>
          <w:szCs w:val="20"/>
          <w:lang w:val="en-US"/>
        </w:rPr>
        <w:t>AMY:</w:t>
      </w:r>
      <w:r w:rsidRPr="0010593E">
        <w:rPr>
          <w:sz w:val="20"/>
          <w:szCs w:val="20"/>
          <w:lang w:val="en-US"/>
        </w:rPr>
        <w:t xml:space="preserve"> amygdala; AStr: </w:t>
      </w:r>
      <w:r w:rsidRPr="0010593E">
        <w:rPr>
          <w:color w:val="000000"/>
          <w:sz w:val="20"/>
          <w:szCs w:val="20"/>
          <w:lang w:val="en-US"/>
        </w:rPr>
        <w:t>amygdalostriatal transition area; es: endorhinal sulcus; HATA: hippocampal amygdaloid transition area; HC: hippocampus; TLV: temporal horn of the lateral ventricle.</w:t>
      </w:r>
    </w:p>
    <w:p w14:paraId="3D6C012C" w14:textId="77777777" w:rsidR="001E4BC9" w:rsidRPr="0010593E" w:rsidRDefault="001E4BC9" w:rsidP="001E4BC9">
      <w:pPr>
        <w:jc w:val="both"/>
        <w:rPr>
          <w:b/>
          <w:bCs/>
          <w:sz w:val="22"/>
          <w:szCs w:val="22"/>
          <w:lang w:val="en-US"/>
        </w:rPr>
      </w:pPr>
    </w:p>
    <w:p w14:paraId="7375CCB9" w14:textId="77777777" w:rsidR="001E4BC9" w:rsidRPr="0010593E" w:rsidRDefault="001E4BC9" w:rsidP="001E4BC9">
      <w:pPr>
        <w:jc w:val="both"/>
        <w:rPr>
          <w:b/>
          <w:bCs/>
          <w:sz w:val="22"/>
          <w:szCs w:val="22"/>
          <w:lang w:val="en-US"/>
        </w:rPr>
      </w:pPr>
    </w:p>
    <w:p w14:paraId="093BC9F3" w14:textId="77777777" w:rsidR="001E4BC9" w:rsidRPr="0010593E" w:rsidRDefault="001E4BC9" w:rsidP="001E4BC9">
      <w:pPr>
        <w:jc w:val="both"/>
        <w:rPr>
          <w:sz w:val="22"/>
          <w:szCs w:val="22"/>
          <w:lang w:val="en-US"/>
        </w:rPr>
      </w:pPr>
      <w:r w:rsidRPr="0010593E">
        <w:rPr>
          <w:b/>
          <w:bCs/>
          <w:sz w:val="22"/>
          <w:szCs w:val="22"/>
          <w:lang w:val="en-US"/>
        </w:rPr>
        <w:t xml:space="preserve">Figure 4. </w:t>
      </w:r>
      <w:r w:rsidRPr="0010593E">
        <w:rPr>
          <w:sz w:val="22"/>
          <w:szCs w:val="22"/>
          <w:lang w:val="en-US"/>
        </w:rPr>
        <w:t>Lateral and superior border of the mid-portion of the amygdala showing differences in lateral borders and the superior white matter border. Panel A shows the biologically implausible bulge that should not be segmented as amygdala and in which case the white matter border is not followed (compared to panel B). This border is drawn so the putamen/peduncle of lentiform (PUV/PedL) is excluded (segmented in blue). Additionally, the medial white matter border of the amygdala which connects the semiannular sulcus and the temporal horn of the lateral ventricle is exemplified.</w:t>
      </w:r>
    </w:p>
    <w:p w14:paraId="55BF22C1" w14:textId="77777777" w:rsidR="001E4BC9" w:rsidRPr="0010593E" w:rsidRDefault="001E4BC9" w:rsidP="001E4BC9">
      <w:pPr>
        <w:jc w:val="both"/>
        <w:rPr>
          <w:sz w:val="6"/>
          <w:szCs w:val="6"/>
          <w:lang w:val="en-US"/>
        </w:rPr>
      </w:pPr>
    </w:p>
    <w:p w14:paraId="20A517CA" w14:textId="77777777" w:rsidR="001E4BC9" w:rsidRPr="0010593E" w:rsidRDefault="001E4BC9" w:rsidP="001E4BC9">
      <w:pPr>
        <w:jc w:val="both"/>
        <w:rPr>
          <w:sz w:val="22"/>
          <w:szCs w:val="22"/>
          <w:lang w:val="en-US"/>
        </w:rPr>
      </w:pPr>
      <w:r w:rsidRPr="0010593E">
        <w:rPr>
          <w:noProof/>
          <w:sz w:val="22"/>
          <w:szCs w:val="22"/>
          <w:lang w:val="en-US"/>
        </w:rPr>
        <w:drawing>
          <wp:inline distT="0" distB="0" distL="0" distR="0" wp14:anchorId="1CF0A8BD" wp14:editId="57861241">
            <wp:extent cx="5731510" cy="4068445"/>
            <wp:effectExtent l="0" t="0" r="0" b="0"/>
            <wp:docPr id="7" name="Picture 7" descr="A collage of images of a human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ollage of images of a human brai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068445"/>
                    </a:xfrm>
                    <a:prstGeom prst="rect">
                      <a:avLst/>
                    </a:prstGeom>
                  </pic:spPr>
                </pic:pic>
              </a:graphicData>
            </a:graphic>
          </wp:inline>
        </w:drawing>
      </w:r>
    </w:p>
    <w:p w14:paraId="788E5368" w14:textId="77777777" w:rsidR="001E4BC9" w:rsidRPr="0010593E" w:rsidRDefault="001E4BC9" w:rsidP="001E4BC9">
      <w:pPr>
        <w:jc w:val="both"/>
        <w:rPr>
          <w:sz w:val="6"/>
          <w:szCs w:val="6"/>
          <w:lang w:val="en-US"/>
        </w:rPr>
      </w:pPr>
    </w:p>
    <w:p w14:paraId="0722B160" w14:textId="4277A3A3" w:rsidR="001E4BC9" w:rsidRPr="0010593E" w:rsidRDefault="001E4BC9" w:rsidP="001E4BC9">
      <w:pPr>
        <w:jc w:val="both"/>
        <w:rPr>
          <w:color w:val="000000"/>
          <w:sz w:val="20"/>
          <w:szCs w:val="20"/>
          <w:lang w:val="en-US"/>
        </w:rPr>
      </w:pPr>
      <w:r w:rsidRPr="0010593E">
        <w:rPr>
          <w:i/>
          <w:iCs/>
          <w:sz w:val="20"/>
          <w:szCs w:val="20"/>
          <w:lang w:val="en-US"/>
        </w:rPr>
        <w:t>Abbreviations:</w:t>
      </w:r>
      <w:r w:rsidRPr="0010593E">
        <w:rPr>
          <w:b/>
          <w:bCs/>
          <w:sz w:val="20"/>
          <w:szCs w:val="20"/>
          <w:lang w:val="en-US"/>
        </w:rPr>
        <w:t xml:space="preserve"> </w:t>
      </w:r>
      <w:r w:rsidR="00293664">
        <w:rPr>
          <w:sz w:val="20"/>
          <w:szCs w:val="20"/>
          <w:lang w:val="en-US"/>
        </w:rPr>
        <w:t>AMY:</w:t>
      </w:r>
      <w:r w:rsidRPr="0010593E">
        <w:rPr>
          <w:sz w:val="20"/>
          <w:szCs w:val="20"/>
          <w:lang w:val="en-US"/>
        </w:rPr>
        <w:t xml:space="preserve"> amygdala; </w:t>
      </w:r>
      <w:r w:rsidRPr="0010593E">
        <w:rPr>
          <w:color w:val="000000"/>
          <w:sz w:val="20"/>
          <w:szCs w:val="20"/>
          <w:lang w:val="en-US"/>
        </w:rPr>
        <w:t>es: endorhinal sulcus; HC: hippocampus; sas: semiannular sulcus; TLV: temporal horn of the lateral ventricle.</w:t>
      </w:r>
    </w:p>
    <w:p w14:paraId="2F2F72E6" w14:textId="77777777" w:rsidR="0010593E" w:rsidRPr="0010593E" w:rsidRDefault="0010593E" w:rsidP="001E4BC9">
      <w:pPr>
        <w:rPr>
          <w:b/>
          <w:bCs/>
          <w:sz w:val="22"/>
          <w:szCs w:val="22"/>
          <w:lang w:val="en-US"/>
        </w:rPr>
      </w:pPr>
    </w:p>
    <w:p w14:paraId="2097DC11" w14:textId="77777777" w:rsidR="0010593E" w:rsidRPr="0010593E" w:rsidRDefault="0010593E">
      <w:pPr>
        <w:rPr>
          <w:b/>
          <w:bCs/>
          <w:sz w:val="22"/>
          <w:szCs w:val="22"/>
          <w:lang w:val="en-US"/>
        </w:rPr>
      </w:pPr>
      <w:r w:rsidRPr="0010593E">
        <w:rPr>
          <w:b/>
          <w:bCs/>
          <w:sz w:val="22"/>
          <w:szCs w:val="22"/>
          <w:lang w:val="en-US"/>
        </w:rPr>
        <w:br w:type="page"/>
      </w:r>
    </w:p>
    <w:p w14:paraId="1D8F9240" w14:textId="77777777" w:rsidR="0010593E" w:rsidRPr="0010593E" w:rsidRDefault="0010593E" w:rsidP="001E4BC9">
      <w:pPr>
        <w:rPr>
          <w:b/>
          <w:bCs/>
          <w:sz w:val="22"/>
          <w:szCs w:val="22"/>
          <w:lang w:val="en-US"/>
        </w:rPr>
      </w:pPr>
    </w:p>
    <w:p w14:paraId="68110394" w14:textId="77777777" w:rsidR="0010593E" w:rsidRPr="0010593E" w:rsidRDefault="0010593E" w:rsidP="001E4BC9">
      <w:pPr>
        <w:rPr>
          <w:b/>
          <w:bCs/>
          <w:sz w:val="22"/>
          <w:szCs w:val="22"/>
          <w:lang w:val="en-US"/>
        </w:rPr>
      </w:pPr>
    </w:p>
    <w:p w14:paraId="27D7963D" w14:textId="27EA7180" w:rsidR="001E4BC9" w:rsidRPr="0010593E" w:rsidRDefault="001E4BC9" w:rsidP="001E4BC9">
      <w:pPr>
        <w:rPr>
          <w:sz w:val="22"/>
          <w:szCs w:val="22"/>
          <w:lang w:val="en-US"/>
        </w:rPr>
      </w:pPr>
      <w:r w:rsidRPr="0010593E">
        <w:rPr>
          <w:b/>
          <w:bCs/>
          <w:sz w:val="22"/>
          <w:szCs w:val="22"/>
          <w:lang w:val="en-US"/>
        </w:rPr>
        <w:t xml:space="preserve">Figure 5. </w:t>
      </w:r>
      <w:r w:rsidRPr="0010593E">
        <w:rPr>
          <w:sz w:val="22"/>
          <w:szCs w:val="22"/>
          <w:lang w:val="en-US"/>
        </w:rPr>
        <w:t>The medial border of the anterior portion of the amygdala follows the white matter border from the semiannular sulcus to the parahippocampal white matter.</w:t>
      </w:r>
    </w:p>
    <w:p w14:paraId="14AB77CE" w14:textId="77777777" w:rsidR="001E4BC9" w:rsidRPr="0010593E" w:rsidRDefault="001E4BC9" w:rsidP="001E4BC9">
      <w:pPr>
        <w:rPr>
          <w:sz w:val="6"/>
          <w:szCs w:val="6"/>
          <w:lang w:val="en-US"/>
        </w:rPr>
      </w:pPr>
    </w:p>
    <w:p w14:paraId="111FE4EB" w14:textId="77777777" w:rsidR="001E4BC9" w:rsidRPr="0010593E" w:rsidRDefault="001E4BC9" w:rsidP="001E4BC9">
      <w:pPr>
        <w:rPr>
          <w:sz w:val="22"/>
          <w:szCs w:val="22"/>
          <w:lang w:val="en-US"/>
        </w:rPr>
      </w:pPr>
      <w:r w:rsidRPr="0010593E">
        <w:rPr>
          <w:noProof/>
          <w:sz w:val="22"/>
          <w:szCs w:val="22"/>
          <w:lang w:val="en-US"/>
        </w:rPr>
        <w:drawing>
          <wp:inline distT="0" distB="0" distL="0" distR="0" wp14:anchorId="4D773F46" wp14:editId="72C33D57">
            <wp:extent cx="5731510" cy="1906905"/>
            <wp:effectExtent l="0" t="0" r="0" b="0"/>
            <wp:docPr id="6" name="Picture 6" descr="A close-up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person's 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906905"/>
                    </a:xfrm>
                    <a:prstGeom prst="rect">
                      <a:avLst/>
                    </a:prstGeom>
                  </pic:spPr>
                </pic:pic>
              </a:graphicData>
            </a:graphic>
          </wp:inline>
        </w:drawing>
      </w:r>
    </w:p>
    <w:p w14:paraId="0F9DBF00" w14:textId="77777777" w:rsidR="001E4BC9" w:rsidRPr="0010593E" w:rsidRDefault="001E4BC9" w:rsidP="001E4BC9">
      <w:pPr>
        <w:rPr>
          <w:sz w:val="6"/>
          <w:szCs w:val="6"/>
          <w:lang w:val="en-US"/>
        </w:rPr>
      </w:pPr>
    </w:p>
    <w:p w14:paraId="31B51C3F" w14:textId="1F7DFB5D" w:rsidR="001E4BC9" w:rsidRPr="0010593E" w:rsidRDefault="001E4BC9" w:rsidP="001E4BC9">
      <w:pPr>
        <w:jc w:val="both"/>
        <w:rPr>
          <w:color w:val="000000"/>
          <w:sz w:val="20"/>
          <w:szCs w:val="20"/>
          <w:lang w:val="en-US"/>
        </w:rPr>
      </w:pPr>
      <w:r w:rsidRPr="0010593E">
        <w:rPr>
          <w:i/>
          <w:iCs/>
          <w:sz w:val="20"/>
          <w:szCs w:val="20"/>
          <w:lang w:val="en-US"/>
        </w:rPr>
        <w:t>Abbreviations:</w:t>
      </w:r>
      <w:r w:rsidRPr="0010593E">
        <w:rPr>
          <w:b/>
          <w:bCs/>
          <w:sz w:val="20"/>
          <w:szCs w:val="20"/>
          <w:lang w:val="en-US"/>
        </w:rPr>
        <w:t xml:space="preserve"> </w:t>
      </w:r>
      <w:r w:rsidR="00293664">
        <w:rPr>
          <w:sz w:val="20"/>
          <w:szCs w:val="20"/>
          <w:lang w:val="en-US"/>
        </w:rPr>
        <w:t>AMY:</w:t>
      </w:r>
      <w:r w:rsidRPr="0010593E">
        <w:rPr>
          <w:sz w:val="20"/>
          <w:szCs w:val="20"/>
          <w:lang w:val="en-US"/>
        </w:rPr>
        <w:t xml:space="preserve"> amygdala; </w:t>
      </w:r>
      <w:r w:rsidRPr="0010593E">
        <w:rPr>
          <w:color w:val="000000"/>
          <w:sz w:val="20"/>
          <w:szCs w:val="20"/>
          <w:lang w:val="en-US"/>
        </w:rPr>
        <w:t>ES: endorhinal sulcu; sas: semiannular sulcus.</w:t>
      </w:r>
    </w:p>
    <w:p w14:paraId="0C096E0A" w14:textId="01D4C79E" w:rsidR="001E4BC9" w:rsidRPr="0010593E" w:rsidRDefault="001E4BC9" w:rsidP="001E4BC9">
      <w:pPr>
        <w:rPr>
          <w:sz w:val="22"/>
          <w:szCs w:val="22"/>
          <w:lang w:val="en-US"/>
        </w:rPr>
      </w:pPr>
      <w:r w:rsidRPr="0010593E">
        <w:rPr>
          <w:b/>
          <w:bCs/>
          <w:noProof/>
          <w:sz w:val="22"/>
          <w:szCs w:val="22"/>
          <w:lang w:val="en-US"/>
        </w:rPr>
        <mc:AlternateContent>
          <mc:Choice Requires="wps">
            <w:drawing>
              <wp:anchor distT="0" distB="0" distL="114300" distR="114300" simplePos="0" relativeHeight="251659264" behindDoc="0" locked="0" layoutInCell="1" allowOverlap="1" wp14:anchorId="639DFF21" wp14:editId="5AFAB47D">
                <wp:simplePos x="0" y="0"/>
                <wp:positionH relativeFrom="column">
                  <wp:posOffset>1356995</wp:posOffset>
                </wp:positionH>
                <wp:positionV relativeFrom="paragraph">
                  <wp:posOffset>218440</wp:posOffset>
                </wp:positionV>
                <wp:extent cx="264795" cy="138430"/>
                <wp:effectExtent l="0" t="0" r="0" b="0"/>
                <wp:wrapNone/>
                <wp:docPr id="191" name="TextBox 50"/>
                <wp:cNvGraphicFramePr/>
                <a:graphic xmlns:a="http://schemas.openxmlformats.org/drawingml/2006/main">
                  <a:graphicData uri="http://schemas.microsoft.com/office/word/2010/wordprocessingShape">
                    <wps:wsp>
                      <wps:cNvSpPr txBox="1"/>
                      <wps:spPr>
                        <a:xfrm>
                          <a:off x="0" y="0"/>
                          <a:ext cx="264795" cy="138430"/>
                        </a:xfrm>
                        <a:prstGeom prst="rect">
                          <a:avLst/>
                        </a:prstGeom>
                        <a:noFill/>
                      </wps:spPr>
                      <wps:txbx>
                        <w:txbxContent>
                          <w:p w14:paraId="0B6A2518" w14:textId="77777777" w:rsidR="001E4BC9" w:rsidRDefault="001E4BC9" w:rsidP="001E4BC9">
                            <w:pPr>
                              <w:rPr>
                                <w:rFonts w:ascii="Arial" w:hAnsi="Arial" w:cs="Arial"/>
                                <w:color w:val="FFFFFF" w:themeColor="background1"/>
                                <w:kern w:val="24"/>
                                <w:sz w:val="6"/>
                                <w:szCs w:val="6"/>
                                <w:lang w:val="en-US"/>
                              </w:rPr>
                            </w:pPr>
                            <w:r>
                              <w:rPr>
                                <w:rFonts w:ascii="Arial" w:hAnsi="Arial" w:cs="Arial"/>
                                <w:color w:val="FFFFFF" w:themeColor="background1"/>
                                <w:kern w:val="24"/>
                                <w:sz w:val="6"/>
                                <w:szCs w:val="6"/>
                                <w:lang w:val="en-US"/>
                              </w:rPr>
                              <w:t>ERC</w:t>
                            </w:r>
                          </w:p>
                        </w:txbxContent>
                      </wps:txbx>
                      <wps:bodyPr wrap="square" rtlCol="0">
                        <a:spAutoFit/>
                      </wps:bodyPr>
                    </wps:wsp>
                  </a:graphicData>
                </a:graphic>
              </wp:anchor>
            </w:drawing>
          </mc:Choice>
          <mc:Fallback>
            <w:pict>
              <v:shapetype w14:anchorId="639DFF21" id="_x0000_t202" coordsize="21600,21600" o:spt="202" path="m,l,21600r21600,l21600,xe">
                <v:stroke joinstyle="miter"/>
                <v:path gradientshapeok="t" o:connecttype="rect"/>
              </v:shapetype>
              <v:shape id="TextBox 50" o:spid="_x0000_s1026" type="#_x0000_t202" style="position:absolute;margin-left:106.85pt;margin-top:17.2pt;width:20.85pt;height:1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" filled="f" stroked="f">
                <v:textbox style="mso-fit-shape-to-text:t">
                  <w:txbxContent>
                    <w:p w14:paraId="0B6A2518" w14:textId="77777777" w:rsidR="001E4BC9" w:rsidRDefault="001E4BC9" w:rsidP="001E4BC9">
                      <w:pPr>
                        <w:rPr>
                          <w:rFonts w:ascii="Arial" w:hAnsi="Arial" w:cs="Arial"/>
                          <w:color w:val="FFFFFF" w:themeColor="background1"/>
                          <w:kern w:val="24"/>
                          <w:sz w:val="6"/>
                          <w:szCs w:val="6"/>
                          <w:lang w:val="en-US"/>
                        </w:rPr>
                      </w:pPr>
                      <w:r>
                        <w:rPr>
                          <w:rFonts w:ascii="Arial" w:hAnsi="Arial" w:cs="Arial"/>
                          <w:color w:val="FFFFFF" w:themeColor="background1"/>
                          <w:kern w:val="24"/>
                          <w:sz w:val="6"/>
                          <w:szCs w:val="6"/>
                          <w:lang w:val="en-US"/>
                        </w:rPr>
                        <w:t>ERC</w:t>
                      </w:r>
                    </w:p>
                  </w:txbxContent>
                </v:textbox>
              </v:shape>
            </w:pict>
          </mc:Fallback>
        </mc:AlternateContent>
      </w:r>
    </w:p>
    <w:p w14:paraId="60CF1E3E" w14:textId="77777777" w:rsidR="001E4BC9" w:rsidRPr="0010593E" w:rsidRDefault="001E4BC9" w:rsidP="001E4BC9">
      <w:pPr>
        <w:rPr>
          <w:sz w:val="22"/>
          <w:szCs w:val="22"/>
          <w:lang w:val="en-US"/>
        </w:rPr>
      </w:pPr>
    </w:p>
    <w:p w14:paraId="04C81B9A" w14:textId="77777777" w:rsidR="001E4BC9" w:rsidRPr="0010593E" w:rsidRDefault="001E4BC9" w:rsidP="001E4BC9">
      <w:pPr>
        <w:rPr>
          <w:sz w:val="22"/>
          <w:szCs w:val="22"/>
          <w:lang w:val="en-US"/>
        </w:rPr>
      </w:pPr>
      <w:r w:rsidRPr="0010593E">
        <w:rPr>
          <w:b/>
          <w:bCs/>
          <w:sz w:val="22"/>
          <w:szCs w:val="22"/>
          <w:lang w:val="en-US"/>
        </w:rPr>
        <w:t>Figure 6.</w:t>
      </w:r>
      <w:r w:rsidRPr="0010593E">
        <w:rPr>
          <w:sz w:val="22"/>
          <w:szCs w:val="22"/>
          <w:lang w:val="en-US"/>
        </w:rPr>
        <w:t xml:space="preserve"> The preamygdalar claustrum (PACI), which is highlighted with the white circle is grey matter in the anterior portion of the amygdala which should be excluded from the amygdala segmentation.</w:t>
      </w:r>
    </w:p>
    <w:p w14:paraId="0BD785B7" w14:textId="77777777" w:rsidR="001E4BC9" w:rsidRPr="0010593E" w:rsidRDefault="001E4BC9" w:rsidP="001E4BC9">
      <w:pPr>
        <w:rPr>
          <w:sz w:val="6"/>
          <w:szCs w:val="6"/>
          <w:lang w:val="en-US"/>
        </w:rPr>
      </w:pPr>
    </w:p>
    <w:p w14:paraId="66317BBE" w14:textId="77777777" w:rsidR="001E4BC9" w:rsidRPr="0010593E" w:rsidRDefault="001E4BC9" w:rsidP="001E4BC9">
      <w:pPr>
        <w:rPr>
          <w:sz w:val="22"/>
          <w:szCs w:val="22"/>
          <w:lang w:val="en-US"/>
        </w:rPr>
      </w:pPr>
      <w:r w:rsidRPr="0010593E">
        <w:rPr>
          <w:noProof/>
          <w:sz w:val="22"/>
          <w:szCs w:val="22"/>
          <w:lang w:val="en-US"/>
        </w:rPr>
        <w:drawing>
          <wp:inline distT="0" distB="0" distL="0" distR="0" wp14:anchorId="36769A40" wp14:editId="7F0866AF">
            <wp:extent cx="5731510" cy="1910715"/>
            <wp:effectExtent l="0" t="0" r="0" b="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1365260E" w14:textId="77777777" w:rsidR="001E4BC9" w:rsidRPr="0010593E" w:rsidRDefault="001E4BC9" w:rsidP="001E4BC9">
      <w:pPr>
        <w:rPr>
          <w:sz w:val="6"/>
          <w:szCs w:val="6"/>
          <w:lang w:val="en-US"/>
        </w:rPr>
      </w:pPr>
    </w:p>
    <w:bookmarkEnd w:id="12"/>
    <w:p w14:paraId="2A71AE7F" w14:textId="2B8EB925" w:rsidR="001E4BC9" w:rsidRPr="0010593E" w:rsidRDefault="001E4BC9" w:rsidP="001E4BC9">
      <w:pPr>
        <w:rPr>
          <w:color w:val="000000"/>
          <w:sz w:val="20"/>
          <w:szCs w:val="20"/>
          <w:lang w:val="en-US"/>
        </w:rPr>
      </w:pPr>
      <w:r w:rsidRPr="0010593E">
        <w:rPr>
          <w:i/>
          <w:iCs/>
          <w:sz w:val="20"/>
          <w:szCs w:val="20"/>
          <w:lang w:val="en-US"/>
        </w:rPr>
        <w:t>Abbreviations:</w:t>
      </w:r>
      <w:r w:rsidRPr="0010593E">
        <w:rPr>
          <w:b/>
          <w:bCs/>
          <w:sz w:val="20"/>
          <w:szCs w:val="20"/>
          <w:lang w:val="en-US"/>
        </w:rPr>
        <w:t xml:space="preserve"> </w:t>
      </w:r>
      <w:r w:rsidR="00293664">
        <w:rPr>
          <w:sz w:val="20"/>
          <w:szCs w:val="20"/>
          <w:lang w:val="en-US"/>
        </w:rPr>
        <w:t>AMY:</w:t>
      </w:r>
      <w:r w:rsidRPr="0010593E">
        <w:rPr>
          <w:sz w:val="20"/>
          <w:szCs w:val="20"/>
          <w:lang w:val="en-US"/>
        </w:rPr>
        <w:t xml:space="preserve"> amygdala; </w:t>
      </w:r>
      <w:r w:rsidRPr="0010593E">
        <w:rPr>
          <w:color w:val="000000"/>
          <w:sz w:val="20"/>
          <w:szCs w:val="20"/>
          <w:lang w:val="en-US"/>
        </w:rPr>
        <w:t>ERC: entorhinal cortex; PACI: preamygdalar claustrum.</w:t>
      </w:r>
    </w:p>
    <w:p w14:paraId="663FF595" w14:textId="77777777" w:rsidR="001E4BC9" w:rsidRPr="0010593E" w:rsidRDefault="001E4BC9" w:rsidP="001E4BC9">
      <w:pPr>
        <w:rPr>
          <w:b/>
          <w:bCs/>
          <w:sz w:val="22"/>
          <w:szCs w:val="22"/>
          <w:lang w:val="en-US"/>
        </w:rPr>
      </w:pPr>
    </w:p>
    <w:p w14:paraId="3EBD3EDA" w14:textId="77777777" w:rsidR="001E4BC9" w:rsidRPr="0010593E" w:rsidRDefault="001E4BC9" w:rsidP="001E4BC9">
      <w:pPr>
        <w:rPr>
          <w:b/>
          <w:bCs/>
          <w:sz w:val="22"/>
          <w:szCs w:val="22"/>
          <w:lang w:val="en-US"/>
        </w:rPr>
      </w:pPr>
    </w:p>
    <w:p w14:paraId="2775806B" w14:textId="77777777" w:rsidR="001E4BC9" w:rsidRPr="0010593E" w:rsidRDefault="001E4BC9" w:rsidP="001E4BC9">
      <w:pPr>
        <w:rPr>
          <w:b/>
          <w:bCs/>
          <w:sz w:val="22"/>
          <w:szCs w:val="22"/>
          <w:lang w:val="en-US"/>
        </w:rPr>
      </w:pPr>
    </w:p>
    <w:p w14:paraId="0C91F686" w14:textId="77777777" w:rsidR="001E4BC9" w:rsidRPr="0010593E" w:rsidRDefault="001E4BC9">
      <w:pPr>
        <w:rPr>
          <w:b/>
          <w:bCs/>
          <w:sz w:val="22"/>
          <w:szCs w:val="22"/>
          <w:lang w:val="en-US"/>
        </w:rPr>
      </w:pPr>
      <w:r w:rsidRPr="0010593E">
        <w:rPr>
          <w:b/>
          <w:bCs/>
          <w:sz w:val="22"/>
          <w:szCs w:val="22"/>
          <w:lang w:val="en-US"/>
        </w:rPr>
        <w:br w:type="page"/>
      </w:r>
    </w:p>
    <w:p w14:paraId="1AC735A3" w14:textId="77777777" w:rsidR="0010593E" w:rsidRPr="0010593E" w:rsidRDefault="0010593E" w:rsidP="001E4BC9">
      <w:pPr>
        <w:rPr>
          <w:b/>
          <w:bCs/>
          <w:sz w:val="22"/>
          <w:szCs w:val="22"/>
          <w:lang w:val="en-US"/>
        </w:rPr>
      </w:pPr>
    </w:p>
    <w:p w14:paraId="2082B73B" w14:textId="77777777" w:rsidR="0010593E" w:rsidRPr="0010593E" w:rsidRDefault="0010593E" w:rsidP="001E4BC9">
      <w:pPr>
        <w:rPr>
          <w:b/>
          <w:bCs/>
          <w:sz w:val="22"/>
          <w:szCs w:val="22"/>
          <w:lang w:val="en-US"/>
        </w:rPr>
      </w:pPr>
    </w:p>
    <w:p w14:paraId="36D97AB2" w14:textId="77777777" w:rsidR="0010593E" w:rsidRPr="0010593E" w:rsidRDefault="0010593E" w:rsidP="001E4BC9">
      <w:pPr>
        <w:rPr>
          <w:b/>
          <w:bCs/>
          <w:sz w:val="22"/>
          <w:szCs w:val="22"/>
          <w:lang w:val="en-US"/>
        </w:rPr>
      </w:pPr>
    </w:p>
    <w:p w14:paraId="61CC4436" w14:textId="51BC10B3" w:rsidR="001E4BC9" w:rsidRPr="0010593E" w:rsidRDefault="001E4BC9" w:rsidP="001E4BC9">
      <w:pPr>
        <w:rPr>
          <w:sz w:val="22"/>
          <w:szCs w:val="22"/>
          <w:lang w:val="en-US"/>
        </w:rPr>
      </w:pPr>
      <w:r w:rsidRPr="0010593E">
        <w:rPr>
          <w:b/>
          <w:bCs/>
          <w:sz w:val="22"/>
          <w:szCs w:val="22"/>
          <w:lang w:val="en-US"/>
        </w:rPr>
        <w:t xml:space="preserve">Figure 7. </w:t>
      </w:r>
      <w:r w:rsidRPr="0010593E">
        <w:rPr>
          <w:sz w:val="22"/>
          <w:szCs w:val="22"/>
          <w:lang w:val="en-US"/>
        </w:rPr>
        <w:t>The most anterior slice of the left (A) and right (B) amygdala is the last slice where the grey matter of the amygdala is seen and the white matter of the parahippocampal gyrus occurs in its place on the immediate anterior slice (purple line in A.3-4 and B.3-4). Note that the images do not capture the boundaries as well as moving between the slices in ITK-SNAP.</w:t>
      </w:r>
    </w:p>
    <w:p w14:paraId="7461C66C" w14:textId="77777777" w:rsidR="001E4BC9" w:rsidRPr="0010593E" w:rsidRDefault="001E4BC9" w:rsidP="001E4BC9">
      <w:pPr>
        <w:rPr>
          <w:sz w:val="6"/>
          <w:szCs w:val="6"/>
          <w:lang w:val="en-US"/>
        </w:rPr>
      </w:pPr>
    </w:p>
    <w:p w14:paraId="66061245" w14:textId="77777777" w:rsidR="001E4BC9" w:rsidRPr="0010593E" w:rsidRDefault="001E4BC9" w:rsidP="001E4BC9">
      <w:pPr>
        <w:rPr>
          <w:sz w:val="6"/>
          <w:szCs w:val="6"/>
          <w:lang w:val="en-US"/>
        </w:rPr>
      </w:pPr>
    </w:p>
    <w:p w14:paraId="11F7D6C8" w14:textId="77777777" w:rsidR="001E4BC9" w:rsidRPr="0010593E" w:rsidRDefault="001E4BC9" w:rsidP="001E4BC9">
      <w:pPr>
        <w:rPr>
          <w:sz w:val="22"/>
          <w:szCs w:val="22"/>
          <w:lang w:val="en-US"/>
        </w:rPr>
      </w:pPr>
      <w:r w:rsidRPr="0010593E">
        <w:rPr>
          <w:noProof/>
          <w:sz w:val="22"/>
          <w:szCs w:val="22"/>
          <w:lang w:val="en-US"/>
        </w:rPr>
        <w:drawing>
          <wp:inline distT="0" distB="0" distL="0" distR="0" wp14:anchorId="005834D3" wp14:editId="52EF2FD5">
            <wp:extent cx="5731510" cy="6035675"/>
            <wp:effectExtent l="0" t="0" r="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6035675"/>
                    </a:xfrm>
                    <a:prstGeom prst="rect">
                      <a:avLst/>
                    </a:prstGeom>
                  </pic:spPr>
                </pic:pic>
              </a:graphicData>
            </a:graphic>
          </wp:inline>
        </w:drawing>
      </w:r>
    </w:p>
    <w:p w14:paraId="6BF777D7" w14:textId="77777777" w:rsidR="001E4BC9" w:rsidRPr="0010593E" w:rsidRDefault="001E4BC9" w:rsidP="001E4BC9">
      <w:pPr>
        <w:rPr>
          <w:sz w:val="6"/>
          <w:szCs w:val="6"/>
          <w:lang w:val="en-US"/>
        </w:rPr>
      </w:pPr>
    </w:p>
    <w:p w14:paraId="0FBD745C" w14:textId="3FE221F2" w:rsidR="001E4BC9" w:rsidRPr="0010593E" w:rsidRDefault="001E4BC9" w:rsidP="001E4BC9">
      <w:pPr>
        <w:rPr>
          <w:color w:val="000000"/>
          <w:sz w:val="22"/>
          <w:szCs w:val="22"/>
          <w:lang w:val="en-US"/>
        </w:rPr>
      </w:pPr>
      <w:r w:rsidRPr="0010593E">
        <w:rPr>
          <w:i/>
          <w:iCs/>
          <w:sz w:val="22"/>
          <w:szCs w:val="22"/>
          <w:lang w:val="en-US"/>
        </w:rPr>
        <w:t>Abbreviations:</w:t>
      </w:r>
      <w:r w:rsidRPr="0010593E">
        <w:rPr>
          <w:b/>
          <w:bCs/>
          <w:sz w:val="22"/>
          <w:szCs w:val="22"/>
          <w:lang w:val="en-US"/>
        </w:rPr>
        <w:t xml:space="preserve"> </w:t>
      </w:r>
      <w:r w:rsidR="00293664">
        <w:rPr>
          <w:sz w:val="22"/>
          <w:szCs w:val="22"/>
          <w:lang w:val="en-US"/>
        </w:rPr>
        <w:t>AMY:</w:t>
      </w:r>
      <w:r w:rsidRPr="0010593E">
        <w:rPr>
          <w:sz w:val="22"/>
          <w:szCs w:val="22"/>
          <w:lang w:val="en-US"/>
        </w:rPr>
        <w:t xml:space="preserve"> amygdala; </w:t>
      </w:r>
      <w:r w:rsidRPr="0010593E">
        <w:rPr>
          <w:color w:val="000000"/>
          <w:sz w:val="22"/>
          <w:szCs w:val="22"/>
          <w:lang w:val="en-US"/>
        </w:rPr>
        <w:t>ERC: entorhinal cortex; PAM: periamygdaloid cortex; PirT: piriform cortex, temporal pole.</w:t>
      </w:r>
    </w:p>
    <w:p w14:paraId="7225ADA2" w14:textId="77777777" w:rsidR="001E4BC9" w:rsidRPr="0010593E" w:rsidRDefault="001E4BC9" w:rsidP="001E4BC9">
      <w:pPr>
        <w:rPr>
          <w:sz w:val="22"/>
          <w:szCs w:val="22"/>
          <w:lang w:val="en-US"/>
        </w:rPr>
      </w:pPr>
    </w:p>
    <w:p w14:paraId="2A83133E" w14:textId="77777777" w:rsidR="001E4BC9" w:rsidRPr="0010593E" w:rsidRDefault="001E4BC9" w:rsidP="001E4BC9">
      <w:pPr>
        <w:rPr>
          <w:sz w:val="22"/>
          <w:szCs w:val="22"/>
          <w:lang w:val="en-US"/>
        </w:rPr>
      </w:pPr>
    </w:p>
    <w:p w14:paraId="018600E0" w14:textId="77777777" w:rsidR="001E4BC9" w:rsidRPr="0010593E" w:rsidRDefault="001E4BC9" w:rsidP="001E4BC9">
      <w:pPr>
        <w:rPr>
          <w:sz w:val="22"/>
          <w:szCs w:val="22"/>
          <w:lang w:val="en-US"/>
        </w:rPr>
      </w:pPr>
    </w:p>
    <w:p w14:paraId="0CDC5291" w14:textId="77777777" w:rsidR="001E4BC9" w:rsidRPr="0010593E" w:rsidRDefault="001E4BC9" w:rsidP="001E4BC9">
      <w:pPr>
        <w:rPr>
          <w:sz w:val="22"/>
          <w:szCs w:val="22"/>
          <w:lang w:val="en-US"/>
        </w:rPr>
      </w:pPr>
    </w:p>
    <w:p w14:paraId="7B583933" w14:textId="77777777" w:rsidR="001E4BC9" w:rsidRPr="0010593E" w:rsidRDefault="001E4BC9" w:rsidP="001E4BC9">
      <w:pPr>
        <w:rPr>
          <w:sz w:val="22"/>
          <w:szCs w:val="22"/>
          <w:lang w:val="en-US"/>
        </w:rPr>
      </w:pPr>
    </w:p>
    <w:p w14:paraId="02974B89" w14:textId="77777777" w:rsidR="001E4BC9" w:rsidRPr="0010593E" w:rsidRDefault="001E4BC9" w:rsidP="001E4BC9">
      <w:pPr>
        <w:rPr>
          <w:sz w:val="22"/>
          <w:szCs w:val="22"/>
          <w:lang w:val="en-US"/>
        </w:rPr>
      </w:pPr>
    </w:p>
    <w:p w14:paraId="01397528" w14:textId="77777777" w:rsidR="001E4BC9" w:rsidRPr="0010593E" w:rsidRDefault="001E4BC9" w:rsidP="001E4BC9">
      <w:pPr>
        <w:rPr>
          <w:sz w:val="22"/>
          <w:szCs w:val="22"/>
          <w:lang w:val="en-US"/>
        </w:rPr>
      </w:pPr>
    </w:p>
    <w:p w14:paraId="14501D5C" w14:textId="77777777" w:rsidR="001E4BC9" w:rsidRPr="0010593E" w:rsidRDefault="001E4BC9" w:rsidP="001E4BC9">
      <w:pPr>
        <w:rPr>
          <w:sz w:val="22"/>
          <w:szCs w:val="22"/>
          <w:lang w:val="en-US"/>
        </w:rPr>
      </w:pPr>
    </w:p>
    <w:p w14:paraId="608301C5" w14:textId="77777777" w:rsidR="001E4BC9" w:rsidRPr="0010593E" w:rsidRDefault="001E4BC9" w:rsidP="001E4BC9">
      <w:pPr>
        <w:rPr>
          <w:sz w:val="22"/>
          <w:szCs w:val="22"/>
          <w:lang w:val="en-US"/>
        </w:rPr>
      </w:pPr>
    </w:p>
    <w:p w14:paraId="1CE7C7DA" w14:textId="77777777" w:rsidR="001E4BC9" w:rsidRPr="0010593E" w:rsidRDefault="001E4BC9" w:rsidP="001E4BC9">
      <w:pPr>
        <w:rPr>
          <w:sz w:val="22"/>
          <w:szCs w:val="22"/>
          <w:lang w:val="en-US"/>
        </w:rPr>
      </w:pPr>
    </w:p>
    <w:p w14:paraId="02EAC7B9" w14:textId="77777777" w:rsidR="001E4BC9" w:rsidRPr="0010593E" w:rsidRDefault="001E4BC9" w:rsidP="001E4BC9">
      <w:pPr>
        <w:rPr>
          <w:sz w:val="22"/>
          <w:szCs w:val="22"/>
          <w:lang w:val="en-US"/>
        </w:rPr>
      </w:pPr>
    </w:p>
    <w:p w14:paraId="03FCA94D" w14:textId="77777777" w:rsidR="001E4BC9" w:rsidRPr="0010593E" w:rsidRDefault="001E4BC9" w:rsidP="001E4BC9">
      <w:pPr>
        <w:rPr>
          <w:sz w:val="22"/>
          <w:szCs w:val="22"/>
          <w:lang w:val="en-US"/>
        </w:rPr>
      </w:pPr>
    </w:p>
    <w:p w14:paraId="7EB1B5CF" w14:textId="77777777" w:rsidR="0010593E" w:rsidRPr="0010593E" w:rsidRDefault="0010593E" w:rsidP="001E4BC9">
      <w:pPr>
        <w:rPr>
          <w:b/>
          <w:bCs/>
          <w:sz w:val="22"/>
          <w:szCs w:val="22"/>
          <w:lang w:val="en-US"/>
        </w:rPr>
      </w:pPr>
    </w:p>
    <w:p w14:paraId="7E6B37D9" w14:textId="77777777" w:rsidR="0010593E" w:rsidRPr="0010593E" w:rsidRDefault="0010593E" w:rsidP="001E4BC9">
      <w:pPr>
        <w:rPr>
          <w:b/>
          <w:bCs/>
          <w:sz w:val="22"/>
          <w:szCs w:val="22"/>
          <w:lang w:val="en-US"/>
        </w:rPr>
      </w:pPr>
    </w:p>
    <w:p w14:paraId="7CF4B1DD" w14:textId="5423D9E6" w:rsidR="001E4BC9" w:rsidRPr="0010593E" w:rsidRDefault="001E4BC9" w:rsidP="001E4BC9">
      <w:pPr>
        <w:rPr>
          <w:sz w:val="22"/>
          <w:szCs w:val="22"/>
          <w:lang w:val="en-US"/>
        </w:rPr>
      </w:pPr>
      <w:r w:rsidRPr="0010593E">
        <w:rPr>
          <w:b/>
          <w:bCs/>
          <w:sz w:val="22"/>
          <w:szCs w:val="22"/>
          <w:lang w:val="en-US"/>
        </w:rPr>
        <w:t>Figure 8.</w:t>
      </w:r>
      <w:r w:rsidRPr="0010593E">
        <w:rPr>
          <w:sz w:val="22"/>
          <w:szCs w:val="22"/>
          <w:lang w:val="en-US"/>
        </w:rPr>
        <w:t xml:space="preserve"> Sagittal view of the amygdala. In this view, the border to the hippocampus should be checked to ensure correct segmentation of the amygdala-hippocampus border.</w:t>
      </w:r>
    </w:p>
    <w:p w14:paraId="52585981" w14:textId="77777777" w:rsidR="001E4BC9" w:rsidRPr="0010593E" w:rsidRDefault="001E4BC9" w:rsidP="001E4BC9">
      <w:pPr>
        <w:rPr>
          <w:sz w:val="6"/>
          <w:szCs w:val="6"/>
          <w:lang w:val="en-US"/>
        </w:rPr>
      </w:pPr>
    </w:p>
    <w:p w14:paraId="226E8B32" w14:textId="77777777" w:rsidR="001E4BC9" w:rsidRPr="0010593E" w:rsidRDefault="001E4BC9" w:rsidP="001E4BC9">
      <w:pPr>
        <w:rPr>
          <w:sz w:val="22"/>
          <w:szCs w:val="22"/>
          <w:lang w:val="en-US"/>
        </w:rPr>
      </w:pPr>
      <w:r w:rsidRPr="0010593E">
        <w:rPr>
          <w:noProof/>
          <w:sz w:val="22"/>
          <w:szCs w:val="22"/>
          <w:lang w:val="en-US"/>
        </w:rPr>
        <w:drawing>
          <wp:inline distT="0" distB="0" distL="0" distR="0" wp14:anchorId="3D0AEC87" wp14:editId="31EEE504">
            <wp:extent cx="5506720" cy="2726516"/>
            <wp:effectExtent l="0" t="0" r="5080" b="4445"/>
            <wp:docPr id="3" name="Picture 3" descr="A picture containing text, blur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blurry&#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12067" cy="2729163"/>
                    </a:xfrm>
                    <a:prstGeom prst="rect">
                      <a:avLst/>
                    </a:prstGeom>
                  </pic:spPr>
                </pic:pic>
              </a:graphicData>
            </a:graphic>
          </wp:inline>
        </w:drawing>
      </w:r>
    </w:p>
    <w:p w14:paraId="05DED522" w14:textId="77777777" w:rsidR="001E4BC9" w:rsidRPr="0010593E" w:rsidRDefault="001E4BC9" w:rsidP="001E4BC9">
      <w:pPr>
        <w:rPr>
          <w:sz w:val="6"/>
          <w:szCs w:val="6"/>
          <w:lang w:val="en-US"/>
        </w:rPr>
      </w:pPr>
    </w:p>
    <w:p w14:paraId="50A33644" w14:textId="01D33D4C" w:rsidR="001E4BC9" w:rsidRPr="0010593E" w:rsidRDefault="001E4BC9" w:rsidP="001E4BC9">
      <w:pPr>
        <w:rPr>
          <w:color w:val="000000"/>
          <w:sz w:val="22"/>
          <w:szCs w:val="22"/>
          <w:lang w:val="en-US"/>
        </w:rPr>
      </w:pPr>
      <w:r w:rsidRPr="0010593E">
        <w:rPr>
          <w:i/>
          <w:iCs/>
          <w:sz w:val="22"/>
          <w:szCs w:val="22"/>
          <w:lang w:val="en-US"/>
        </w:rPr>
        <w:t>Abbreviations:</w:t>
      </w:r>
      <w:r w:rsidRPr="0010593E">
        <w:rPr>
          <w:b/>
          <w:bCs/>
          <w:sz w:val="22"/>
          <w:szCs w:val="22"/>
          <w:lang w:val="en-US"/>
        </w:rPr>
        <w:t xml:space="preserve"> </w:t>
      </w:r>
      <w:r w:rsidR="00293664">
        <w:rPr>
          <w:sz w:val="22"/>
          <w:szCs w:val="22"/>
          <w:lang w:val="en-US"/>
        </w:rPr>
        <w:t>AMY:</w:t>
      </w:r>
      <w:r w:rsidRPr="0010593E">
        <w:rPr>
          <w:sz w:val="22"/>
          <w:szCs w:val="22"/>
          <w:lang w:val="en-US"/>
        </w:rPr>
        <w:t xml:space="preserve"> amygdala; </w:t>
      </w:r>
      <w:r w:rsidRPr="0010593E">
        <w:rPr>
          <w:color w:val="000000"/>
          <w:sz w:val="22"/>
          <w:szCs w:val="22"/>
          <w:lang w:val="en-US"/>
        </w:rPr>
        <w:t>HC: hippocampus; TLV: temporal horn of the lateral ventricle.</w:t>
      </w:r>
    </w:p>
    <w:p w14:paraId="2065C265" w14:textId="77777777" w:rsidR="001E4BC9" w:rsidRPr="0010593E" w:rsidRDefault="001E4BC9" w:rsidP="001E4BC9">
      <w:pPr>
        <w:rPr>
          <w:b/>
          <w:bCs/>
          <w:sz w:val="22"/>
          <w:szCs w:val="22"/>
          <w:lang w:val="en-US"/>
        </w:rPr>
      </w:pPr>
    </w:p>
    <w:p w14:paraId="7ADF618C" w14:textId="77777777" w:rsidR="001E4BC9" w:rsidRPr="0010593E" w:rsidRDefault="001E4BC9" w:rsidP="001E4BC9">
      <w:pPr>
        <w:rPr>
          <w:sz w:val="22"/>
          <w:szCs w:val="22"/>
          <w:lang w:val="en-US"/>
        </w:rPr>
      </w:pPr>
      <w:r w:rsidRPr="0010593E">
        <w:rPr>
          <w:b/>
          <w:bCs/>
          <w:sz w:val="22"/>
          <w:szCs w:val="22"/>
          <w:lang w:val="en-US"/>
        </w:rPr>
        <w:t>Figure 9.</w:t>
      </w:r>
      <w:r w:rsidRPr="0010593E">
        <w:rPr>
          <w:sz w:val="22"/>
          <w:szCs w:val="22"/>
          <w:lang w:val="en-US"/>
        </w:rPr>
        <w:t xml:space="preserve"> Exemplary 3D view of a final amygdala segmentation. </w:t>
      </w:r>
    </w:p>
    <w:p w14:paraId="66AE354A" w14:textId="77777777" w:rsidR="001E4BC9" w:rsidRPr="0010593E" w:rsidRDefault="001E4BC9" w:rsidP="001E4BC9">
      <w:pPr>
        <w:rPr>
          <w:sz w:val="6"/>
          <w:szCs w:val="6"/>
          <w:lang w:val="en-US"/>
        </w:rPr>
      </w:pPr>
    </w:p>
    <w:p w14:paraId="678041E7" w14:textId="57AC746F" w:rsidR="001E4BC9" w:rsidRPr="0010593E" w:rsidRDefault="001E4BC9" w:rsidP="001E4BC9">
      <w:pPr>
        <w:rPr>
          <w:sz w:val="22"/>
          <w:szCs w:val="22"/>
          <w:lang w:val="en-US"/>
        </w:rPr>
      </w:pPr>
      <w:r w:rsidRPr="0010593E">
        <w:rPr>
          <w:noProof/>
          <w:sz w:val="22"/>
          <w:szCs w:val="22"/>
          <w:lang w:val="en-US"/>
        </w:rPr>
        <w:drawing>
          <wp:inline distT="0" distB="0" distL="0" distR="0" wp14:anchorId="6D73A861" wp14:editId="0BFD8F84">
            <wp:extent cx="3278293" cy="2527183"/>
            <wp:effectExtent l="0" t="0" r="0" b="635"/>
            <wp:docPr id="1" name="Picture 1" descr="A red objec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object on a black backgroun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85411" cy="2532670"/>
                    </a:xfrm>
                    <a:prstGeom prst="rect">
                      <a:avLst/>
                    </a:prstGeom>
                  </pic:spPr>
                </pic:pic>
              </a:graphicData>
            </a:graphic>
          </wp:inline>
        </w:drawing>
      </w:r>
    </w:p>
    <w:p w14:paraId="6106DFA7" w14:textId="77777777" w:rsidR="0010593E" w:rsidRPr="0010593E" w:rsidRDefault="0010593E" w:rsidP="001E4BC9">
      <w:pPr>
        <w:rPr>
          <w:sz w:val="22"/>
          <w:szCs w:val="22"/>
          <w:lang w:val="en-US"/>
        </w:rPr>
      </w:pPr>
    </w:p>
    <w:p w14:paraId="3AFC6EF3" w14:textId="77777777" w:rsidR="0010593E" w:rsidRPr="0010593E" w:rsidRDefault="0010593E" w:rsidP="001E4BC9">
      <w:pPr>
        <w:rPr>
          <w:sz w:val="22"/>
          <w:szCs w:val="22"/>
          <w:lang w:val="en-US"/>
        </w:rPr>
      </w:pPr>
    </w:p>
    <w:p w14:paraId="2BBDA39C" w14:textId="77777777" w:rsidR="0010593E" w:rsidRPr="0010593E" w:rsidRDefault="0010593E">
      <w:pPr>
        <w:rPr>
          <w:b/>
          <w:bCs/>
          <w:sz w:val="22"/>
          <w:szCs w:val="22"/>
          <w:lang w:val="en-US"/>
        </w:rPr>
      </w:pPr>
      <w:r w:rsidRPr="0010593E">
        <w:rPr>
          <w:b/>
          <w:bCs/>
          <w:sz w:val="22"/>
          <w:szCs w:val="22"/>
          <w:lang w:val="en-US"/>
        </w:rPr>
        <w:br w:type="page"/>
      </w:r>
    </w:p>
    <w:p w14:paraId="3E6D38DF" w14:textId="729345C3" w:rsidR="001E4BC9" w:rsidRPr="0010593E" w:rsidRDefault="001E4BC9" w:rsidP="001E4BC9">
      <w:pPr>
        <w:rPr>
          <w:sz w:val="22"/>
          <w:szCs w:val="22"/>
          <w:lang w:val="en-US"/>
        </w:rPr>
      </w:pPr>
      <w:r w:rsidRPr="0010593E">
        <w:rPr>
          <w:b/>
          <w:bCs/>
          <w:sz w:val="22"/>
          <w:szCs w:val="22"/>
          <w:lang w:val="en-US"/>
        </w:rPr>
        <w:lastRenderedPageBreak/>
        <w:t>Figure 10.</w:t>
      </w:r>
      <w:r w:rsidRPr="0010593E">
        <w:rPr>
          <w:sz w:val="22"/>
          <w:szCs w:val="22"/>
          <w:lang w:val="en-US"/>
        </w:rPr>
        <w:t xml:space="preserve"> Second example segmentation of the whole amygdala showing the right hemisphere. The figure moves from a posterior (1.1) to an anterior direction. Each slice is shown as the raw MRI snapshot, an annotated version, and a segmented version in a row.</w:t>
      </w:r>
    </w:p>
    <w:p w14:paraId="491E727E" w14:textId="01392A3C" w:rsidR="001E4BC9" w:rsidRPr="0010593E" w:rsidRDefault="001E4BC9" w:rsidP="001E4BC9">
      <w:pPr>
        <w:rPr>
          <w:sz w:val="22"/>
          <w:szCs w:val="22"/>
          <w:lang w:val="en-US"/>
        </w:rPr>
      </w:pPr>
      <w:r w:rsidRPr="0010593E">
        <w:rPr>
          <w:noProof/>
          <w:sz w:val="22"/>
          <w:szCs w:val="22"/>
          <w:lang w:val="en-US"/>
        </w:rPr>
        <w:drawing>
          <wp:inline distT="0" distB="0" distL="0" distR="0" wp14:anchorId="33AD806C" wp14:editId="5287EEE4">
            <wp:extent cx="5535357" cy="8947573"/>
            <wp:effectExtent l="0" t="0" r="1905" b="6350"/>
            <wp:docPr id="2" name="Picture 2" descr="A close-up of several images of a sp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several images of a sp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45371" cy="8963760"/>
                    </a:xfrm>
                    <a:prstGeom prst="rect">
                      <a:avLst/>
                    </a:prstGeom>
                  </pic:spPr>
                </pic:pic>
              </a:graphicData>
            </a:graphic>
          </wp:inline>
        </w:drawing>
      </w:r>
    </w:p>
    <w:p w14:paraId="301B3533" w14:textId="69F9565E" w:rsidR="001E4BC9" w:rsidRPr="0010593E" w:rsidRDefault="001E4BC9" w:rsidP="001E4BC9">
      <w:pPr>
        <w:jc w:val="both"/>
        <w:rPr>
          <w:color w:val="000000"/>
          <w:sz w:val="22"/>
          <w:szCs w:val="22"/>
          <w:lang w:val="en-US"/>
        </w:rPr>
      </w:pPr>
      <w:r w:rsidRPr="0010593E">
        <w:rPr>
          <w:i/>
          <w:iCs/>
          <w:sz w:val="22"/>
          <w:szCs w:val="22"/>
          <w:lang w:val="en-US"/>
        </w:rPr>
        <w:lastRenderedPageBreak/>
        <w:t>Abbreviations</w:t>
      </w:r>
      <w:r w:rsidRPr="0010593E">
        <w:rPr>
          <w:sz w:val="22"/>
          <w:szCs w:val="22"/>
          <w:lang w:val="en-US"/>
        </w:rPr>
        <w:t xml:space="preserve">: </w:t>
      </w:r>
      <w:r w:rsidR="00293664">
        <w:rPr>
          <w:sz w:val="22"/>
          <w:szCs w:val="22"/>
          <w:lang w:val="en-US"/>
        </w:rPr>
        <w:t>AMY:</w:t>
      </w:r>
      <w:r w:rsidRPr="0010593E">
        <w:rPr>
          <w:sz w:val="22"/>
          <w:szCs w:val="22"/>
          <w:lang w:val="en-US"/>
        </w:rPr>
        <w:t xml:space="preserve"> amygdala; AStr: </w:t>
      </w:r>
      <w:r w:rsidRPr="0010593E">
        <w:rPr>
          <w:color w:val="000000"/>
          <w:sz w:val="22"/>
          <w:szCs w:val="22"/>
          <w:lang w:val="en-US"/>
        </w:rPr>
        <w:t>amygdalostriatal transition area; CSF: cerebrospinal fluid; ERC: entorhinal cortex; es: endorhinal sulcus; HATA: hippocampal amygdaloid transition area; HC: hippocampus; opt: optic tract; PACI: preamygdalar claustrum; PAM: periamygdaloid cortex; PirT: piriform cortex, temporal pole; PUV/PedL: putamen/peduncle of lentiform; sas: semiannular sulcus; TLV: temporal horn of the lateral ventricle.</w:t>
      </w:r>
    </w:p>
    <w:p w14:paraId="1ED4AECF" w14:textId="77777777" w:rsidR="001E4BC9" w:rsidRPr="0010593E" w:rsidRDefault="001E4BC9" w:rsidP="001E4BC9">
      <w:pPr>
        <w:jc w:val="both"/>
        <w:rPr>
          <w:b/>
          <w:bCs/>
          <w:sz w:val="22"/>
          <w:szCs w:val="22"/>
          <w:lang w:val="en-US"/>
        </w:rPr>
      </w:pPr>
    </w:p>
    <w:p w14:paraId="55766DE4" w14:textId="7DEC11AF" w:rsidR="001E4BC9" w:rsidRPr="0010593E" w:rsidRDefault="001E4BC9" w:rsidP="001E4BC9">
      <w:pPr>
        <w:rPr>
          <w:b/>
          <w:bCs/>
          <w:sz w:val="22"/>
          <w:szCs w:val="22"/>
          <w:lang w:val="en-US"/>
        </w:rPr>
      </w:pPr>
    </w:p>
    <w:p w14:paraId="4DB5B51C" w14:textId="77777777" w:rsidR="0010593E" w:rsidRPr="0010593E" w:rsidRDefault="0010593E">
      <w:pPr>
        <w:rPr>
          <w:b/>
          <w:bCs/>
          <w:sz w:val="28"/>
          <w:szCs w:val="28"/>
          <w:lang w:val="en-US"/>
        </w:rPr>
      </w:pPr>
      <w:r w:rsidRPr="0010593E">
        <w:rPr>
          <w:b/>
          <w:bCs/>
          <w:sz w:val="28"/>
          <w:szCs w:val="28"/>
          <w:lang w:val="en-US"/>
        </w:rPr>
        <w:br w:type="page"/>
      </w:r>
    </w:p>
    <w:p w14:paraId="4F5FDD54" w14:textId="5EA14025" w:rsidR="003F244D" w:rsidRPr="004102CB" w:rsidRDefault="003F244D" w:rsidP="00E4541B">
      <w:pPr>
        <w:pStyle w:val="Heading1"/>
        <w:spacing w:line="480" w:lineRule="auto"/>
        <w:rPr>
          <w:rFonts w:ascii="Times New Roman" w:hAnsi="Times New Roman" w:cs="Times New Roman"/>
          <w:b/>
          <w:bCs/>
          <w:color w:val="000000" w:themeColor="text1"/>
          <w:lang w:val="en-US"/>
        </w:rPr>
      </w:pPr>
      <w:bookmarkStart w:id="13" w:name="_Toc161409445"/>
      <w:r w:rsidRPr="004102CB">
        <w:rPr>
          <w:rFonts w:ascii="Times New Roman" w:hAnsi="Times New Roman" w:cs="Times New Roman"/>
          <w:b/>
          <w:bCs/>
          <w:color w:val="000000" w:themeColor="text1"/>
          <w:lang w:val="en-US"/>
        </w:rPr>
        <w:lastRenderedPageBreak/>
        <w:t>Reliability analyses</w:t>
      </w:r>
      <w:bookmarkEnd w:id="13"/>
    </w:p>
    <w:p w14:paraId="14447A02" w14:textId="77777777" w:rsidR="000A1CAB" w:rsidRDefault="00EE6FF1" w:rsidP="000A1CAB">
      <w:pPr>
        <w:spacing w:line="480" w:lineRule="auto"/>
        <w:ind w:firstLine="284"/>
        <w:jc w:val="both"/>
        <w:rPr>
          <w:sz w:val="22"/>
          <w:szCs w:val="22"/>
          <w:lang w:val="en-US"/>
        </w:rPr>
      </w:pPr>
      <w:r w:rsidRPr="0010593E">
        <w:rPr>
          <w:sz w:val="22"/>
          <w:szCs w:val="22"/>
          <w:lang w:val="en-US"/>
        </w:rPr>
        <w:t xml:space="preserve">After protocol establishment a reliability test was performed. AW segmented the whole amygdala on both hemispheres in 15 subjects twice. Three weeks lied between the two segmentation instances. The segmentations were performed in a random order on both instances, which AW was blinded to. Additionally, AW was blinded to the diagnosis of the subjects (CU or MCI). </w:t>
      </w:r>
    </w:p>
    <w:p w14:paraId="0848AAFA" w14:textId="722D0F75" w:rsidR="00EE6FF1" w:rsidRPr="000A1CAB" w:rsidRDefault="00EE6FF1" w:rsidP="000A1CAB">
      <w:pPr>
        <w:spacing w:line="480" w:lineRule="auto"/>
        <w:ind w:firstLine="284"/>
        <w:jc w:val="both"/>
        <w:rPr>
          <w:sz w:val="22"/>
          <w:szCs w:val="22"/>
          <w:lang w:val="en-US"/>
        </w:rPr>
      </w:pPr>
      <w:r w:rsidRPr="0010593E">
        <w:rPr>
          <w:sz w:val="22"/>
          <w:szCs w:val="22"/>
          <w:lang w:val="en-US"/>
        </w:rPr>
        <w:t>The results indicate high reliability for the amygdala both on intraclass correlation coefficient and the dice similarity index</w:t>
      </w:r>
      <w:r w:rsidR="000A1CAB">
        <w:rPr>
          <w:sz w:val="22"/>
          <w:szCs w:val="22"/>
          <w:lang w:val="en-US"/>
        </w:rPr>
        <w:t xml:space="preserve"> (sTable 1)</w:t>
      </w:r>
      <w:r w:rsidRPr="0010593E">
        <w:rPr>
          <w:sz w:val="22"/>
          <w:szCs w:val="22"/>
          <w:lang w:val="en-US"/>
        </w:rPr>
        <w:t xml:space="preserve">. </w:t>
      </w:r>
      <w:r w:rsidR="000A1CAB">
        <w:rPr>
          <w:sz w:val="22"/>
          <w:szCs w:val="22"/>
          <w:lang w:val="en-US"/>
        </w:rPr>
        <w:t>The amygdala label was also added to the T1-ASHS atlas from Xie et a., (2019) and ASHS was retrained with the amygdala and all the subfields in the Xie et al., (2019) atlas. C</w:t>
      </w:r>
      <w:r w:rsidRPr="0010593E">
        <w:rPr>
          <w:sz w:val="22"/>
          <w:szCs w:val="22"/>
          <w:lang w:val="en-US"/>
        </w:rPr>
        <w:t xml:space="preserve">ross-validation </w:t>
      </w:r>
      <w:r w:rsidR="00973FAF">
        <w:rPr>
          <w:sz w:val="22"/>
          <w:szCs w:val="22"/>
          <w:lang w:val="en-US"/>
        </w:rPr>
        <w:t>of manual versus automated segmentation</w:t>
      </w:r>
      <w:r w:rsidR="006E3054">
        <w:rPr>
          <w:sz w:val="22"/>
          <w:szCs w:val="22"/>
          <w:lang w:val="en-US"/>
        </w:rPr>
        <w:t xml:space="preserve"> </w:t>
      </w:r>
      <w:r w:rsidRPr="0010593E">
        <w:rPr>
          <w:sz w:val="22"/>
          <w:szCs w:val="22"/>
          <w:lang w:val="en-US"/>
        </w:rPr>
        <w:t xml:space="preserve">was performed after training ASHS </w:t>
      </w:r>
      <w:r w:rsidR="006E3054">
        <w:rPr>
          <w:sz w:val="22"/>
          <w:szCs w:val="22"/>
          <w:lang w:val="en-US"/>
        </w:rPr>
        <w:t>with</w:t>
      </w:r>
      <w:r w:rsidR="006E3054" w:rsidRPr="0010593E">
        <w:rPr>
          <w:sz w:val="22"/>
          <w:szCs w:val="22"/>
          <w:lang w:val="en-US"/>
        </w:rPr>
        <w:t xml:space="preserve"> </w:t>
      </w:r>
      <w:r w:rsidRPr="0010593E">
        <w:rPr>
          <w:sz w:val="22"/>
          <w:szCs w:val="22"/>
          <w:lang w:val="en-US"/>
        </w:rPr>
        <w:t>the new atlas including the whole amygdala segmentation</w:t>
      </w:r>
      <w:r w:rsidR="006E3054">
        <w:rPr>
          <w:sz w:val="22"/>
          <w:szCs w:val="22"/>
          <w:lang w:val="en-US"/>
        </w:rPr>
        <w:t>. T</w:t>
      </w:r>
      <w:r w:rsidRPr="0010593E">
        <w:rPr>
          <w:sz w:val="22"/>
          <w:szCs w:val="22"/>
          <w:lang w:val="en-US"/>
        </w:rPr>
        <w:t xml:space="preserve">he cross-validation dice </w:t>
      </w:r>
      <w:r w:rsidR="006E3054">
        <w:rPr>
          <w:sz w:val="22"/>
          <w:szCs w:val="22"/>
          <w:lang w:val="en-US"/>
        </w:rPr>
        <w:t>similarity</w:t>
      </w:r>
      <w:r w:rsidR="006E3054" w:rsidRPr="0010593E">
        <w:rPr>
          <w:sz w:val="22"/>
          <w:szCs w:val="22"/>
          <w:lang w:val="en-US"/>
        </w:rPr>
        <w:t xml:space="preserve"> </w:t>
      </w:r>
      <w:r w:rsidRPr="0010593E">
        <w:rPr>
          <w:sz w:val="22"/>
          <w:szCs w:val="22"/>
          <w:lang w:val="en-US"/>
        </w:rPr>
        <w:t xml:space="preserve">index of the amygdala </w:t>
      </w:r>
      <w:r w:rsidR="006E3054">
        <w:rPr>
          <w:sz w:val="22"/>
          <w:szCs w:val="22"/>
          <w:lang w:val="en-US"/>
        </w:rPr>
        <w:t>was</w:t>
      </w:r>
      <w:r w:rsidR="006E3054" w:rsidRPr="0010593E">
        <w:rPr>
          <w:sz w:val="22"/>
          <w:szCs w:val="22"/>
          <w:lang w:val="en-US"/>
        </w:rPr>
        <w:t xml:space="preserve"> </w:t>
      </w:r>
      <w:r w:rsidRPr="0010593E">
        <w:rPr>
          <w:sz w:val="22"/>
          <w:szCs w:val="22"/>
          <w:lang w:val="en-US"/>
        </w:rPr>
        <w:t>0.88±0.03</w:t>
      </w:r>
      <w:r w:rsidR="000A1CAB">
        <w:rPr>
          <w:sz w:val="22"/>
          <w:szCs w:val="22"/>
          <w:lang w:val="en-US"/>
        </w:rPr>
        <w:t xml:space="preserve"> (sTable 2)</w:t>
      </w:r>
      <w:r w:rsidRPr="0010593E">
        <w:rPr>
          <w:sz w:val="22"/>
          <w:szCs w:val="22"/>
          <w:lang w:val="en-US"/>
        </w:rPr>
        <w:t xml:space="preserve">. In comparison, the </w:t>
      </w:r>
      <w:r w:rsidR="006E3054">
        <w:rPr>
          <w:sz w:val="22"/>
          <w:szCs w:val="22"/>
          <w:lang w:val="en-US"/>
        </w:rPr>
        <w:t xml:space="preserve">dice similarity </w:t>
      </w:r>
      <w:r w:rsidRPr="0010593E">
        <w:rPr>
          <w:sz w:val="22"/>
          <w:szCs w:val="22"/>
          <w:lang w:val="en-US"/>
        </w:rPr>
        <w:t xml:space="preserve">index </w:t>
      </w:r>
      <w:r w:rsidR="004E1080">
        <w:rPr>
          <w:sz w:val="22"/>
          <w:szCs w:val="22"/>
          <w:lang w:val="en-US"/>
        </w:rPr>
        <w:t xml:space="preserve">was also calculated </w:t>
      </w:r>
      <w:r w:rsidRPr="0010593E">
        <w:rPr>
          <w:sz w:val="22"/>
          <w:szCs w:val="22"/>
          <w:lang w:val="en-US"/>
        </w:rPr>
        <w:t xml:space="preserve">for the anterior hippocampus </w:t>
      </w:r>
      <w:r w:rsidR="004E1080">
        <w:rPr>
          <w:sz w:val="22"/>
          <w:szCs w:val="22"/>
          <w:lang w:val="en-US"/>
        </w:rPr>
        <w:t>resulting in</w:t>
      </w:r>
      <w:r w:rsidR="004B077F" w:rsidRPr="0010593E">
        <w:rPr>
          <w:sz w:val="22"/>
          <w:szCs w:val="22"/>
          <w:lang w:val="en-US"/>
        </w:rPr>
        <w:t xml:space="preserve"> </w:t>
      </w:r>
      <w:r w:rsidRPr="0010593E">
        <w:rPr>
          <w:sz w:val="22"/>
          <w:szCs w:val="22"/>
          <w:lang w:val="en-US"/>
        </w:rPr>
        <w:t xml:space="preserve">0.91±0.02; for the posterior hippocampus </w:t>
      </w:r>
      <w:r w:rsidR="004E1080">
        <w:rPr>
          <w:sz w:val="22"/>
          <w:szCs w:val="22"/>
          <w:lang w:val="en-US"/>
        </w:rPr>
        <w:t xml:space="preserve">in </w:t>
      </w:r>
      <w:r w:rsidRPr="0010593E">
        <w:rPr>
          <w:sz w:val="22"/>
          <w:szCs w:val="22"/>
          <w:lang w:val="en-US"/>
        </w:rPr>
        <w:t xml:space="preserve">0.89±0.02; and for entorhinal cortex </w:t>
      </w:r>
      <w:r w:rsidR="004E1080">
        <w:rPr>
          <w:sz w:val="22"/>
          <w:szCs w:val="22"/>
          <w:lang w:val="en-US"/>
        </w:rPr>
        <w:t xml:space="preserve">in </w:t>
      </w:r>
      <w:r w:rsidRPr="0010593E">
        <w:rPr>
          <w:sz w:val="22"/>
          <w:szCs w:val="22"/>
          <w:lang w:val="en-US"/>
        </w:rPr>
        <w:t>0.75±0.05</w:t>
      </w:r>
      <w:r w:rsidR="004E1080">
        <w:rPr>
          <w:sz w:val="22"/>
          <w:szCs w:val="22"/>
          <w:lang w:val="en-US"/>
        </w:rPr>
        <w:t xml:space="preserve"> (see also Xie et al., 2019). </w:t>
      </w:r>
    </w:p>
    <w:p w14:paraId="075A0B12" w14:textId="77777777" w:rsidR="00EE6FF1" w:rsidRPr="0010593E" w:rsidRDefault="00EE6FF1" w:rsidP="005A1617">
      <w:pPr>
        <w:jc w:val="both"/>
        <w:rPr>
          <w:sz w:val="22"/>
          <w:szCs w:val="22"/>
          <w:lang w:val="en-US"/>
        </w:rPr>
      </w:pPr>
    </w:p>
    <w:p w14:paraId="1E087F5A" w14:textId="7861C877" w:rsidR="005A1617" w:rsidRPr="0010593E" w:rsidRDefault="005A1617" w:rsidP="005A1617">
      <w:pPr>
        <w:jc w:val="both"/>
        <w:rPr>
          <w:b/>
          <w:bCs/>
          <w:sz w:val="22"/>
          <w:szCs w:val="22"/>
          <w:lang w:val="en-US"/>
        </w:rPr>
      </w:pPr>
      <w:r w:rsidRPr="0010593E">
        <w:rPr>
          <w:b/>
          <w:bCs/>
          <w:sz w:val="22"/>
          <w:szCs w:val="22"/>
          <w:lang w:val="en-US"/>
        </w:rPr>
        <w:t xml:space="preserve">sTable 1. </w:t>
      </w:r>
      <w:r w:rsidRPr="0010593E">
        <w:rPr>
          <w:sz w:val="22"/>
          <w:szCs w:val="22"/>
          <w:lang w:val="en-US"/>
        </w:rPr>
        <w:t>Intraclass correlation coefficient for the reliability of the whole amygdala segmentation protocol</w:t>
      </w:r>
      <w:r w:rsidR="00386A78">
        <w:rPr>
          <w:sz w:val="22"/>
          <w:szCs w:val="22"/>
          <w:lang w:val="en-US"/>
        </w:rPr>
        <w:t xml:space="preserve"> for the manual intra-rater reliability</w:t>
      </w:r>
      <w:r w:rsidRPr="0010593E">
        <w:rPr>
          <w:sz w:val="22"/>
          <w:szCs w:val="22"/>
          <w:lang w:val="en-US"/>
        </w:rPr>
        <w:t>.</w:t>
      </w:r>
    </w:p>
    <w:tbl>
      <w:tblPr>
        <w:tblStyle w:val="PlainTable2"/>
        <w:tblW w:w="9072" w:type="dxa"/>
        <w:tblLook w:val="0600" w:firstRow="0" w:lastRow="0" w:firstColumn="0" w:lastColumn="0" w:noHBand="1" w:noVBand="1"/>
      </w:tblPr>
      <w:tblGrid>
        <w:gridCol w:w="2268"/>
        <w:gridCol w:w="2268"/>
        <w:gridCol w:w="2268"/>
        <w:gridCol w:w="2268"/>
      </w:tblGrid>
      <w:tr w:rsidR="003F244D" w:rsidRPr="0010593E" w14:paraId="0EA0A3AA" w14:textId="77777777" w:rsidTr="003F244D">
        <w:trPr>
          <w:trHeight w:val="20"/>
        </w:trPr>
        <w:tc>
          <w:tcPr>
            <w:tcW w:w="2268" w:type="dxa"/>
            <w:tcBorders>
              <w:top w:val="single" w:sz="4" w:space="0" w:color="7F7F7F" w:themeColor="text1" w:themeTint="80"/>
              <w:bottom w:val="single" w:sz="4" w:space="0" w:color="auto"/>
            </w:tcBorders>
            <w:hideMark/>
          </w:tcPr>
          <w:p w14:paraId="7DAE1881" w14:textId="77777777" w:rsidR="005A1617" w:rsidRPr="0010593E" w:rsidRDefault="005A1617" w:rsidP="005A1617">
            <w:pPr>
              <w:jc w:val="both"/>
              <w:rPr>
                <w:sz w:val="22"/>
                <w:szCs w:val="22"/>
              </w:rPr>
            </w:pPr>
          </w:p>
        </w:tc>
        <w:tc>
          <w:tcPr>
            <w:tcW w:w="2268" w:type="dxa"/>
            <w:tcBorders>
              <w:top w:val="single" w:sz="4" w:space="0" w:color="7F7F7F" w:themeColor="text1" w:themeTint="80"/>
              <w:bottom w:val="single" w:sz="4" w:space="0" w:color="auto"/>
            </w:tcBorders>
            <w:hideMark/>
          </w:tcPr>
          <w:p w14:paraId="1AEEFADC" w14:textId="77777777" w:rsidR="005A1617" w:rsidRPr="0010593E" w:rsidRDefault="005A1617" w:rsidP="003F244D">
            <w:pPr>
              <w:jc w:val="center"/>
              <w:rPr>
                <w:sz w:val="22"/>
                <w:szCs w:val="22"/>
              </w:rPr>
            </w:pPr>
            <w:r w:rsidRPr="0010593E">
              <w:rPr>
                <w:b/>
                <w:bCs/>
                <w:sz w:val="22"/>
                <w:szCs w:val="22"/>
                <w:lang w:val="en-GB"/>
              </w:rPr>
              <w:t>ICC</w:t>
            </w:r>
          </w:p>
        </w:tc>
        <w:tc>
          <w:tcPr>
            <w:tcW w:w="2268" w:type="dxa"/>
            <w:tcBorders>
              <w:top w:val="single" w:sz="4" w:space="0" w:color="7F7F7F" w:themeColor="text1" w:themeTint="80"/>
              <w:bottom w:val="single" w:sz="4" w:space="0" w:color="auto"/>
            </w:tcBorders>
            <w:hideMark/>
          </w:tcPr>
          <w:p w14:paraId="5D1A9646" w14:textId="7FFF3800" w:rsidR="005A1617" w:rsidRPr="0010593E" w:rsidRDefault="003F244D" w:rsidP="003F244D">
            <w:pPr>
              <w:jc w:val="center"/>
              <w:rPr>
                <w:sz w:val="22"/>
                <w:szCs w:val="22"/>
              </w:rPr>
            </w:pPr>
            <w:r w:rsidRPr="0010593E">
              <w:rPr>
                <w:b/>
                <w:bCs/>
                <w:sz w:val="22"/>
                <w:szCs w:val="22"/>
                <w:lang w:val="en-GB"/>
              </w:rPr>
              <w:t>l</w:t>
            </w:r>
            <w:r w:rsidR="005A1617" w:rsidRPr="0010593E">
              <w:rPr>
                <w:b/>
                <w:bCs/>
                <w:sz w:val="22"/>
                <w:szCs w:val="22"/>
                <w:lang w:val="en-GB"/>
              </w:rPr>
              <w:t>ower</w:t>
            </w:r>
            <w:r w:rsidRPr="0010593E">
              <w:rPr>
                <w:b/>
                <w:bCs/>
                <w:sz w:val="22"/>
                <w:szCs w:val="22"/>
                <w:lang w:val="en-GB"/>
              </w:rPr>
              <w:t xml:space="preserve"> </w:t>
            </w:r>
            <w:r w:rsidR="005A1617" w:rsidRPr="0010593E">
              <w:rPr>
                <w:b/>
                <w:bCs/>
                <w:sz w:val="22"/>
                <w:szCs w:val="22"/>
                <w:lang w:val="en-GB"/>
              </w:rPr>
              <w:t>95%</w:t>
            </w:r>
            <w:r w:rsidRPr="0010593E">
              <w:rPr>
                <w:b/>
                <w:bCs/>
                <w:sz w:val="22"/>
                <w:szCs w:val="22"/>
                <w:lang w:val="en-GB"/>
              </w:rPr>
              <w:t>-</w:t>
            </w:r>
            <w:r w:rsidR="005A1617" w:rsidRPr="0010593E">
              <w:rPr>
                <w:b/>
                <w:bCs/>
                <w:sz w:val="22"/>
                <w:szCs w:val="22"/>
                <w:lang w:val="en-GB"/>
              </w:rPr>
              <w:t>CI</w:t>
            </w:r>
          </w:p>
        </w:tc>
        <w:tc>
          <w:tcPr>
            <w:tcW w:w="2268" w:type="dxa"/>
            <w:tcBorders>
              <w:top w:val="single" w:sz="4" w:space="0" w:color="7F7F7F" w:themeColor="text1" w:themeTint="80"/>
              <w:bottom w:val="single" w:sz="4" w:space="0" w:color="auto"/>
            </w:tcBorders>
            <w:hideMark/>
          </w:tcPr>
          <w:p w14:paraId="6003D8CA" w14:textId="147256CA" w:rsidR="005A1617" w:rsidRPr="0010593E" w:rsidRDefault="003F244D" w:rsidP="003F244D">
            <w:pPr>
              <w:jc w:val="center"/>
              <w:rPr>
                <w:sz w:val="22"/>
                <w:szCs w:val="22"/>
              </w:rPr>
            </w:pPr>
            <w:r w:rsidRPr="0010593E">
              <w:rPr>
                <w:b/>
                <w:bCs/>
                <w:sz w:val="22"/>
                <w:szCs w:val="22"/>
                <w:lang w:val="en-GB"/>
              </w:rPr>
              <w:t>u</w:t>
            </w:r>
            <w:r w:rsidR="005A1617" w:rsidRPr="0010593E">
              <w:rPr>
                <w:b/>
                <w:bCs/>
                <w:sz w:val="22"/>
                <w:szCs w:val="22"/>
                <w:lang w:val="en-GB"/>
              </w:rPr>
              <w:t>pper</w:t>
            </w:r>
            <w:r w:rsidRPr="0010593E">
              <w:rPr>
                <w:b/>
                <w:bCs/>
                <w:sz w:val="22"/>
                <w:szCs w:val="22"/>
                <w:lang w:val="en-GB"/>
              </w:rPr>
              <w:t xml:space="preserve"> </w:t>
            </w:r>
            <w:r w:rsidR="005A1617" w:rsidRPr="0010593E">
              <w:rPr>
                <w:b/>
                <w:bCs/>
                <w:sz w:val="22"/>
                <w:szCs w:val="22"/>
                <w:lang w:val="en-GB"/>
              </w:rPr>
              <w:t>95%</w:t>
            </w:r>
            <w:r w:rsidRPr="0010593E">
              <w:rPr>
                <w:b/>
                <w:bCs/>
                <w:sz w:val="22"/>
                <w:szCs w:val="22"/>
                <w:lang w:val="en-GB"/>
              </w:rPr>
              <w:t>-</w:t>
            </w:r>
            <w:r w:rsidR="005A1617" w:rsidRPr="0010593E">
              <w:rPr>
                <w:b/>
                <w:bCs/>
                <w:sz w:val="22"/>
                <w:szCs w:val="22"/>
                <w:lang w:val="en-GB"/>
              </w:rPr>
              <w:t>CI</w:t>
            </w:r>
          </w:p>
        </w:tc>
      </w:tr>
      <w:tr w:rsidR="003F244D" w:rsidRPr="0010593E" w14:paraId="0B23333F" w14:textId="77777777" w:rsidTr="003F244D">
        <w:trPr>
          <w:trHeight w:val="20"/>
        </w:trPr>
        <w:tc>
          <w:tcPr>
            <w:tcW w:w="2268" w:type="dxa"/>
            <w:tcBorders>
              <w:top w:val="single" w:sz="4" w:space="0" w:color="auto"/>
            </w:tcBorders>
            <w:hideMark/>
          </w:tcPr>
          <w:p w14:paraId="43B361E9" w14:textId="77777777" w:rsidR="005A1617" w:rsidRPr="0010593E" w:rsidRDefault="005A1617" w:rsidP="003F244D">
            <w:pPr>
              <w:rPr>
                <w:sz w:val="22"/>
                <w:szCs w:val="22"/>
              </w:rPr>
            </w:pPr>
            <w:r w:rsidRPr="0010593E">
              <w:rPr>
                <w:sz w:val="22"/>
                <w:szCs w:val="22"/>
                <w:lang w:val="en-GB"/>
              </w:rPr>
              <w:t>Left</w:t>
            </w:r>
          </w:p>
        </w:tc>
        <w:tc>
          <w:tcPr>
            <w:tcW w:w="2268" w:type="dxa"/>
            <w:tcBorders>
              <w:top w:val="single" w:sz="4" w:space="0" w:color="auto"/>
            </w:tcBorders>
            <w:hideMark/>
          </w:tcPr>
          <w:p w14:paraId="53C0077A" w14:textId="77777777" w:rsidR="005A1617" w:rsidRPr="0010593E" w:rsidRDefault="005A1617" w:rsidP="003F244D">
            <w:pPr>
              <w:jc w:val="center"/>
              <w:rPr>
                <w:sz w:val="22"/>
                <w:szCs w:val="22"/>
              </w:rPr>
            </w:pPr>
            <w:r w:rsidRPr="0010593E">
              <w:rPr>
                <w:sz w:val="22"/>
                <w:szCs w:val="22"/>
              </w:rPr>
              <w:t>.956</w:t>
            </w:r>
          </w:p>
        </w:tc>
        <w:tc>
          <w:tcPr>
            <w:tcW w:w="2268" w:type="dxa"/>
            <w:tcBorders>
              <w:top w:val="single" w:sz="4" w:space="0" w:color="auto"/>
            </w:tcBorders>
            <w:hideMark/>
          </w:tcPr>
          <w:p w14:paraId="08EBB960" w14:textId="77777777" w:rsidR="005A1617" w:rsidRPr="0010593E" w:rsidRDefault="005A1617" w:rsidP="003F244D">
            <w:pPr>
              <w:jc w:val="center"/>
              <w:rPr>
                <w:sz w:val="22"/>
                <w:szCs w:val="22"/>
              </w:rPr>
            </w:pPr>
            <w:r w:rsidRPr="0010593E">
              <w:rPr>
                <w:sz w:val="22"/>
                <w:szCs w:val="22"/>
              </w:rPr>
              <w:t>.869</w:t>
            </w:r>
          </w:p>
        </w:tc>
        <w:tc>
          <w:tcPr>
            <w:tcW w:w="2268" w:type="dxa"/>
            <w:tcBorders>
              <w:top w:val="single" w:sz="4" w:space="0" w:color="auto"/>
            </w:tcBorders>
            <w:hideMark/>
          </w:tcPr>
          <w:p w14:paraId="56335A7C" w14:textId="77777777" w:rsidR="005A1617" w:rsidRPr="0010593E" w:rsidRDefault="005A1617" w:rsidP="003F244D">
            <w:pPr>
              <w:jc w:val="center"/>
              <w:rPr>
                <w:sz w:val="22"/>
                <w:szCs w:val="22"/>
              </w:rPr>
            </w:pPr>
            <w:r w:rsidRPr="0010593E">
              <w:rPr>
                <w:sz w:val="22"/>
                <w:szCs w:val="22"/>
              </w:rPr>
              <w:t>.985</w:t>
            </w:r>
          </w:p>
        </w:tc>
      </w:tr>
      <w:tr w:rsidR="003F244D" w:rsidRPr="0010593E" w14:paraId="4030233C" w14:textId="77777777" w:rsidTr="003F244D">
        <w:trPr>
          <w:trHeight w:val="20"/>
        </w:trPr>
        <w:tc>
          <w:tcPr>
            <w:tcW w:w="2268" w:type="dxa"/>
            <w:hideMark/>
          </w:tcPr>
          <w:p w14:paraId="6071B673" w14:textId="77777777" w:rsidR="005A1617" w:rsidRPr="0010593E" w:rsidRDefault="005A1617" w:rsidP="003F244D">
            <w:pPr>
              <w:rPr>
                <w:sz w:val="22"/>
                <w:szCs w:val="22"/>
              </w:rPr>
            </w:pPr>
            <w:r w:rsidRPr="0010593E">
              <w:rPr>
                <w:sz w:val="22"/>
                <w:szCs w:val="22"/>
                <w:lang w:val="en-GB"/>
              </w:rPr>
              <w:t>Right</w:t>
            </w:r>
          </w:p>
        </w:tc>
        <w:tc>
          <w:tcPr>
            <w:tcW w:w="2268" w:type="dxa"/>
            <w:hideMark/>
          </w:tcPr>
          <w:p w14:paraId="05714D52" w14:textId="77777777" w:rsidR="005A1617" w:rsidRPr="0010593E" w:rsidRDefault="005A1617" w:rsidP="003F244D">
            <w:pPr>
              <w:jc w:val="center"/>
              <w:rPr>
                <w:sz w:val="22"/>
                <w:szCs w:val="22"/>
              </w:rPr>
            </w:pPr>
            <w:r w:rsidRPr="0010593E">
              <w:rPr>
                <w:sz w:val="22"/>
                <w:szCs w:val="22"/>
              </w:rPr>
              <w:t>.961</w:t>
            </w:r>
          </w:p>
        </w:tc>
        <w:tc>
          <w:tcPr>
            <w:tcW w:w="2268" w:type="dxa"/>
            <w:hideMark/>
          </w:tcPr>
          <w:p w14:paraId="66AFF9B6" w14:textId="77777777" w:rsidR="005A1617" w:rsidRPr="0010593E" w:rsidRDefault="005A1617" w:rsidP="003F244D">
            <w:pPr>
              <w:jc w:val="center"/>
              <w:rPr>
                <w:sz w:val="22"/>
                <w:szCs w:val="22"/>
              </w:rPr>
            </w:pPr>
            <w:r w:rsidRPr="0010593E">
              <w:rPr>
                <w:sz w:val="22"/>
                <w:szCs w:val="22"/>
              </w:rPr>
              <w:t>.884</w:t>
            </w:r>
          </w:p>
        </w:tc>
        <w:tc>
          <w:tcPr>
            <w:tcW w:w="2268" w:type="dxa"/>
            <w:hideMark/>
          </w:tcPr>
          <w:p w14:paraId="080B9A6E" w14:textId="77777777" w:rsidR="005A1617" w:rsidRPr="0010593E" w:rsidRDefault="005A1617" w:rsidP="003F244D">
            <w:pPr>
              <w:jc w:val="center"/>
              <w:rPr>
                <w:sz w:val="22"/>
                <w:szCs w:val="22"/>
              </w:rPr>
            </w:pPr>
            <w:r w:rsidRPr="0010593E">
              <w:rPr>
                <w:sz w:val="22"/>
                <w:szCs w:val="22"/>
              </w:rPr>
              <w:t>.987</w:t>
            </w:r>
          </w:p>
        </w:tc>
      </w:tr>
      <w:tr w:rsidR="003F244D" w:rsidRPr="0010593E" w14:paraId="162F6F73" w14:textId="77777777" w:rsidTr="003F244D">
        <w:trPr>
          <w:trHeight w:val="20"/>
        </w:trPr>
        <w:tc>
          <w:tcPr>
            <w:tcW w:w="2268" w:type="dxa"/>
            <w:hideMark/>
          </w:tcPr>
          <w:p w14:paraId="11C49442" w14:textId="77777777" w:rsidR="005A1617" w:rsidRPr="0010593E" w:rsidRDefault="005A1617" w:rsidP="003F244D">
            <w:pPr>
              <w:rPr>
                <w:sz w:val="22"/>
                <w:szCs w:val="22"/>
              </w:rPr>
            </w:pPr>
            <w:r w:rsidRPr="0010593E">
              <w:rPr>
                <w:sz w:val="22"/>
                <w:szCs w:val="22"/>
                <w:lang w:val="en-GB"/>
              </w:rPr>
              <w:t>Left/Right</w:t>
            </w:r>
          </w:p>
        </w:tc>
        <w:tc>
          <w:tcPr>
            <w:tcW w:w="2268" w:type="dxa"/>
            <w:hideMark/>
          </w:tcPr>
          <w:p w14:paraId="3D786B30" w14:textId="77777777" w:rsidR="005A1617" w:rsidRPr="0010593E" w:rsidRDefault="005A1617" w:rsidP="003F244D">
            <w:pPr>
              <w:jc w:val="center"/>
              <w:rPr>
                <w:sz w:val="22"/>
                <w:szCs w:val="22"/>
              </w:rPr>
            </w:pPr>
            <w:r w:rsidRPr="0010593E">
              <w:rPr>
                <w:sz w:val="22"/>
                <w:szCs w:val="22"/>
              </w:rPr>
              <w:t>.985</w:t>
            </w:r>
          </w:p>
        </w:tc>
        <w:tc>
          <w:tcPr>
            <w:tcW w:w="2268" w:type="dxa"/>
            <w:hideMark/>
          </w:tcPr>
          <w:p w14:paraId="4FB4E7A7" w14:textId="77777777" w:rsidR="005A1617" w:rsidRPr="0010593E" w:rsidRDefault="005A1617" w:rsidP="003F244D">
            <w:pPr>
              <w:jc w:val="center"/>
              <w:rPr>
                <w:sz w:val="22"/>
                <w:szCs w:val="22"/>
              </w:rPr>
            </w:pPr>
            <w:r w:rsidRPr="0010593E">
              <w:rPr>
                <w:sz w:val="22"/>
                <w:szCs w:val="22"/>
              </w:rPr>
              <w:t>.955</w:t>
            </w:r>
          </w:p>
        </w:tc>
        <w:tc>
          <w:tcPr>
            <w:tcW w:w="2268" w:type="dxa"/>
            <w:hideMark/>
          </w:tcPr>
          <w:p w14:paraId="6A27DBFD" w14:textId="77777777" w:rsidR="005A1617" w:rsidRPr="0010593E" w:rsidRDefault="005A1617" w:rsidP="003F244D">
            <w:pPr>
              <w:jc w:val="center"/>
              <w:rPr>
                <w:sz w:val="22"/>
                <w:szCs w:val="22"/>
              </w:rPr>
            </w:pPr>
            <w:r w:rsidRPr="0010593E">
              <w:rPr>
                <w:sz w:val="22"/>
                <w:szCs w:val="22"/>
              </w:rPr>
              <w:t>.995</w:t>
            </w:r>
          </w:p>
        </w:tc>
      </w:tr>
    </w:tbl>
    <w:p w14:paraId="1A817AFD" w14:textId="0F596E87" w:rsidR="005A1617" w:rsidRDefault="005A1617" w:rsidP="005A1617">
      <w:pPr>
        <w:jc w:val="both"/>
        <w:rPr>
          <w:lang w:val="en-US"/>
        </w:rPr>
      </w:pPr>
    </w:p>
    <w:p w14:paraId="68BD6A8A" w14:textId="77777777" w:rsidR="00386A78" w:rsidRPr="0010593E" w:rsidRDefault="00386A78" w:rsidP="005A1617">
      <w:pPr>
        <w:jc w:val="both"/>
        <w:rPr>
          <w:lang w:val="en-US"/>
        </w:rPr>
      </w:pPr>
    </w:p>
    <w:p w14:paraId="7D315902" w14:textId="699D3892" w:rsidR="005A1617" w:rsidRPr="0010593E" w:rsidRDefault="005A1617" w:rsidP="005A1617">
      <w:pPr>
        <w:jc w:val="both"/>
        <w:rPr>
          <w:b/>
          <w:bCs/>
          <w:sz w:val="22"/>
          <w:szCs w:val="22"/>
          <w:lang w:val="en-US"/>
        </w:rPr>
      </w:pPr>
      <w:r w:rsidRPr="0010593E">
        <w:rPr>
          <w:b/>
          <w:bCs/>
          <w:sz w:val="22"/>
          <w:szCs w:val="22"/>
          <w:lang w:val="en-US"/>
        </w:rPr>
        <w:t xml:space="preserve">sTable 2. </w:t>
      </w:r>
      <w:r w:rsidRPr="0010593E">
        <w:rPr>
          <w:sz w:val="22"/>
          <w:szCs w:val="22"/>
          <w:lang w:val="en-US"/>
        </w:rPr>
        <w:t>Dice similarity index for the reliability of the whole amygdala segmentation protocol</w:t>
      </w:r>
      <w:r w:rsidR="00386A78">
        <w:rPr>
          <w:sz w:val="22"/>
          <w:szCs w:val="22"/>
          <w:lang w:val="en-US"/>
        </w:rPr>
        <w:t xml:space="preserve"> of the cross-validation using ASHS</w:t>
      </w:r>
      <w:r w:rsidRPr="0010593E">
        <w:rPr>
          <w:sz w:val="22"/>
          <w:szCs w:val="22"/>
          <w:lang w:val="en-US"/>
        </w:rPr>
        <w:t>.</w:t>
      </w:r>
    </w:p>
    <w:tbl>
      <w:tblPr>
        <w:tblStyle w:val="PlainTable2"/>
        <w:tblW w:w="9072" w:type="dxa"/>
        <w:tblLook w:val="0600" w:firstRow="0" w:lastRow="0" w:firstColumn="0" w:lastColumn="0" w:noHBand="1" w:noVBand="1"/>
      </w:tblPr>
      <w:tblGrid>
        <w:gridCol w:w="1814"/>
        <w:gridCol w:w="1814"/>
        <w:gridCol w:w="1815"/>
        <w:gridCol w:w="1814"/>
        <w:gridCol w:w="1815"/>
      </w:tblGrid>
      <w:tr w:rsidR="003F244D" w:rsidRPr="0010593E" w14:paraId="276438C3" w14:textId="77777777" w:rsidTr="003F244D">
        <w:trPr>
          <w:trHeight w:val="57"/>
        </w:trPr>
        <w:tc>
          <w:tcPr>
            <w:tcW w:w="1814" w:type="dxa"/>
            <w:tcBorders>
              <w:top w:val="single" w:sz="4" w:space="0" w:color="7F7F7F" w:themeColor="text1" w:themeTint="80"/>
              <w:bottom w:val="single" w:sz="4" w:space="0" w:color="auto"/>
            </w:tcBorders>
            <w:hideMark/>
          </w:tcPr>
          <w:p w14:paraId="3BF00793" w14:textId="77777777" w:rsidR="005A1617" w:rsidRPr="0010593E" w:rsidRDefault="005A1617" w:rsidP="005A1617">
            <w:pPr>
              <w:jc w:val="both"/>
              <w:rPr>
                <w:rFonts w:eastAsiaTheme="minorHAnsi"/>
                <w:kern w:val="2"/>
                <w:sz w:val="22"/>
                <w:szCs w:val="22"/>
                <w:lang w:eastAsia="en-US"/>
                <w14:ligatures w14:val="standardContextual"/>
              </w:rPr>
            </w:pPr>
          </w:p>
        </w:tc>
        <w:tc>
          <w:tcPr>
            <w:tcW w:w="1814" w:type="dxa"/>
            <w:tcBorders>
              <w:top w:val="single" w:sz="4" w:space="0" w:color="7F7F7F" w:themeColor="text1" w:themeTint="80"/>
              <w:bottom w:val="single" w:sz="4" w:space="0" w:color="auto"/>
            </w:tcBorders>
            <w:hideMark/>
          </w:tcPr>
          <w:p w14:paraId="025F7875"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b/>
                <w:bCs/>
                <w:kern w:val="2"/>
                <w:sz w:val="22"/>
                <w:szCs w:val="22"/>
                <w:lang w:val="en-GB" w:eastAsia="en-US"/>
                <w14:ligatures w14:val="standardContextual"/>
              </w:rPr>
              <w:t>Mean DSI</w:t>
            </w:r>
          </w:p>
        </w:tc>
        <w:tc>
          <w:tcPr>
            <w:tcW w:w="1815" w:type="dxa"/>
            <w:tcBorders>
              <w:top w:val="single" w:sz="4" w:space="0" w:color="7F7F7F" w:themeColor="text1" w:themeTint="80"/>
              <w:bottom w:val="single" w:sz="4" w:space="0" w:color="auto"/>
            </w:tcBorders>
            <w:hideMark/>
          </w:tcPr>
          <w:p w14:paraId="239CE31E"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b/>
                <w:bCs/>
                <w:kern w:val="2"/>
                <w:sz w:val="22"/>
                <w:szCs w:val="22"/>
                <w:lang w:val="en-GB" w:eastAsia="en-US"/>
                <w14:ligatures w14:val="standardContextual"/>
              </w:rPr>
              <w:t>SD</w:t>
            </w:r>
          </w:p>
        </w:tc>
        <w:tc>
          <w:tcPr>
            <w:tcW w:w="1814" w:type="dxa"/>
            <w:tcBorders>
              <w:top w:val="single" w:sz="4" w:space="0" w:color="7F7F7F" w:themeColor="text1" w:themeTint="80"/>
              <w:bottom w:val="single" w:sz="4" w:space="0" w:color="auto"/>
            </w:tcBorders>
            <w:hideMark/>
          </w:tcPr>
          <w:p w14:paraId="54C1BBBC"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b/>
                <w:bCs/>
                <w:kern w:val="2"/>
                <w:sz w:val="22"/>
                <w:szCs w:val="22"/>
                <w:lang w:val="en-GB" w:eastAsia="en-US"/>
                <w14:ligatures w14:val="standardContextual"/>
              </w:rPr>
              <w:t>Min</w:t>
            </w:r>
          </w:p>
        </w:tc>
        <w:tc>
          <w:tcPr>
            <w:tcW w:w="1815" w:type="dxa"/>
            <w:tcBorders>
              <w:top w:val="single" w:sz="4" w:space="0" w:color="7F7F7F" w:themeColor="text1" w:themeTint="80"/>
              <w:bottom w:val="single" w:sz="4" w:space="0" w:color="auto"/>
            </w:tcBorders>
            <w:hideMark/>
          </w:tcPr>
          <w:p w14:paraId="274BF0DE"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b/>
                <w:bCs/>
                <w:kern w:val="2"/>
                <w:sz w:val="22"/>
                <w:szCs w:val="22"/>
                <w:lang w:val="en-GB" w:eastAsia="en-US"/>
                <w14:ligatures w14:val="standardContextual"/>
              </w:rPr>
              <w:t>Max</w:t>
            </w:r>
          </w:p>
        </w:tc>
      </w:tr>
      <w:tr w:rsidR="003F244D" w:rsidRPr="0010593E" w14:paraId="79D395A8" w14:textId="77777777" w:rsidTr="003F244D">
        <w:trPr>
          <w:trHeight w:val="57"/>
        </w:trPr>
        <w:tc>
          <w:tcPr>
            <w:tcW w:w="1814" w:type="dxa"/>
            <w:tcBorders>
              <w:top w:val="single" w:sz="4" w:space="0" w:color="auto"/>
            </w:tcBorders>
            <w:hideMark/>
          </w:tcPr>
          <w:p w14:paraId="4AE24896" w14:textId="77777777" w:rsidR="005A1617" w:rsidRPr="0010593E" w:rsidRDefault="005A1617" w:rsidP="003F244D">
            <w:pPr>
              <w:rPr>
                <w:rFonts w:eastAsiaTheme="minorHAnsi"/>
                <w:kern w:val="2"/>
                <w:sz w:val="22"/>
                <w:szCs w:val="22"/>
                <w:lang w:eastAsia="en-US"/>
                <w14:ligatures w14:val="standardContextual"/>
              </w:rPr>
            </w:pPr>
            <w:r w:rsidRPr="0010593E">
              <w:rPr>
                <w:rFonts w:eastAsiaTheme="minorHAnsi"/>
                <w:kern w:val="2"/>
                <w:sz w:val="22"/>
                <w:szCs w:val="22"/>
                <w:lang w:val="en-GB" w:eastAsia="en-US"/>
                <w14:ligatures w14:val="standardContextual"/>
              </w:rPr>
              <w:t>Left</w:t>
            </w:r>
          </w:p>
        </w:tc>
        <w:tc>
          <w:tcPr>
            <w:tcW w:w="1814" w:type="dxa"/>
            <w:tcBorders>
              <w:top w:val="single" w:sz="4" w:space="0" w:color="auto"/>
            </w:tcBorders>
            <w:hideMark/>
          </w:tcPr>
          <w:p w14:paraId="660781B9"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.917</w:t>
            </w:r>
          </w:p>
        </w:tc>
        <w:tc>
          <w:tcPr>
            <w:tcW w:w="1815" w:type="dxa"/>
            <w:tcBorders>
              <w:top w:val="single" w:sz="4" w:space="0" w:color="auto"/>
            </w:tcBorders>
            <w:hideMark/>
          </w:tcPr>
          <w:p w14:paraId="4908913D"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.022</w:t>
            </w:r>
          </w:p>
        </w:tc>
        <w:tc>
          <w:tcPr>
            <w:tcW w:w="1814" w:type="dxa"/>
            <w:tcBorders>
              <w:top w:val="single" w:sz="4" w:space="0" w:color="auto"/>
            </w:tcBorders>
            <w:hideMark/>
          </w:tcPr>
          <w:p w14:paraId="68B8B4BD"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.878</w:t>
            </w:r>
          </w:p>
        </w:tc>
        <w:tc>
          <w:tcPr>
            <w:tcW w:w="1815" w:type="dxa"/>
            <w:tcBorders>
              <w:top w:val="single" w:sz="4" w:space="0" w:color="auto"/>
            </w:tcBorders>
            <w:hideMark/>
          </w:tcPr>
          <w:p w14:paraId="10FA9FDD"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.948</w:t>
            </w:r>
          </w:p>
        </w:tc>
      </w:tr>
      <w:tr w:rsidR="003F244D" w:rsidRPr="0010593E" w14:paraId="79E78FBF" w14:textId="77777777" w:rsidTr="003F244D">
        <w:trPr>
          <w:trHeight w:val="57"/>
        </w:trPr>
        <w:tc>
          <w:tcPr>
            <w:tcW w:w="1814" w:type="dxa"/>
            <w:hideMark/>
          </w:tcPr>
          <w:p w14:paraId="45214CF6" w14:textId="77777777" w:rsidR="005A1617" w:rsidRPr="0010593E" w:rsidRDefault="005A1617" w:rsidP="003F244D">
            <w:pPr>
              <w:rPr>
                <w:rFonts w:eastAsiaTheme="minorHAnsi"/>
                <w:kern w:val="2"/>
                <w:sz w:val="22"/>
                <w:szCs w:val="22"/>
                <w:lang w:eastAsia="en-US"/>
                <w14:ligatures w14:val="standardContextual"/>
              </w:rPr>
            </w:pPr>
            <w:r w:rsidRPr="0010593E">
              <w:rPr>
                <w:rFonts w:eastAsiaTheme="minorHAnsi"/>
                <w:kern w:val="2"/>
                <w:sz w:val="22"/>
                <w:szCs w:val="22"/>
                <w:lang w:val="en-GB" w:eastAsia="en-US"/>
                <w14:ligatures w14:val="standardContextual"/>
              </w:rPr>
              <w:t>Right</w:t>
            </w:r>
          </w:p>
        </w:tc>
        <w:tc>
          <w:tcPr>
            <w:tcW w:w="1814" w:type="dxa"/>
            <w:hideMark/>
          </w:tcPr>
          <w:p w14:paraId="299247D2"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.910</w:t>
            </w:r>
          </w:p>
        </w:tc>
        <w:tc>
          <w:tcPr>
            <w:tcW w:w="1815" w:type="dxa"/>
            <w:hideMark/>
          </w:tcPr>
          <w:p w14:paraId="6BD9FD95"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.027</w:t>
            </w:r>
          </w:p>
        </w:tc>
        <w:tc>
          <w:tcPr>
            <w:tcW w:w="1814" w:type="dxa"/>
            <w:hideMark/>
          </w:tcPr>
          <w:p w14:paraId="24E2231C"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.863</w:t>
            </w:r>
          </w:p>
        </w:tc>
        <w:tc>
          <w:tcPr>
            <w:tcW w:w="1815" w:type="dxa"/>
            <w:hideMark/>
          </w:tcPr>
          <w:p w14:paraId="1269A4E5"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.941</w:t>
            </w:r>
          </w:p>
        </w:tc>
      </w:tr>
      <w:tr w:rsidR="003F244D" w:rsidRPr="0010593E" w14:paraId="245145CE" w14:textId="77777777" w:rsidTr="003F244D">
        <w:trPr>
          <w:trHeight w:val="57"/>
        </w:trPr>
        <w:tc>
          <w:tcPr>
            <w:tcW w:w="1814" w:type="dxa"/>
            <w:hideMark/>
          </w:tcPr>
          <w:p w14:paraId="4382992F" w14:textId="77777777" w:rsidR="005A1617" w:rsidRPr="0010593E" w:rsidRDefault="005A1617" w:rsidP="003F244D">
            <w:pPr>
              <w:rPr>
                <w:rFonts w:eastAsiaTheme="minorHAnsi"/>
                <w:kern w:val="2"/>
                <w:sz w:val="22"/>
                <w:szCs w:val="22"/>
                <w:lang w:eastAsia="en-US"/>
                <w14:ligatures w14:val="standardContextual"/>
              </w:rPr>
            </w:pPr>
            <w:r w:rsidRPr="0010593E">
              <w:rPr>
                <w:rFonts w:eastAsiaTheme="minorHAnsi"/>
                <w:kern w:val="2"/>
                <w:sz w:val="22"/>
                <w:szCs w:val="22"/>
                <w:lang w:val="en-GB" w:eastAsia="en-US"/>
                <w14:ligatures w14:val="standardContextual"/>
              </w:rPr>
              <w:t>Left/Right</w:t>
            </w:r>
          </w:p>
        </w:tc>
        <w:tc>
          <w:tcPr>
            <w:tcW w:w="1814" w:type="dxa"/>
            <w:hideMark/>
          </w:tcPr>
          <w:p w14:paraId="043B713A"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.914</w:t>
            </w:r>
          </w:p>
        </w:tc>
        <w:tc>
          <w:tcPr>
            <w:tcW w:w="1815" w:type="dxa"/>
            <w:hideMark/>
          </w:tcPr>
          <w:p w14:paraId="777366AE"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.015</w:t>
            </w:r>
          </w:p>
        </w:tc>
        <w:tc>
          <w:tcPr>
            <w:tcW w:w="1814" w:type="dxa"/>
            <w:hideMark/>
          </w:tcPr>
          <w:p w14:paraId="21370C49"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.888</w:t>
            </w:r>
          </w:p>
        </w:tc>
        <w:tc>
          <w:tcPr>
            <w:tcW w:w="1815" w:type="dxa"/>
            <w:hideMark/>
          </w:tcPr>
          <w:p w14:paraId="57DF15B9" w14:textId="77777777" w:rsidR="005A1617" w:rsidRPr="0010593E" w:rsidRDefault="005A1617" w:rsidP="003F244D">
            <w:pPr>
              <w:jc w:val="center"/>
              <w:rPr>
                <w:rFonts w:eastAsiaTheme="minorHAnsi"/>
                <w:kern w:val="2"/>
                <w:sz w:val="22"/>
                <w:szCs w:val="22"/>
                <w:lang w:eastAsia="en-US"/>
                <w14:ligatures w14:val="standardContextual"/>
              </w:rPr>
            </w:pPr>
            <w:r w:rsidRPr="0010593E">
              <w:rPr>
                <w:rFonts w:eastAsiaTheme="minorHAnsi"/>
                <w:kern w:val="2"/>
                <w:sz w:val="22"/>
                <w:szCs w:val="22"/>
                <w:lang w:eastAsia="en-US"/>
                <w14:ligatures w14:val="standardContextual"/>
              </w:rPr>
              <w:t>.940</w:t>
            </w:r>
          </w:p>
        </w:tc>
      </w:tr>
    </w:tbl>
    <w:p w14:paraId="28BE55E4" w14:textId="28F1DBA1" w:rsidR="003F244D" w:rsidRPr="0010593E" w:rsidRDefault="003F244D" w:rsidP="005A1617">
      <w:pPr>
        <w:jc w:val="both"/>
        <w:rPr>
          <w:lang w:val="en-US"/>
        </w:rPr>
      </w:pPr>
    </w:p>
    <w:p w14:paraId="7B207100" w14:textId="77777777" w:rsidR="001F7CB1" w:rsidRPr="0010593E" w:rsidRDefault="001F7CB1">
      <w:pPr>
        <w:rPr>
          <w:b/>
          <w:bCs/>
          <w:sz w:val="32"/>
          <w:szCs w:val="32"/>
          <w:lang w:val="en-US"/>
        </w:rPr>
      </w:pPr>
      <w:r w:rsidRPr="0010593E">
        <w:rPr>
          <w:b/>
          <w:bCs/>
          <w:sz w:val="32"/>
          <w:szCs w:val="32"/>
          <w:lang w:val="en-US"/>
        </w:rPr>
        <w:br w:type="page"/>
      </w:r>
    </w:p>
    <w:p w14:paraId="06729547" w14:textId="521E5538" w:rsidR="00835E36" w:rsidRPr="0010593E" w:rsidRDefault="00835E36" w:rsidP="00D6499A">
      <w:pPr>
        <w:jc w:val="both"/>
        <w:rPr>
          <w:color w:val="000000"/>
          <w:sz w:val="16"/>
          <w:szCs w:val="16"/>
          <w:lang w:val="en-US"/>
        </w:rPr>
        <w:sectPr w:rsidR="00835E36" w:rsidRPr="0010593E" w:rsidSect="00653D1C">
          <w:headerReference w:type="even" r:id="rId17"/>
          <w:headerReference w:type="default" r:id="rId18"/>
          <w:pgSz w:w="11906" w:h="16838"/>
          <w:pgMar w:top="572" w:right="1440" w:bottom="823" w:left="1440" w:header="708" w:footer="708" w:gutter="0"/>
          <w:pgNumType w:start="1"/>
          <w:cols w:space="708"/>
          <w:docGrid w:linePitch="360"/>
        </w:sectPr>
      </w:pPr>
    </w:p>
    <w:p w14:paraId="01217620" w14:textId="5CBB1403" w:rsidR="001E4BC9" w:rsidRPr="00E4541B" w:rsidRDefault="001E4BC9" w:rsidP="00E4541B">
      <w:pPr>
        <w:pStyle w:val="Heading1"/>
        <w:spacing w:line="480" w:lineRule="auto"/>
        <w:rPr>
          <w:rFonts w:ascii="Times New Roman" w:hAnsi="Times New Roman" w:cs="Times New Roman"/>
          <w:color w:val="000000" w:themeColor="text1"/>
          <w:lang w:val="en-US"/>
        </w:rPr>
      </w:pPr>
      <w:bookmarkStart w:id="14" w:name="_Toc161409446"/>
      <w:r w:rsidRPr="0010593E">
        <w:rPr>
          <w:rFonts w:ascii="Times New Roman" w:hAnsi="Times New Roman" w:cs="Times New Roman"/>
          <w:color w:val="000000" w:themeColor="text1"/>
          <w:lang w:val="en-US"/>
        </w:rPr>
        <w:lastRenderedPageBreak/>
        <w:t>References</w:t>
      </w:r>
      <w:bookmarkEnd w:id="14"/>
    </w:p>
    <w:p w14:paraId="7BBD55AE" w14:textId="77777777" w:rsidR="001E4BC9" w:rsidRPr="0010593E" w:rsidRDefault="001E4BC9" w:rsidP="00E4541B">
      <w:pPr>
        <w:spacing w:line="480" w:lineRule="auto"/>
        <w:ind w:left="284" w:hanging="284"/>
        <w:jc w:val="both"/>
        <w:rPr>
          <w:sz w:val="22"/>
          <w:szCs w:val="22"/>
          <w:lang w:val="en-US"/>
        </w:rPr>
      </w:pPr>
      <w:r w:rsidRPr="0010593E">
        <w:rPr>
          <w:sz w:val="22"/>
          <w:szCs w:val="22"/>
          <w:lang w:val="en-US"/>
        </w:rPr>
        <w:t xml:space="preserve">Ding, S. L., Royall, J. J., Sunkin, S. M., Ng, L., Facer, B. A. C., Lesnar, P., … Lein, E. S. (2016). Comprehensive cellular-resolution atlas of the adult human brain. </w:t>
      </w:r>
      <w:r w:rsidRPr="0010593E">
        <w:rPr>
          <w:i/>
          <w:iCs/>
          <w:sz w:val="22"/>
          <w:szCs w:val="22"/>
          <w:lang w:val="en-US"/>
        </w:rPr>
        <w:t>Journal of Comparative Neurology</w:t>
      </w:r>
      <w:r w:rsidRPr="0010593E">
        <w:rPr>
          <w:sz w:val="22"/>
          <w:szCs w:val="22"/>
          <w:lang w:val="en-US"/>
        </w:rPr>
        <w:t xml:space="preserve">, </w:t>
      </w:r>
      <w:r w:rsidRPr="0010593E">
        <w:rPr>
          <w:i/>
          <w:iCs/>
          <w:sz w:val="22"/>
          <w:szCs w:val="22"/>
          <w:lang w:val="en-US"/>
        </w:rPr>
        <w:t>524</w:t>
      </w:r>
      <w:r w:rsidRPr="0010593E">
        <w:rPr>
          <w:sz w:val="22"/>
          <w:szCs w:val="22"/>
          <w:lang w:val="en-US"/>
        </w:rPr>
        <w:t>(16), 3127–3481. https://doi.org/10.1002/cne.24080</w:t>
      </w:r>
    </w:p>
    <w:p w14:paraId="298CECEC" w14:textId="77777777" w:rsidR="001E4BC9" w:rsidRPr="0010593E" w:rsidRDefault="001E4BC9" w:rsidP="00E4541B">
      <w:pPr>
        <w:spacing w:line="480" w:lineRule="auto"/>
        <w:ind w:left="284" w:hanging="284"/>
        <w:jc w:val="both"/>
        <w:rPr>
          <w:sz w:val="22"/>
          <w:szCs w:val="22"/>
          <w:lang w:val="en-US"/>
        </w:rPr>
      </w:pPr>
      <w:r w:rsidRPr="0010593E">
        <w:rPr>
          <w:sz w:val="22"/>
          <w:szCs w:val="22"/>
          <w:lang w:val="en-US"/>
        </w:rPr>
        <w:t xml:space="preserve">Mai, J. K., Paxinos, G., &amp; Voss, T. (2008). </w:t>
      </w:r>
      <w:r w:rsidRPr="0010593E">
        <w:rPr>
          <w:i/>
          <w:iCs/>
          <w:sz w:val="22"/>
          <w:szCs w:val="22"/>
          <w:lang w:val="en-US"/>
        </w:rPr>
        <w:t>Atlas of the Human Brain</w:t>
      </w:r>
      <w:r w:rsidRPr="0010593E">
        <w:rPr>
          <w:sz w:val="22"/>
          <w:szCs w:val="22"/>
          <w:lang w:val="en-US"/>
        </w:rPr>
        <w:t xml:space="preserve"> (3rd Edition). New York, NY: Academic Press, Elsevier.</w:t>
      </w:r>
    </w:p>
    <w:p w14:paraId="7EF841FF" w14:textId="48C6B63A" w:rsidR="00ED7EC8" w:rsidRPr="004E1080" w:rsidRDefault="00ED7EC8" w:rsidP="00E4541B">
      <w:pPr>
        <w:spacing w:line="480" w:lineRule="auto"/>
        <w:ind w:left="284" w:hanging="284"/>
        <w:rPr>
          <w:sz w:val="22"/>
          <w:szCs w:val="22"/>
          <w:lang w:val="en-US"/>
        </w:rPr>
      </w:pPr>
      <w:r w:rsidRPr="0010593E">
        <w:rPr>
          <w:sz w:val="22"/>
          <w:szCs w:val="22"/>
          <w:lang w:val="en-US"/>
        </w:rPr>
        <w:t xml:space="preserve">Touroutoglou, A., Katsumi, Y., Brickhouse, M., Zaitsev, A., Eckbo, R., Aisen, P., Beckett, L., Dage, J. L., Eloyan, A., Foroud, T., Ghetti, B., Griffin, P., Hammers, D., Jack Jr., C. R., Kramer, J. H., Iaccarino, L., Joie, R. L., Mundada, N. S., Koeppe, R., … the LEADS Consortium. (2023). The Sporadic Early-onset Alzheimer’s Disease Signature Of Atrophy: Preliminary Findings From The Longitudinal Early-onset Alzheimer’s Disease Study (LEADS) Cohort. </w:t>
      </w:r>
      <w:r w:rsidRPr="00E4541B">
        <w:rPr>
          <w:sz w:val="22"/>
          <w:szCs w:val="22"/>
          <w:lang w:val="en-US"/>
        </w:rPr>
        <w:t xml:space="preserve">Alzheimer’s &amp; Dementia. </w:t>
      </w:r>
      <w:r w:rsidR="004E1080" w:rsidRPr="004E1080">
        <w:rPr>
          <w:sz w:val="22"/>
          <w:szCs w:val="22"/>
          <w:lang w:val="en-US"/>
        </w:rPr>
        <w:t>https://doi.org/10.1002/alz.13466</w:t>
      </w:r>
    </w:p>
    <w:p w14:paraId="765D79A3" w14:textId="0A719885" w:rsidR="004E1080" w:rsidRPr="00E4541B" w:rsidRDefault="004E1080" w:rsidP="00E4541B">
      <w:pPr>
        <w:spacing w:line="480" w:lineRule="auto"/>
        <w:ind w:left="284" w:hanging="284"/>
        <w:rPr>
          <w:sz w:val="22"/>
          <w:szCs w:val="22"/>
          <w:lang w:val="en-US"/>
        </w:rPr>
      </w:pPr>
      <w:r w:rsidRPr="004E1080">
        <w:rPr>
          <w:sz w:val="22"/>
          <w:szCs w:val="22"/>
          <w:lang w:val="en-US"/>
        </w:rPr>
        <w:t xml:space="preserve">Xie, L., Wisse, L. E. M., Pluta, J., de Flores, R., Piskin, V., Manjón, J. V., Wang, H., Das, S. R., Ding, S.-L., Wolk, D. A., Yushkevich, P. A., &amp; for the Alzheimer’s Disease Neuroimaging Initiative. (2019). Automated segmentation of medial temporal lobe subregions on in vivo T1-weighted MRI in early stages of Alzheimer’s disease. </w:t>
      </w:r>
      <w:r w:rsidRPr="00E4541B">
        <w:rPr>
          <w:sz w:val="22"/>
          <w:szCs w:val="22"/>
          <w:lang w:val="en-US"/>
        </w:rPr>
        <w:t>Human Brain Mapping, 40(12), 3431–3451. https://doi.org/10.1002/hbm.24607</w:t>
      </w:r>
    </w:p>
    <w:p w14:paraId="1E69F0BA" w14:textId="77777777" w:rsidR="001E4BC9" w:rsidRPr="0010593E" w:rsidRDefault="001E4BC9" w:rsidP="00E4541B">
      <w:pPr>
        <w:spacing w:line="480" w:lineRule="auto"/>
        <w:ind w:left="284" w:hanging="284"/>
        <w:jc w:val="both"/>
        <w:rPr>
          <w:sz w:val="22"/>
          <w:szCs w:val="22"/>
          <w:lang w:val="en-US"/>
        </w:rPr>
      </w:pPr>
      <w:r w:rsidRPr="00E4541B">
        <w:rPr>
          <w:sz w:val="22"/>
          <w:szCs w:val="22"/>
          <w:lang w:val="en-US"/>
        </w:rPr>
        <w:t xml:space="preserve">Yushkevich, P. A., Piven, J., Hazlett, H. C., Smith, R. G., Ho, S., Gee, J. C., &amp; Gerig, G. (2006). </w:t>
      </w:r>
      <w:r w:rsidRPr="0010593E">
        <w:rPr>
          <w:sz w:val="22"/>
          <w:szCs w:val="22"/>
          <w:lang w:val="en-US"/>
        </w:rPr>
        <w:t xml:space="preserve">User-guided 3D active contour segmentation of anatomical structures: Significantly improved efficiency and reliability. </w:t>
      </w:r>
      <w:r w:rsidRPr="0010593E">
        <w:rPr>
          <w:i/>
          <w:iCs/>
          <w:sz w:val="22"/>
          <w:szCs w:val="22"/>
          <w:lang w:val="en-US"/>
        </w:rPr>
        <w:t>NeuroImage</w:t>
      </w:r>
      <w:r w:rsidRPr="0010593E">
        <w:rPr>
          <w:sz w:val="22"/>
          <w:szCs w:val="22"/>
          <w:lang w:val="en-US"/>
        </w:rPr>
        <w:t xml:space="preserve">, </w:t>
      </w:r>
      <w:r w:rsidRPr="0010593E">
        <w:rPr>
          <w:i/>
          <w:iCs/>
          <w:sz w:val="22"/>
          <w:szCs w:val="22"/>
          <w:lang w:val="en-US"/>
        </w:rPr>
        <w:t>31</w:t>
      </w:r>
      <w:r w:rsidRPr="0010593E">
        <w:rPr>
          <w:sz w:val="22"/>
          <w:szCs w:val="22"/>
          <w:lang w:val="en-US"/>
        </w:rPr>
        <w:t>(3), 1116–1128. https://doi.org/10.1016/j.neuroimage.2006.01.015</w:t>
      </w:r>
    </w:p>
    <w:p w14:paraId="255DEDAE" w14:textId="6963AA87" w:rsidR="00ED7EC8" w:rsidRPr="0010593E" w:rsidRDefault="00ED7EC8" w:rsidP="005A1617">
      <w:pPr>
        <w:jc w:val="both"/>
        <w:rPr>
          <w:sz w:val="22"/>
          <w:szCs w:val="22"/>
          <w:lang w:val="en-US"/>
        </w:rPr>
      </w:pPr>
    </w:p>
    <w:sectPr w:rsidR="00ED7EC8" w:rsidRPr="0010593E" w:rsidSect="00653D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45D86" w14:textId="77777777" w:rsidR="00653D1C" w:rsidRDefault="00653D1C" w:rsidP="0010593E">
      <w:r>
        <w:separator/>
      </w:r>
    </w:p>
  </w:endnote>
  <w:endnote w:type="continuationSeparator" w:id="0">
    <w:p w14:paraId="6E986FDD" w14:textId="77777777" w:rsidR="00653D1C" w:rsidRDefault="00653D1C" w:rsidP="0010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5DADD" w14:textId="77777777" w:rsidR="00653D1C" w:rsidRDefault="00653D1C" w:rsidP="0010593E">
      <w:r>
        <w:separator/>
      </w:r>
    </w:p>
  </w:footnote>
  <w:footnote w:type="continuationSeparator" w:id="0">
    <w:p w14:paraId="40A6D2C5" w14:textId="77777777" w:rsidR="00653D1C" w:rsidRDefault="00653D1C" w:rsidP="00105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7191703"/>
      <w:docPartObj>
        <w:docPartGallery w:val="Page Numbers (Top of Page)"/>
        <w:docPartUnique/>
      </w:docPartObj>
    </w:sdtPr>
    <w:sdtContent>
      <w:p w14:paraId="27C2BB51" w14:textId="2493B917" w:rsidR="0010593E" w:rsidRDefault="0010593E" w:rsidP="00B14D4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6B69B3" w14:textId="77777777" w:rsidR="0010593E" w:rsidRDefault="0010593E" w:rsidP="0010593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000000" w:themeColor="text1"/>
        <w:sz w:val="20"/>
        <w:szCs w:val="20"/>
      </w:rPr>
      <w:id w:val="-74211921"/>
      <w:docPartObj>
        <w:docPartGallery w:val="Page Numbers (Top of Page)"/>
        <w:docPartUnique/>
      </w:docPartObj>
    </w:sdtPr>
    <w:sdtContent>
      <w:p w14:paraId="4F3731C9" w14:textId="5DB7E0A5" w:rsidR="0010593E" w:rsidRPr="0010593E" w:rsidRDefault="0010593E" w:rsidP="00B14D4E">
        <w:pPr>
          <w:pStyle w:val="Header"/>
          <w:framePr w:wrap="none" w:vAnchor="text" w:hAnchor="margin" w:xAlign="right" w:y="1"/>
          <w:rPr>
            <w:rStyle w:val="PageNumber"/>
            <w:color w:val="000000" w:themeColor="text1"/>
            <w:sz w:val="20"/>
            <w:szCs w:val="20"/>
          </w:rPr>
        </w:pPr>
        <w:r w:rsidRPr="0010593E">
          <w:rPr>
            <w:rStyle w:val="PageNumber"/>
            <w:color w:val="000000" w:themeColor="text1"/>
            <w:sz w:val="20"/>
            <w:szCs w:val="20"/>
          </w:rPr>
          <w:fldChar w:fldCharType="begin"/>
        </w:r>
        <w:r w:rsidRPr="0010593E">
          <w:rPr>
            <w:rStyle w:val="PageNumber"/>
            <w:color w:val="000000" w:themeColor="text1"/>
            <w:sz w:val="20"/>
            <w:szCs w:val="20"/>
          </w:rPr>
          <w:instrText xml:space="preserve"> PAGE </w:instrText>
        </w:r>
        <w:r w:rsidRPr="0010593E">
          <w:rPr>
            <w:rStyle w:val="PageNumber"/>
            <w:color w:val="000000" w:themeColor="text1"/>
            <w:sz w:val="20"/>
            <w:szCs w:val="20"/>
          </w:rPr>
          <w:fldChar w:fldCharType="separate"/>
        </w:r>
        <w:r w:rsidRPr="0010593E">
          <w:rPr>
            <w:rStyle w:val="PageNumber"/>
            <w:noProof/>
            <w:color w:val="000000" w:themeColor="text1"/>
            <w:sz w:val="20"/>
            <w:szCs w:val="20"/>
          </w:rPr>
          <w:t>1</w:t>
        </w:r>
        <w:r w:rsidRPr="0010593E">
          <w:rPr>
            <w:rStyle w:val="PageNumber"/>
            <w:color w:val="000000" w:themeColor="text1"/>
            <w:sz w:val="20"/>
            <w:szCs w:val="20"/>
          </w:rPr>
          <w:fldChar w:fldCharType="end"/>
        </w:r>
      </w:p>
    </w:sdtContent>
  </w:sdt>
  <w:p w14:paraId="7475331F" w14:textId="77777777" w:rsidR="0010593E" w:rsidRPr="0010593E" w:rsidRDefault="0010593E" w:rsidP="0010593E">
    <w:pPr>
      <w:pStyle w:val="Header"/>
      <w:ind w:right="360"/>
      <w:rPr>
        <w:color w:val="000000" w:themeColor="text1"/>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617"/>
    <w:rsid w:val="00031F6A"/>
    <w:rsid w:val="000510CA"/>
    <w:rsid w:val="000A1CAB"/>
    <w:rsid w:val="000B3C9B"/>
    <w:rsid w:val="000E17E4"/>
    <w:rsid w:val="0010593E"/>
    <w:rsid w:val="00153F7F"/>
    <w:rsid w:val="0017612B"/>
    <w:rsid w:val="00184D31"/>
    <w:rsid w:val="001B005E"/>
    <w:rsid w:val="001E4BC9"/>
    <w:rsid w:val="001F7CB1"/>
    <w:rsid w:val="002114A0"/>
    <w:rsid w:val="00241B47"/>
    <w:rsid w:val="00286E96"/>
    <w:rsid w:val="00293664"/>
    <w:rsid w:val="002C2D7B"/>
    <w:rsid w:val="002C3025"/>
    <w:rsid w:val="002C7FD7"/>
    <w:rsid w:val="002F3FA8"/>
    <w:rsid w:val="00386A78"/>
    <w:rsid w:val="003D47C5"/>
    <w:rsid w:val="003D6815"/>
    <w:rsid w:val="003E2D2A"/>
    <w:rsid w:val="003F244D"/>
    <w:rsid w:val="004102CB"/>
    <w:rsid w:val="00481059"/>
    <w:rsid w:val="00483AF3"/>
    <w:rsid w:val="004B077F"/>
    <w:rsid w:val="004D5EA4"/>
    <w:rsid w:val="004E1080"/>
    <w:rsid w:val="0050712B"/>
    <w:rsid w:val="00580831"/>
    <w:rsid w:val="005A1617"/>
    <w:rsid w:val="005A198E"/>
    <w:rsid w:val="005C000D"/>
    <w:rsid w:val="005D3FD7"/>
    <w:rsid w:val="00653D1C"/>
    <w:rsid w:val="006662C4"/>
    <w:rsid w:val="006E3054"/>
    <w:rsid w:val="00710254"/>
    <w:rsid w:val="00730E23"/>
    <w:rsid w:val="00753674"/>
    <w:rsid w:val="00763334"/>
    <w:rsid w:val="007D5834"/>
    <w:rsid w:val="007F1506"/>
    <w:rsid w:val="00835E36"/>
    <w:rsid w:val="008959EE"/>
    <w:rsid w:val="008C4ECF"/>
    <w:rsid w:val="00973FAF"/>
    <w:rsid w:val="0099574D"/>
    <w:rsid w:val="009A25D5"/>
    <w:rsid w:val="009B1C33"/>
    <w:rsid w:val="009B6082"/>
    <w:rsid w:val="009C07DC"/>
    <w:rsid w:val="00A97855"/>
    <w:rsid w:val="00AB6145"/>
    <w:rsid w:val="00B109EB"/>
    <w:rsid w:val="00B22528"/>
    <w:rsid w:val="00BC722F"/>
    <w:rsid w:val="00BD776D"/>
    <w:rsid w:val="00C639B5"/>
    <w:rsid w:val="00CA68C0"/>
    <w:rsid w:val="00D03388"/>
    <w:rsid w:val="00D51B70"/>
    <w:rsid w:val="00D55614"/>
    <w:rsid w:val="00D6499A"/>
    <w:rsid w:val="00D9442B"/>
    <w:rsid w:val="00DB573C"/>
    <w:rsid w:val="00DD1B65"/>
    <w:rsid w:val="00E37850"/>
    <w:rsid w:val="00E4541B"/>
    <w:rsid w:val="00E46182"/>
    <w:rsid w:val="00E948CD"/>
    <w:rsid w:val="00ED7EC8"/>
    <w:rsid w:val="00EE43B2"/>
    <w:rsid w:val="00EE6E9A"/>
    <w:rsid w:val="00EE6FF1"/>
    <w:rsid w:val="00F55ACB"/>
    <w:rsid w:val="00F61053"/>
    <w:rsid w:val="00FA713E"/>
    <w:rsid w:val="00FB2AE0"/>
    <w:rsid w:val="00FB2B9E"/>
    <w:rsid w:val="00FC6223"/>
  </w:rsids>
  <m:mathPr>
    <m:mathFont m:val="Cambria Math"/>
    <m:brkBin m:val="before"/>
    <m:brkBinSub m:val="--"/>
    <m:smallFrac m:val="0"/>
    <m:dispDef/>
    <m:lMargin m:val="0"/>
    <m:rMargin m:val="0"/>
    <m:defJc m:val="centerGroup"/>
    <m:wrapIndent m:val="1440"/>
    <m:intLim m:val="subSup"/>
    <m:naryLim m:val="undOvr"/>
  </m:mathPr>
  <w:themeFontLang w:val="en-S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E7DE"/>
  <w15:chartTrackingRefBased/>
  <w15:docId w15:val="{1104DACA-43FE-1E45-B0B6-5BD60321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831"/>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059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593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0593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5A161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AB6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D7EC8"/>
    <w:pPr>
      <w:spacing w:line="480" w:lineRule="auto"/>
      <w:ind w:left="720" w:hanging="720"/>
    </w:pPr>
  </w:style>
  <w:style w:type="character" w:styleId="CommentReference">
    <w:name w:val="annotation reference"/>
    <w:basedOn w:val="DefaultParagraphFont"/>
    <w:uiPriority w:val="99"/>
    <w:semiHidden/>
    <w:unhideWhenUsed/>
    <w:rsid w:val="00B109EB"/>
    <w:rPr>
      <w:sz w:val="16"/>
      <w:szCs w:val="16"/>
    </w:rPr>
  </w:style>
  <w:style w:type="paragraph" w:styleId="CommentText">
    <w:name w:val="annotation text"/>
    <w:basedOn w:val="Normal"/>
    <w:link w:val="CommentTextChar"/>
    <w:uiPriority w:val="99"/>
    <w:unhideWhenUsed/>
    <w:rsid w:val="00B109EB"/>
    <w:rPr>
      <w:sz w:val="20"/>
      <w:szCs w:val="20"/>
    </w:rPr>
  </w:style>
  <w:style w:type="character" w:customStyle="1" w:styleId="CommentTextChar">
    <w:name w:val="Comment Text Char"/>
    <w:basedOn w:val="DefaultParagraphFont"/>
    <w:link w:val="CommentText"/>
    <w:uiPriority w:val="99"/>
    <w:rsid w:val="00B109EB"/>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B109EB"/>
    <w:rPr>
      <w:b/>
      <w:bCs/>
    </w:rPr>
  </w:style>
  <w:style w:type="character" w:customStyle="1" w:styleId="CommentSubjectChar">
    <w:name w:val="Comment Subject Char"/>
    <w:basedOn w:val="CommentTextChar"/>
    <w:link w:val="CommentSubject"/>
    <w:uiPriority w:val="99"/>
    <w:semiHidden/>
    <w:rsid w:val="00B109EB"/>
    <w:rPr>
      <w:rFonts w:ascii="Times New Roman" w:eastAsia="Times New Roman" w:hAnsi="Times New Roman" w:cs="Times New Roman"/>
      <w:b/>
      <w:bCs/>
      <w:kern w:val="0"/>
      <w:sz w:val="20"/>
      <w:szCs w:val="20"/>
      <w:lang w:eastAsia="en-GB"/>
      <w14:ligatures w14:val="none"/>
    </w:rPr>
  </w:style>
  <w:style w:type="character" w:customStyle="1" w:styleId="Heading1Char">
    <w:name w:val="Heading 1 Char"/>
    <w:basedOn w:val="DefaultParagraphFont"/>
    <w:link w:val="Heading1"/>
    <w:uiPriority w:val="9"/>
    <w:rsid w:val="0010593E"/>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2Char">
    <w:name w:val="Heading 2 Char"/>
    <w:basedOn w:val="DefaultParagraphFont"/>
    <w:link w:val="Heading2"/>
    <w:uiPriority w:val="9"/>
    <w:rsid w:val="0010593E"/>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10593E"/>
    <w:rPr>
      <w:rFonts w:asciiTheme="majorHAnsi" w:eastAsiaTheme="majorEastAsia" w:hAnsiTheme="majorHAnsi" w:cstheme="majorBidi"/>
      <w:color w:val="1F3763" w:themeColor="accent1" w:themeShade="7F"/>
      <w:kern w:val="0"/>
      <w:lang w:eastAsia="en-GB"/>
      <w14:ligatures w14:val="none"/>
    </w:rPr>
  </w:style>
  <w:style w:type="paragraph" w:styleId="TOCHeading">
    <w:name w:val="TOC Heading"/>
    <w:basedOn w:val="Heading1"/>
    <w:next w:val="Normal"/>
    <w:uiPriority w:val="39"/>
    <w:unhideWhenUsed/>
    <w:qFormat/>
    <w:rsid w:val="0010593E"/>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10593E"/>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unhideWhenUsed/>
    <w:rsid w:val="0010593E"/>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10593E"/>
    <w:pPr>
      <w:ind w:left="480"/>
    </w:pPr>
    <w:rPr>
      <w:rFonts w:asciiTheme="minorHAnsi" w:hAnsiTheme="minorHAnsi" w:cstheme="minorHAnsi"/>
      <w:sz w:val="20"/>
      <w:szCs w:val="20"/>
    </w:rPr>
  </w:style>
  <w:style w:type="character" w:styleId="Hyperlink">
    <w:name w:val="Hyperlink"/>
    <w:basedOn w:val="DefaultParagraphFont"/>
    <w:uiPriority w:val="99"/>
    <w:unhideWhenUsed/>
    <w:rsid w:val="0010593E"/>
    <w:rPr>
      <w:color w:val="0563C1" w:themeColor="hyperlink"/>
      <w:u w:val="single"/>
    </w:rPr>
  </w:style>
  <w:style w:type="paragraph" w:styleId="TOC4">
    <w:name w:val="toc 4"/>
    <w:basedOn w:val="Normal"/>
    <w:next w:val="Normal"/>
    <w:autoRedefine/>
    <w:uiPriority w:val="39"/>
    <w:semiHidden/>
    <w:unhideWhenUsed/>
    <w:rsid w:val="0010593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10593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10593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10593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10593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10593E"/>
    <w:pPr>
      <w:ind w:left="1920"/>
    </w:pPr>
    <w:rPr>
      <w:rFonts w:asciiTheme="minorHAnsi" w:hAnsiTheme="minorHAnsi" w:cstheme="minorHAnsi"/>
      <w:sz w:val="20"/>
      <w:szCs w:val="20"/>
    </w:rPr>
  </w:style>
  <w:style w:type="paragraph" w:styleId="Header">
    <w:name w:val="header"/>
    <w:basedOn w:val="Normal"/>
    <w:link w:val="HeaderChar"/>
    <w:uiPriority w:val="99"/>
    <w:unhideWhenUsed/>
    <w:rsid w:val="0010593E"/>
    <w:pPr>
      <w:tabs>
        <w:tab w:val="center" w:pos="4513"/>
        <w:tab w:val="right" w:pos="9026"/>
      </w:tabs>
    </w:pPr>
  </w:style>
  <w:style w:type="character" w:customStyle="1" w:styleId="HeaderChar">
    <w:name w:val="Header Char"/>
    <w:basedOn w:val="DefaultParagraphFont"/>
    <w:link w:val="Header"/>
    <w:uiPriority w:val="99"/>
    <w:rsid w:val="0010593E"/>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10593E"/>
  </w:style>
  <w:style w:type="paragraph" w:styleId="Footer">
    <w:name w:val="footer"/>
    <w:basedOn w:val="Normal"/>
    <w:link w:val="FooterChar"/>
    <w:uiPriority w:val="99"/>
    <w:unhideWhenUsed/>
    <w:rsid w:val="0010593E"/>
    <w:pPr>
      <w:tabs>
        <w:tab w:val="center" w:pos="4513"/>
        <w:tab w:val="right" w:pos="9026"/>
      </w:tabs>
    </w:pPr>
  </w:style>
  <w:style w:type="character" w:customStyle="1" w:styleId="FooterChar">
    <w:name w:val="Footer Char"/>
    <w:basedOn w:val="DefaultParagraphFont"/>
    <w:link w:val="Footer"/>
    <w:uiPriority w:val="99"/>
    <w:rsid w:val="0010593E"/>
    <w:rPr>
      <w:rFonts w:ascii="Times New Roman" w:eastAsia="Times New Roman" w:hAnsi="Times New Roman" w:cs="Times New Roman"/>
      <w:kern w:val="0"/>
      <w:lang w:eastAsia="en-GB"/>
      <w14:ligatures w14:val="none"/>
    </w:rPr>
  </w:style>
  <w:style w:type="paragraph" w:styleId="Revision">
    <w:name w:val="Revision"/>
    <w:hidden/>
    <w:uiPriority w:val="99"/>
    <w:semiHidden/>
    <w:rsid w:val="00973FAF"/>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4E1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986471">
      <w:bodyDiv w:val="1"/>
      <w:marLeft w:val="0"/>
      <w:marRight w:val="0"/>
      <w:marTop w:val="0"/>
      <w:marBottom w:val="0"/>
      <w:divBdr>
        <w:top w:val="none" w:sz="0" w:space="0" w:color="auto"/>
        <w:left w:val="none" w:sz="0" w:space="0" w:color="auto"/>
        <w:bottom w:val="none" w:sz="0" w:space="0" w:color="auto"/>
        <w:right w:val="none" w:sz="0" w:space="0" w:color="auto"/>
      </w:divBdr>
    </w:div>
    <w:div w:id="819463745">
      <w:bodyDiv w:val="1"/>
      <w:marLeft w:val="0"/>
      <w:marRight w:val="0"/>
      <w:marTop w:val="0"/>
      <w:marBottom w:val="0"/>
      <w:divBdr>
        <w:top w:val="none" w:sz="0" w:space="0" w:color="auto"/>
        <w:left w:val="none" w:sz="0" w:space="0" w:color="auto"/>
        <w:bottom w:val="none" w:sz="0" w:space="0" w:color="auto"/>
        <w:right w:val="none" w:sz="0" w:space="0" w:color="auto"/>
      </w:divBdr>
    </w:div>
    <w:div w:id="1621841061">
      <w:bodyDiv w:val="1"/>
      <w:marLeft w:val="0"/>
      <w:marRight w:val="0"/>
      <w:marTop w:val="0"/>
      <w:marBottom w:val="0"/>
      <w:divBdr>
        <w:top w:val="none" w:sz="0" w:space="0" w:color="auto"/>
        <w:left w:val="none" w:sz="0" w:space="0" w:color="auto"/>
        <w:bottom w:val="none" w:sz="0" w:space="0" w:color="auto"/>
        <w:right w:val="none" w:sz="0" w:space="0" w:color="auto"/>
      </w:divBdr>
    </w:div>
    <w:div w:id="1792897480">
      <w:bodyDiv w:val="1"/>
      <w:marLeft w:val="0"/>
      <w:marRight w:val="0"/>
      <w:marTop w:val="0"/>
      <w:marBottom w:val="0"/>
      <w:divBdr>
        <w:top w:val="none" w:sz="0" w:space="0" w:color="auto"/>
        <w:left w:val="none" w:sz="0" w:space="0" w:color="auto"/>
        <w:bottom w:val="none" w:sz="0" w:space="0" w:color="auto"/>
        <w:right w:val="none" w:sz="0" w:space="0" w:color="auto"/>
      </w:divBdr>
    </w:div>
    <w:div w:id="186752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410D8-43A0-8C42-A980-8E5D84703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3105</Words>
  <Characters>17700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Wüstefeld</dc:creator>
  <cp:keywords/>
  <dc:description/>
  <cp:lastModifiedBy>Anika Wuestefeld</cp:lastModifiedBy>
  <cp:revision>3</cp:revision>
  <cp:lastPrinted>2024-05-08T06:26:00Z</cp:lastPrinted>
  <dcterms:created xsi:type="dcterms:W3CDTF">2024-05-08T06:26:00Z</dcterms:created>
  <dcterms:modified xsi:type="dcterms:W3CDTF">2024-05-08T06:26:00Z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zotero-version="6.0.31"&gt;&lt;session id="Cpix7MQt"/&gt;&lt;style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