
<file path=[Content_Types].xml><?xml version="1.0" encoding="utf-8"?>
<Types xmlns="http://schemas.openxmlformats.org/package/2006/content-types">
  <Default Extension="tiff" ContentType="image/tif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111147">
      <w:pPr>
        <w:spacing w:line="360" w:lineRule="auto"/>
        <w:rPr>
          <w:rFonts w:ascii="Times New Roman" w:hAnsi="Times New Roman" w:cs="Times New Roman"/>
          <w:sz w:val="24"/>
          <w:szCs w:val="24"/>
        </w:rPr>
      </w:pPr>
      <w:bookmarkStart w:id="0" w:name="_GoBack"/>
      <w:r>
        <w:rPr>
          <w:rFonts w:hint="eastAsia" w:ascii="Times New Roman" w:hAnsi="Times New Roman" w:cs="Times New Roman"/>
          <w:sz w:val="24"/>
          <w:szCs w:val="24"/>
        </w:rPr>
        <w:t xml:space="preserve">CEST Imaging Combined with </w:t>
      </w:r>
      <w:r>
        <w:rPr>
          <w:rFonts w:hint="eastAsia" w:ascii="Times New Roman" w:hAnsi="Times New Roman" w:cs="Times New Roman"/>
          <w:sz w:val="24"/>
          <w:szCs w:val="24"/>
          <w:vertAlign w:val="superscript"/>
        </w:rPr>
        <w:t>1</w:t>
      </w:r>
      <w:r>
        <w:rPr>
          <w:rFonts w:hint="eastAsia" w:ascii="Times New Roman" w:hAnsi="Times New Roman" w:cs="Times New Roman"/>
          <w:sz w:val="24"/>
          <w:szCs w:val="24"/>
        </w:rPr>
        <w:t xml:space="preserve">H-MRS Reveal the Neuroprotective Effects of </w:t>
      </w:r>
      <w:bookmarkEnd w:id="0"/>
      <w:r>
        <w:rPr>
          <w:rFonts w:hint="eastAsia" w:ascii="Times New Roman" w:hAnsi="Times New Roman" w:cs="Times New Roman"/>
          <w:sz w:val="24"/>
          <w:szCs w:val="24"/>
        </w:rPr>
        <w:t>Riluzole by Improving Neurotransmitter Imbalances in Alzheimer's Disease Mice</w:t>
      </w:r>
    </w:p>
    <w:p w14:paraId="57D0756F">
      <w:pPr>
        <w:spacing w:line="360" w:lineRule="auto"/>
        <w:rPr>
          <w:rFonts w:ascii="Times New Roman" w:hAnsi="Times New Roman" w:cs="Times New Roman"/>
          <w:sz w:val="24"/>
          <w:szCs w:val="24"/>
        </w:rPr>
      </w:pPr>
    </w:p>
    <w:p w14:paraId="7335F658">
      <w:pPr>
        <w:spacing w:line="360" w:lineRule="auto"/>
        <w:rPr>
          <w:rFonts w:ascii="Times New Roman" w:hAnsi="Times New Roman" w:cs="Times New Roman"/>
          <w:sz w:val="24"/>
          <w:szCs w:val="24"/>
        </w:rPr>
      </w:pPr>
      <w:r>
        <w:rPr>
          <w:rFonts w:hint="eastAsia" w:ascii="Times New Roman" w:hAnsi="Times New Roman" w:cs="Times New Roman"/>
          <w:sz w:val="24"/>
          <w:szCs w:val="24"/>
        </w:rPr>
        <w:t>Yuanyu Shen</w:t>
      </w:r>
      <w:r>
        <w:rPr>
          <w:rFonts w:hint="eastAsia" w:ascii="Times New Roman" w:hAnsi="Times New Roman" w:cs="Times New Roman"/>
          <w:sz w:val="24"/>
          <w:szCs w:val="24"/>
          <w:vertAlign w:val="superscript"/>
        </w:rPr>
        <w:t>1</w:t>
      </w:r>
      <w:r>
        <w:rPr>
          <w:rFonts w:hint="eastAsia" w:ascii="Times New Roman" w:hAnsi="Times New Roman" w:cs="Times New Roman"/>
          <w:sz w:val="24"/>
          <w:szCs w:val="24"/>
        </w:rPr>
        <w:t>, Xiaolei Zhang</w:t>
      </w:r>
      <w:r>
        <w:rPr>
          <w:rFonts w:hint="eastAsia" w:ascii="Times New Roman" w:hAnsi="Times New Roman" w:cs="Times New Roman"/>
          <w:sz w:val="24"/>
          <w:szCs w:val="24"/>
          <w:vertAlign w:val="superscript"/>
        </w:rPr>
        <w:t>1</w:t>
      </w:r>
      <w:r>
        <w:rPr>
          <w:rFonts w:hint="eastAsia" w:ascii="Times New Roman" w:hAnsi="Times New Roman" w:cs="Times New Roman"/>
          <w:sz w:val="24"/>
          <w:szCs w:val="24"/>
        </w:rPr>
        <w:t>, Siqi Liu</w:t>
      </w:r>
      <w:r>
        <w:rPr>
          <w:rFonts w:hint="eastAsia" w:ascii="Times New Roman" w:hAnsi="Times New Roman" w:cs="Times New Roman"/>
          <w:sz w:val="24"/>
          <w:szCs w:val="24"/>
          <w:vertAlign w:val="superscript"/>
        </w:rPr>
        <w:t>1</w:t>
      </w:r>
      <w:r>
        <w:rPr>
          <w:rFonts w:hint="eastAsia" w:ascii="Times New Roman" w:hAnsi="Times New Roman" w:cs="Times New Roman"/>
          <w:sz w:val="24"/>
          <w:szCs w:val="24"/>
        </w:rPr>
        <w:t>, Lijing Xin</w:t>
      </w:r>
      <w:r>
        <w:rPr>
          <w:rFonts w:hint="eastAsia" w:ascii="Times New Roman" w:hAnsi="Times New Roman" w:cs="Times New Roman"/>
          <w:sz w:val="24"/>
          <w:szCs w:val="24"/>
          <w:vertAlign w:val="superscript"/>
        </w:rPr>
        <w:t>2,3,4</w:t>
      </w:r>
      <w:r>
        <w:rPr>
          <w:rFonts w:hint="eastAsia" w:ascii="Times New Roman" w:hAnsi="Times New Roman" w:cs="Times New Roman"/>
          <w:sz w:val="24"/>
          <w:szCs w:val="24"/>
        </w:rPr>
        <w:t>, Wentao Xuan</w:t>
      </w:r>
      <w:r>
        <w:rPr>
          <w:rFonts w:hint="eastAsia" w:ascii="Times New Roman" w:hAnsi="Times New Roman" w:cs="Times New Roman"/>
          <w:sz w:val="24"/>
          <w:szCs w:val="24"/>
          <w:vertAlign w:val="superscript"/>
        </w:rPr>
        <w:t>1</w:t>
      </w:r>
      <w:r>
        <w:rPr>
          <w:rFonts w:hint="eastAsia" w:ascii="Times New Roman" w:hAnsi="Times New Roman" w:cs="Times New Roman"/>
          <w:sz w:val="24"/>
          <w:szCs w:val="24"/>
        </w:rPr>
        <w:t>, Caiyu Zhuang</w:t>
      </w:r>
      <w:r>
        <w:rPr>
          <w:rFonts w:hint="eastAsia" w:ascii="Times New Roman" w:hAnsi="Times New Roman" w:cs="Times New Roman"/>
          <w:sz w:val="24"/>
          <w:szCs w:val="24"/>
          <w:vertAlign w:val="superscript"/>
        </w:rPr>
        <w:t>1</w:t>
      </w:r>
      <w:r>
        <w:rPr>
          <w:rFonts w:hint="eastAsia" w:ascii="Times New Roman" w:hAnsi="Times New Roman" w:cs="Times New Roman"/>
          <w:sz w:val="24"/>
          <w:szCs w:val="24"/>
        </w:rPr>
        <w:t>, Yue Chen</w:t>
      </w:r>
      <w:r>
        <w:rPr>
          <w:rFonts w:hint="eastAsia" w:ascii="Times New Roman" w:hAnsi="Times New Roman" w:cs="Times New Roman"/>
          <w:sz w:val="24"/>
          <w:szCs w:val="24"/>
          <w:vertAlign w:val="superscript"/>
        </w:rPr>
        <w:t>1</w:t>
      </w:r>
      <w:r>
        <w:rPr>
          <w:rFonts w:hint="eastAsia" w:ascii="Times New Roman" w:hAnsi="Times New Roman" w:cs="Times New Roman"/>
          <w:sz w:val="24"/>
          <w:szCs w:val="24"/>
        </w:rPr>
        <w:t>, Beibei Chen</w:t>
      </w:r>
      <w:r>
        <w:rPr>
          <w:rFonts w:hint="eastAsia" w:ascii="Times New Roman" w:hAnsi="Times New Roman" w:cs="Times New Roman"/>
          <w:sz w:val="24"/>
          <w:szCs w:val="24"/>
          <w:vertAlign w:val="superscript"/>
        </w:rPr>
        <w:t>1</w:t>
      </w:r>
      <w:r>
        <w:rPr>
          <w:rFonts w:hint="eastAsia" w:ascii="Times New Roman" w:hAnsi="Times New Roman" w:cs="Times New Roman"/>
          <w:sz w:val="24"/>
          <w:szCs w:val="24"/>
        </w:rPr>
        <w:t>, Xinhui Zheng</w:t>
      </w:r>
      <w:r>
        <w:rPr>
          <w:rFonts w:hint="eastAsia" w:ascii="Times New Roman" w:hAnsi="Times New Roman" w:cs="Times New Roman"/>
          <w:sz w:val="24"/>
          <w:szCs w:val="24"/>
          <w:vertAlign w:val="superscript"/>
        </w:rPr>
        <w:t>1</w:t>
      </w:r>
      <w:r>
        <w:rPr>
          <w:rFonts w:hint="eastAsia" w:ascii="Times New Roman" w:hAnsi="Times New Roman" w:cs="Times New Roman"/>
          <w:sz w:val="24"/>
          <w:szCs w:val="24"/>
        </w:rPr>
        <w:t>, Renhua Wu</w:t>
      </w:r>
      <w:r>
        <w:rPr>
          <w:rFonts w:hint="eastAsia" w:ascii="Times New Roman" w:hAnsi="Times New Roman" w:cs="Times New Roman"/>
          <w:sz w:val="24"/>
          <w:szCs w:val="24"/>
          <w:vertAlign w:val="superscript"/>
        </w:rPr>
        <w:t>1</w:t>
      </w:r>
      <w:r>
        <w:rPr>
          <w:rFonts w:hint="eastAsia" w:ascii="Times New Roman" w:hAnsi="Times New Roman" w:cs="Times New Roman"/>
          <w:sz w:val="24"/>
          <w:szCs w:val="24"/>
        </w:rPr>
        <w:t>, and Yan Lin</w:t>
      </w:r>
      <w:r>
        <w:rPr>
          <w:rFonts w:hint="eastAsia" w:ascii="Times New Roman" w:hAnsi="Times New Roman" w:cs="Times New Roman"/>
          <w:sz w:val="24"/>
          <w:szCs w:val="24"/>
          <w:vertAlign w:val="superscript"/>
        </w:rPr>
        <w:t>1</w:t>
      </w:r>
    </w:p>
    <w:p w14:paraId="783871B2">
      <w:pPr>
        <w:spacing w:line="360" w:lineRule="auto"/>
        <w:rPr>
          <w:rFonts w:ascii="Times New Roman" w:hAnsi="Times New Roman" w:cs="Times New Roman"/>
          <w:sz w:val="24"/>
          <w:szCs w:val="24"/>
        </w:rPr>
      </w:pPr>
    </w:p>
    <w:p w14:paraId="286EB0E0">
      <w:pPr>
        <w:spacing w:line="360" w:lineRule="auto"/>
        <w:rPr>
          <w:rFonts w:ascii="Times New Roman" w:hAnsi="Times New Roman" w:cs="Times New Roman"/>
          <w:sz w:val="24"/>
          <w:szCs w:val="24"/>
        </w:rPr>
      </w:pPr>
      <w:r>
        <w:rPr>
          <w:rFonts w:hint="eastAsia" w:ascii="Times New Roman" w:hAnsi="Times New Roman" w:cs="Times New Roman"/>
          <w:sz w:val="24"/>
          <w:szCs w:val="24"/>
          <w:vertAlign w:val="superscript"/>
        </w:rPr>
        <w:t>1</w:t>
      </w:r>
      <w:r>
        <w:rPr>
          <w:rFonts w:hint="eastAsia" w:ascii="Times New Roman" w:hAnsi="Times New Roman" w:cs="Times New Roman"/>
          <w:sz w:val="24"/>
          <w:szCs w:val="24"/>
        </w:rPr>
        <w:t>Radiology Department, Second Affiliated Hospital of Shantou University Medical College, Shantou, Guangdong, China.</w:t>
      </w:r>
    </w:p>
    <w:p w14:paraId="39845AEA">
      <w:pPr>
        <w:spacing w:line="360" w:lineRule="auto"/>
        <w:rPr>
          <w:rFonts w:ascii="Times New Roman" w:hAnsi="Times New Roman" w:cs="Times New Roman"/>
          <w:sz w:val="24"/>
          <w:szCs w:val="24"/>
        </w:rPr>
      </w:pPr>
      <w:r>
        <w:rPr>
          <w:rFonts w:hint="eastAsia" w:ascii="Times New Roman" w:hAnsi="Times New Roman" w:cs="Times New Roman"/>
          <w:sz w:val="24"/>
          <w:szCs w:val="24"/>
          <w:vertAlign w:val="superscript"/>
        </w:rPr>
        <w:t>2</w:t>
      </w:r>
      <w:r>
        <w:rPr>
          <w:rFonts w:hint="eastAsia" w:ascii="Times New Roman" w:hAnsi="Times New Roman" w:cs="Times New Roman"/>
          <w:sz w:val="24"/>
          <w:szCs w:val="24"/>
        </w:rPr>
        <w:t xml:space="preserve">Center for Biomedical Imaging (CIBM), Lausanne, Switzerland </w:t>
      </w:r>
    </w:p>
    <w:p w14:paraId="25A09F2C">
      <w:pPr>
        <w:spacing w:line="360" w:lineRule="auto"/>
        <w:rPr>
          <w:rFonts w:ascii="Times New Roman" w:hAnsi="Times New Roman" w:cs="Times New Roman"/>
          <w:sz w:val="24"/>
          <w:szCs w:val="24"/>
        </w:rPr>
      </w:pPr>
      <w:r>
        <w:rPr>
          <w:rFonts w:hint="eastAsia" w:ascii="Times New Roman" w:hAnsi="Times New Roman" w:cs="Times New Roman"/>
          <w:sz w:val="24"/>
          <w:szCs w:val="24"/>
          <w:vertAlign w:val="superscript"/>
        </w:rPr>
        <w:t>3</w:t>
      </w:r>
      <w:r>
        <w:rPr>
          <w:rFonts w:hint="eastAsia" w:ascii="Times New Roman" w:hAnsi="Times New Roman" w:cs="Times New Roman"/>
          <w:sz w:val="24"/>
          <w:szCs w:val="24"/>
        </w:rPr>
        <w:t xml:space="preserve">Animal Imaging and Technology, Ecole Polytechnique Fédérale de Lausanne (EPFL), Lausanne, Switzerland </w:t>
      </w:r>
    </w:p>
    <w:p w14:paraId="1E071E7F">
      <w:pPr>
        <w:spacing w:line="360" w:lineRule="auto"/>
        <w:rPr>
          <w:rFonts w:ascii="Times New Roman" w:hAnsi="Times New Roman" w:cs="Times New Roman"/>
          <w:sz w:val="24"/>
          <w:szCs w:val="24"/>
        </w:rPr>
      </w:pPr>
      <w:r>
        <w:rPr>
          <w:rFonts w:hint="eastAsia" w:ascii="Times New Roman" w:hAnsi="Times New Roman" w:cs="Times New Roman"/>
          <w:sz w:val="24"/>
          <w:szCs w:val="24"/>
          <w:vertAlign w:val="superscript"/>
        </w:rPr>
        <w:t>4</w:t>
      </w:r>
      <w:r>
        <w:rPr>
          <w:rFonts w:hint="eastAsia" w:ascii="Times New Roman" w:hAnsi="Times New Roman" w:cs="Times New Roman"/>
          <w:sz w:val="24"/>
          <w:szCs w:val="24"/>
        </w:rPr>
        <w:t>Institute of Physics (IPHYS), Ecole Polytechnique Fédérale de Lausanne (EPFL), Lausanne, Switzerland</w:t>
      </w:r>
    </w:p>
    <w:p w14:paraId="1229BADE">
      <w:pPr>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Corresponding author: Yan Lin; email: </w:t>
      </w:r>
      <w:r>
        <w:fldChar w:fldCharType="begin"/>
      </w:r>
      <w:r>
        <w:instrText xml:space="preserve"> HYPERLINK "mailto:994809889@qq.com" </w:instrText>
      </w:r>
      <w:r>
        <w:fldChar w:fldCharType="separate"/>
      </w:r>
      <w:r>
        <w:rPr>
          <w:rStyle w:val="7"/>
          <w:rFonts w:hint="eastAsia" w:ascii="Times New Roman" w:hAnsi="Times New Roman" w:cs="Times New Roman"/>
          <w:sz w:val="24"/>
          <w:szCs w:val="24"/>
        </w:rPr>
        <w:t>994809889@qq.com</w:t>
      </w:r>
      <w:r>
        <w:rPr>
          <w:rStyle w:val="7"/>
          <w:rFonts w:hint="eastAsia" w:ascii="Times New Roman" w:hAnsi="Times New Roman" w:cs="Times New Roman"/>
          <w:sz w:val="24"/>
          <w:szCs w:val="24"/>
        </w:rPr>
        <w:fldChar w:fldCharType="end"/>
      </w:r>
    </w:p>
    <w:p w14:paraId="65F28A1F">
      <w:pPr>
        <w:spacing w:line="360" w:lineRule="auto"/>
        <w:rPr>
          <w:rFonts w:ascii="Times New Roman" w:hAnsi="Times New Roman" w:cs="Times New Roman"/>
          <w:sz w:val="24"/>
          <w:szCs w:val="24"/>
        </w:rPr>
      </w:pPr>
    </w:p>
    <w:p w14:paraId="24A9BF4D">
      <w:pPr>
        <w:spacing w:line="360" w:lineRule="auto"/>
        <w:rPr>
          <w:rFonts w:ascii="Times New Roman" w:hAnsi="Times New Roman" w:cs="Times New Roman"/>
          <w:b/>
          <w:bCs/>
          <w:sz w:val="24"/>
          <w:szCs w:val="24"/>
        </w:rPr>
      </w:pPr>
      <w:r>
        <w:rPr>
          <w:rFonts w:hint="eastAsia" w:ascii="Times New Roman" w:hAnsi="Times New Roman" w:cs="Times New Roman"/>
          <w:b/>
          <w:bCs/>
          <w:sz w:val="24"/>
          <w:szCs w:val="24"/>
        </w:rPr>
        <w:t>Phantom Study Methods</w:t>
      </w:r>
    </w:p>
    <w:p w14:paraId="1F1CA000">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A phantom study was conducted to assess the reliability and specificity of the chosen saturation frequencies in detecting changes in GABA and glutamate levels. The phantom consisted of five tubes containing the following solutions: 20 mM GABA, 10 mM GABA, 20 mM glutamate, 10 mM glutamate, and phosphate-buffered saline (PBS) as a reference. All solutions were adjusted to pH 7.0. CEST imaging of the phantom was performed using the same sequence and parameters as the in vivo experiments described in the main text.</w:t>
      </w:r>
    </w:p>
    <w:p w14:paraId="2832EE3A">
      <w:pPr>
        <w:spacing w:line="360" w:lineRule="auto"/>
        <w:ind w:firstLine="480" w:firstLineChars="200"/>
        <w:rPr>
          <w:rFonts w:ascii="Times New Roman" w:hAnsi="Times New Roman" w:cs="Times New Roman"/>
          <w:sz w:val="24"/>
          <w:szCs w:val="24"/>
        </w:rPr>
      </w:pPr>
    </w:p>
    <w:p w14:paraId="44E9F2D3">
      <w:pPr>
        <w:spacing w:line="360" w:lineRule="auto"/>
        <w:rPr>
          <w:rFonts w:ascii="Times New Roman" w:hAnsi="Times New Roman" w:cs="Times New Roman"/>
          <w:sz w:val="24"/>
          <w:szCs w:val="24"/>
        </w:rPr>
      </w:pPr>
      <w:r>
        <w:rPr>
          <w:rFonts w:hint="eastAsia" w:ascii="Times New Roman" w:hAnsi="Times New Roman" w:cs="Times New Roman"/>
          <w:b/>
          <w:bCs/>
          <w:sz w:val="24"/>
          <w:szCs w:val="24"/>
        </w:rPr>
        <w:t>Phantom Study Resul</w:t>
      </w:r>
      <w:r>
        <w:rPr>
          <w:rFonts w:hint="eastAsia" w:ascii="Times New Roman" w:hAnsi="Times New Roman" w:cs="Times New Roman"/>
          <w:sz w:val="24"/>
          <w:szCs w:val="24"/>
        </w:rPr>
        <w:t>ts</w:t>
      </w:r>
    </w:p>
    <w:p w14:paraId="735C855E">
      <w:pPr>
        <w:spacing w:line="360" w:lineRule="auto"/>
        <w:ind w:firstLine="480" w:firstLineChars="200"/>
        <w:rPr>
          <w:rFonts w:hint="eastAsia" w:ascii="Times New Roman" w:hAnsi="Times New Roman" w:cs="Times New Roman"/>
          <w:sz w:val="24"/>
          <w:szCs w:val="24"/>
        </w:rPr>
      </w:pPr>
      <w:r>
        <w:rPr>
          <w:rFonts w:hint="eastAsia" w:ascii="Times New Roman" w:hAnsi="Times New Roman" w:cs="Times New Roman"/>
          <w:sz w:val="24"/>
          <w:szCs w:val="24"/>
        </w:rPr>
        <w:t xml:space="preserve">The GABACEST-weighted image acquired at 2.75 ppm (Figure S1A) showed strong contrast for the GABA-containing tubes, with a minor contribution from glutamate. Conversely, the GluCEST-weighted image acquired at 3.0 ppm (Figure S1B) demonstrated stronger contrast for the glutamate-containing tubes, with a smaller contribution from GABA. The Z-spectra and MTRasym plots (Figure S1C) further </w:t>
      </w:r>
      <w:r>
        <w:rPr>
          <w:rFonts w:ascii="Times New Roman" w:hAnsi="Times New Roman" w:cs="Times New Roman"/>
          <w:sz w:val="24"/>
          <w:szCs w:val="24"/>
        </w:rPr>
        <w:drawing>
          <wp:anchor distT="0" distB="0" distL="114300" distR="114300" simplePos="0" relativeHeight="251659264" behindDoc="0" locked="0" layoutInCell="1" allowOverlap="1">
            <wp:simplePos x="0" y="0"/>
            <wp:positionH relativeFrom="column">
              <wp:posOffset>-28575</wp:posOffset>
            </wp:positionH>
            <wp:positionV relativeFrom="paragraph">
              <wp:posOffset>609600</wp:posOffset>
            </wp:positionV>
            <wp:extent cx="5274310" cy="1550670"/>
            <wp:effectExtent l="0" t="0" r="2540" b="0"/>
            <wp:wrapTopAndBottom/>
            <wp:docPr id="3070580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058056" name="图片 1"/>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5274310" cy="1550670"/>
                    </a:xfrm>
                    <a:prstGeom prst="rect">
                      <a:avLst/>
                    </a:prstGeom>
                  </pic:spPr>
                </pic:pic>
              </a:graphicData>
            </a:graphic>
          </wp:anchor>
        </w:drawing>
      </w:r>
      <w:r>
        <w:rPr>
          <w:rFonts w:hint="eastAsia" w:ascii="Times New Roman" w:hAnsi="Times New Roman" w:cs="Times New Roman"/>
          <w:sz w:val="24"/>
          <w:szCs w:val="24"/>
        </w:rPr>
        <w:t>illustrated the CEST effects of GABA and glutamate at their respective frequencies.</w:t>
      </w:r>
    </w:p>
    <w:p w14:paraId="3F756208">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Figure S1. Phantom study evaluating the contributions of GABA and glutamate to the CEST signal at different saturation frequencies. (A) GABACEST-weighted image acquired at 2.75 ppm saturation frequency, showing relative contrast for tubes containing 20 mM GABA, 10 mM GABA, 20 mM glutamate, 10 mM glutamate, and phosphate-buffered saline (PBS) as a reference. (B) GluCEST-weighted image acquired at 3.0 ppm saturation frequency for the same phantom setup. (C) Z-spectra and magnetization transfer ratio asymmetry (MTRasym) plots for each phantom solution.</w:t>
      </w:r>
    </w:p>
    <w:p w14:paraId="153EA28D">
      <w:pPr>
        <w:spacing w:line="360" w:lineRule="auto"/>
        <w:rPr>
          <w:rFonts w:ascii="Times New Roman" w:hAnsi="Times New Roman" w:cs="Times New Roman"/>
          <w:sz w:val="24"/>
          <w:szCs w:val="24"/>
        </w:rPr>
      </w:pPr>
    </w:p>
    <w:p w14:paraId="6F800808">
      <w:pPr>
        <w:spacing w:line="360" w:lineRule="auto"/>
        <w:rPr>
          <w:rFonts w:ascii="Times New Roman" w:hAnsi="Times New Roman" w:cs="Times New Roman"/>
          <w:sz w:val="24"/>
          <w:szCs w:val="24"/>
        </w:rPr>
      </w:pPr>
    </w:p>
    <w:p w14:paraId="1DC10023">
      <w:pPr>
        <w:spacing w:line="360" w:lineRule="auto"/>
        <w:rPr>
          <w:rFonts w:ascii="Times New Roman" w:hAnsi="Times New Roman" w:cs="Times New Roman"/>
          <w:sz w:val="24"/>
          <w:szCs w:val="24"/>
        </w:rPr>
      </w:pPr>
      <w:r>
        <w:rPr>
          <w:rFonts w:ascii="Times New Roman" w:hAnsi="Times New Roman" w:cs="Times New Roman"/>
          <w:sz w:val="24"/>
          <w:szCs w:val="24"/>
        </w:rPr>
        <w:drawing>
          <wp:inline distT="0" distB="0" distL="0" distR="0">
            <wp:extent cx="5274310" cy="5598160"/>
            <wp:effectExtent l="0" t="0" r="2540" b="2540"/>
            <wp:docPr id="9658062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806282" name="图片 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74310" cy="5598160"/>
                    </a:xfrm>
                    <a:prstGeom prst="rect">
                      <a:avLst/>
                    </a:prstGeom>
                  </pic:spPr>
                </pic:pic>
              </a:graphicData>
            </a:graphic>
          </wp:inline>
        </w:drawing>
      </w:r>
    </w:p>
    <w:p w14:paraId="102F017B">
      <w:pPr>
        <w:spacing w:line="360" w:lineRule="auto"/>
        <w:rPr>
          <w:rFonts w:ascii="Times New Roman" w:hAnsi="Times New Roman" w:cs="Times New Roman"/>
          <w:sz w:val="24"/>
          <w:szCs w:val="24"/>
        </w:rPr>
      </w:pPr>
      <w:r>
        <w:rPr>
          <w:rFonts w:hint="eastAsia" w:ascii="Times New Roman" w:hAnsi="Times New Roman" w:cs="Times New Roman"/>
          <w:sz w:val="24"/>
          <w:szCs w:val="24"/>
        </w:rPr>
        <w:t>Figure S2. Z-spectra and magnetization transfer ratio asymmetry spectra of four groups of mice of brain regions after 20-week treatment. (A-D) Z-spectra and magnetization transfer ratio asymmetry spectra (insets in the lower left of each panel) for the AD_R (A), AD_C (B), C57_R (C), and C57_C (D) groups. Within each group, the whole brain (left column), cortex (middle column), and hippocampus (right column) regions are shown. The AD_C group exhibits lower peak intensities at 2.75 ppm and 3.0 ppm compared to the other groups across all brain regions, indicating reduced CEST effects associated with glutamate and GABA.</w:t>
      </w:r>
    </w:p>
    <w:p w14:paraId="76587916">
      <w:pPr>
        <w:spacing w:line="360" w:lineRule="auto"/>
        <w:rPr>
          <w:rFonts w:ascii="Times New Roman" w:hAnsi="Times New Roman" w:cs="Times New Roman"/>
          <w:sz w:val="24"/>
          <w:szCs w:val="24"/>
        </w:rPr>
      </w:pPr>
    </w:p>
    <w:p w14:paraId="3B2A440B">
      <w:pPr>
        <w:spacing w:line="360" w:lineRule="auto"/>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2160905" cy="1440180"/>
            <wp:effectExtent l="0" t="0" r="0" b="7620"/>
            <wp:docPr id="18164010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401011" name="图片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61032" cy="1440180"/>
                    </a:xfrm>
                    <a:prstGeom prst="rect">
                      <a:avLst/>
                    </a:prstGeom>
                  </pic:spPr>
                </pic:pic>
              </a:graphicData>
            </a:graphic>
          </wp:inline>
        </w:drawing>
      </w:r>
    </w:p>
    <w:p w14:paraId="3BBFF0D3">
      <w:pPr>
        <w:spacing w:line="360" w:lineRule="auto"/>
        <w:rPr>
          <w:rFonts w:hint="eastAsia" w:ascii="Times New Roman" w:hAnsi="Times New Roman" w:cs="Times New Roman"/>
          <w:sz w:val="24"/>
          <w:szCs w:val="24"/>
        </w:rPr>
      </w:pPr>
      <w:r>
        <w:rPr>
          <w:rFonts w:hint="eastAsia" w:ascii="Times New Roman" w:hAnsi="Times New Roman" w:cs="Times New Roman"/>
          <w:sz w:val="24"/>
          <w:szCs w:val="24"/>
        </w:rPr>
        <w:t>Figure S3. Effects of riluzole on Tau immunostaining in the cortex of four groups of mice.</w:t>
      </w:r>
    </w:p>
    <w:p w14:paraId="76810EB4">
      <w:pPr>
        <w:spacing w:line="360" w:lineRule="auto"/>
        <w:rPr>
          <w:rFonts w:ascii="Times New Roman" w:hAnsi="Times New Roman" w:cs="Times New Roman"/>
          <w:sz w:val="24"/>
          <w:szCs w:val="24"/>
        </w:rPr>
      </w:pPr>
    </w:p>
    <w:p w14:paraId="501DFE22">
      <w:pPr>
        <w:spacing w:line="360" w:lineRule="auto"/>
        <w:rPr>
          <w:rFonts w:ascii="Times New Roman" w:hAnsi="Times New Roman" w:cs="Times New Roman"/>
          <w:sz w:val="24"/>
          <w:szCs w:val="24"/>
        </w:rPr>
      </w:pPr>
      <w:r>
        <w:rPr>
          <w:rFonts w:hint="eastAsia" w:ascii="Times New Roman" w:hAnsi="Times New Roman" w:cs="Times New Roman"/>
          <w:sz w:val="24"/>
          <w:szCs w:val="24"/>
        </w:rPr>
        <w:t>Table S1. Primary antibodies used for immunohistochemistry (IHC) and Western blot (WB) analysis.</w:t>
      </w:r>
    </w:p>
    <w:tbl>
      <w:tblPr>
        <w:tblStyle w:val="5"/>
        <w:tblW w:w="0" w:type="auto"/>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382"/>
        <w:gridCol w:w="1382"/>
        <w:gridCol w:w="1383"/>
        <w:gridCol w:w="1383"/>
        <w:gridCol w:w="1383"/>
        <w:gridCol w:w="1417"/>
      </w:tblGrid>
      <w:tr w14:paraId="7C1C7A3F">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382" w:type="dxa"/>
            <w:tcBorders>
              <w:top w:val="single" w:color="auto" w:sz="4" w:space="0"/>
              <w:bottom w:val="single" w:color="auto" w:sz="4" w:space="0"/>
            </w:tcBorders>
            <w:vAlign w:val="center"/>
          </w:tcPr>
          <w:p w14:paraId="29AB4A2D">
            <w:pPr>
              <w:spacing w:line="360" w:lineRule="auto"/>
              <w:rPr>
                <w:rFonts w:ascii="Times New Roman" w:hAnsi="Times New Roman" w:cs="Times New Roman"/>
                <w:b/>
                <w:bCs/>
                <w:sz w:val="24"/>
                <w:szCs w:val="24"/>
              </w:rPr>
            </w:pPr>
            <w:r>
              <w:rPr>
                <w:rFonts w:hint="eastAsia" w:ascii="Times New Roman" w:hAnsi="Times New Roman" w:cs="Times New Roman"/>
                <w:b/>
                <w:bCs/>
                <w:sz w:val="24"/>
                <w:szCs w:val="24"/>
              </w:rPr>
              <w:t>Antibody target</w:t>
            </w:r>
          </w:p>
        </w:tc>
        <w:tc>
          <w:tcPr>
            <w:tcW w:w="1382" w:type="dxa"/>
            <w:tcBorders>
              <w:top w:val="single" w:color="auto" w:sz="4" w:space="0"/>
              <w:bottom w:val="single" w:color="auto" w:sz="4" w:space="0"/>
            </w:tcBorders>
            <w:vAlign w:val="center"/>
          </w:tcPr>
          <w:p w14:paraId="2B496270">
            <w:pPr>
              <w:spacing w:line="360" w:lineRule="auto"/>
              <w:rPr>
                <w:rFonts w:ascii="Times New Roman" w:hAnsi="Times New Roman" w:cs="Times New Roman"/>
                <w:b/>
                <w:bCs/>
                <w:sz w:val="24"/>
                <w:szCs w:val="24"/>
              </w:rPr>
            </w:pPr>
            <w:r>
              <w:rPr>
                <w:rFonts w:hint="eastAsia" w:ascii="Times New Roman" w:hAnsi="Times New Roman" w:cs="Times New Roman"/>
                <w:b/>
                <w:bCs/>
                <w:sz w:val="24"/>
                <w:szCs w:val="24"/>
              </w:rPr>
              <w:t>Host species</w:t>
            </w:r>
          </w:p>
        </w:tc>
        <w:tc>
          <w:tcPr>
            <w:tcW w:w="1383" w:type="dxa"/>
            <w:tcBorders>
              <w:top w:val="single" w:color="auto" w:sz="4" w:space="0"/>
              <w:bottom w:val="single" w:color="auto" w:sz="4" w:space="0"/>
            </w:tcBorders>
            <w:vAlign w:val="center"/>
          </w:tcPr>
          <w:p w14:paraId="39521E1B">
            <w:pPr>
              <w:spacing w:line="360" w:lineRule="auto"/>
              <w:rPr>
                <w:rFonts w:ascii="Times New Roman" w:hAnsi="Times New Roman" w:cs="Times New Roman"/>
                <w:b/>
                <w:bCs/>
                <w:sz w:val="24"/>
                <w:szCs w:val="24"/>
              </w:rPr>
            </w:pPr>
            <w:r>
              <w:rPr>
                <w:rFonts w:hint="eastAsia" w:ascii="Times New Roman" w:hAnsi="Times New Roman" w:cs="Times New Roman"/>
                <w:b/>
                <w:bCs/>
                <w:sz w:val="24"/>
                <w:szCs w:val="24"/>
              </w:rPr>
              <w:t>Supplier</w:t>
            </w:r>
          </w:p>
        </w:tc>
        <w:tc>
          <w:tcPr>
            <w:tcW w:w="1383" w:type="dxa"/>
            <w:tcBorders>
              <w:top w:val="single" w:color="auto" w:sz="4" w:space="0"/>
              <w:bottom w:val="single" w:color="auto" w:sz="4" w:space="0"/>
            </w:tcBorders>
            <w:vAlign w:val="center"/>
          </w:tcPr>
          <w:p w14:paraId="1E59CD39">
            <w:pPr>
              <w:spacing w:line="360" w:lineRule="auto"/>
              <w:rPr>
                <w:rFonts w:ascii="Times New Roman" w:hAnsi="Times New Roman" w:cs="Times New Roman"/>
                <w:b/>
                <w:bCs/>
                <w:sz w:val="24"/>
                <w:szCs w:val="24"/>
              </w:rPr>
            </w:pPr>
            <w:r>
              <w:rPr>
                <w:rFonts w:hint="eastAsia" w:ascii="Times New Roman" w:hAnsi="Times New Roman" w:cs="Times New Roman"/>
                <w:b/>
                <w:bCs/>
                <w:sz w:val="24"/>
                <w:szCs w:val="24"/>
              </w:rPr>
              <w:t>Catalog number</w:t>
            </w:r>
          </w:p>
        </w:tc>
        <w:tc>
          <w:tcPr>
            <w:tcW w:w="1383" w:type="dxa"/>
            <w:tcBorders>
              <w:top w:val="single" w:color="auto" w:sz="4" w:space="0"/>
              <w:bottom w:val="single" w:color="auto" w:sz="4" w:space="0"/>
            </w:tcBorders>
            <w:vAlign w:val="center"/>
          </w:tcPr>
          <w:p w14:paraId="7622CE42">
            <w:pPr>
              <w:spacing w:line="360" w:lineRule="auto"/>
              <w:rPr>
                <w:rFonts w:ascii="Times New Roman" w:hAnsi="Times New Roman" w:cs="Times New Roman"/>
                <w:b/>
                <w:bCs/>
                <w:sz w:val="24"/>
                <w:szCs w:val="24"/>
              </w:rPr>
            </w:pPr>
            <w:r>
              <w:rPr>
                <w:rFonts w:hint="eastAsia" w:ascii="Times New Roman" w:hAnsi="Times New Roman" w:cs="Times New Roman"/>
                <w:b/>
                <w:bCs/>
                <w:sz w:val="24"/>
                <w:szCs w:val="24"/>
              </w:rPr>
              <w:t>Dilution</w:t>
            </w:r>
          </w:p>
        </w:tc>
        <w:tc>
          <w:tcPr>
            <w:tcW w:w="1383" w:type="dxa"/>
            <w:tcBorders>
              <w:top w:val="single" w:color="auto" w:sz="4" w:space="0"/>
              <w:bottom w:val="single" w:color="auto" w:sz="4" w:space="0"/>
            </w:tcBorders>
            <w:vAlign w:val="center"/>
          </w:tcPr>
          <w:p w14:paraId="304FAFEA">
            <w:pPr>
              <w:spacing w:line="360" w:lineRule="auto"/>
              <w:rPr>
                <w:rFonts w:ascii="Times New Roman" w:hAnsi="Times New Roman" w:cs="Times New Roman"/>
                <w:b/>
                <w:bCs/>
                <w:sz w:val="24"/>
                <w:szCs w:val="24"/>
              </w:rPr>
            </w:pPr>
            <w:r>
              <w:rPr>
                <w:rFonts w:hint="eastAsia" w:ascii="Times New Roman" w:hAnsi="Times New Roman" w:cs="Times New Roman"/>
                <w:b/>
                <w:bCs/>
                <w:sz w:val="24"/>
                <w:szCs w:val="24"/>
              </w:rPr>
              <w:t>Application</w:t>
            </w:r>
          </w:p>
        </w:tc>
      </w:tr>
      <w:tr w14:paraId="0519681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382" w:type="dxa"/>
            <w:tcBorders>
              <w:top w:val="single" w:color="auto" w:sz="4" w:space="0"/>
            </w:tcBorders>
          </w:tcPr>
          <w:p w14:paraId="6B8AC5B6">
            <w:pPr>
              <w:spacing w:line="360" w:lineRule="auto"/>
              <w:rPr>
                <w:rFonts w:ascii="Times New Roman" w:hAnsi="Times New Roman" w:cs="Times New Roman"/>
                <w:b/>
                <w:bCs/>
                <w:sz w:val="24"/>
                <w:szCs w:val="24"/>
              </w:rPr>
            </w:pPr>
            <w:r>
              <w:rPr>
                <w:rFonts w:hint="eastAsia" w:ascii="Times New Roman" w:hAnsi="Times New Roman" w:cs="Times New Roman"/>
                <w:b/>
                <w:bCs/>
                <w:sz w:val="24"/>
                <w:szCs w:val="24"/>
              </w:rPr>
              <w:t>β-Amyloid</w:t>
            </w:r>
          </w:p>
        </w:tc>
        <w:tc>
          <w:tcPr>
            <w:tcW w:w="1382" w:type="dxa"/>
            <w:tcBorders>
              <w:top w:val="single" w:color="auto" w:sz="4" w:space="0"/>
            </w:tcBorders>
          </w:tcPr>
          <w:p w14:paraId="45CFB6A7">
            <w:pPr>
              <w:spacing w:line="360" w:lineRule="auto"/>
              <w:rPr>
                <w:rFonts w:ascii="Times New Roman" w:hAnsi="Times New Roman" w:cs="Times New Roman"/>
                <w:sz w:val="24"/>
                <w:szCs w:val="24"/>
              </w:rPr>
            </w:pPr>
            <w:r>
              <w:rPr>
                <w:rFonts w:hint="eastAsia" w:ascii="Times New Roman" w:hAnsi="Times New Roman" w:cs="Times New Roman"/>
                <w:sz w:val="24"/>
                <w:szCs w:val="24"/>
              </w:rPr>
              <w:t>Rabbit</w:t>
            </w:r>
          </w:p>
        </w:tc>
        <w:tc>
          <w:tcPr>
            <w:tcW w:w="1383" w:type="dxa"/>
            <w:tcBorders>
              <w:top w:val="single" w:color="auto" w:sz="4" w:space="0"/>
            </w:tcBorders>
          </w:tcPr>
          <w:p w14:paraId="4C9EEEEC">
            <w:pPr>
              <w:spacing w:line="360" w:lineRule="auto"/>
              <w:rPr>
                <w:rFonts w:ascii="Times New Roman" w:hAnsi="Times New Roman" w:cs="Times New Roman"/>
                <w:sz w:val="24"/>
                <w:szCs w:val="24"/>
              </w:rPr>
            </w:pPr>
            <w:r>
              <w:rPr>
                <w:rFonts w:hint="eastAsia" w:ascii="Times New Roman" w:hAnsi="Times New Roman" w:cs="Times New Roman"/>
                <w:sz w:val="24"/>
                <w:szCs w:val="24"/>
              </w:rPr>
              <w:t>Thermo Scientific</w:t>
            </w:r>
          </w:p>
        </w:tc>
        <w:tc>
          <w:tcPr>
            <w:tcW w:w="1383" w:type="dxa"/>
            <w:tcBorders>
              <w:top w:val="single" w:color="auto" w:sz="4" w:space="0"/>
            </w:tcBorders>
          </w:tcPr>
          <w:p w14:paraId="0840ADCD">
            <w:pPr>
              <w:spacing w:line="360" w:lineRule="auto"/>
              <w:rPr>
                <w:rFonts w:ascii="Times New Roman" w:hAnsi="Times New Roman" w:cs="Times New Roman"/>
                <w:sz w:val="24"/>
                <w:szCs w:val="24"/>
              </w:rPr>
            </w:pPr>
            <w:r>
              <w:rPr>
                <w:rFonts w:hint="eastAsia" w:ascii="Times New Roman" w:hAnsi="Times New Roman" w:cs="Times New Roman"/>
                <w:sz w:val="24"/>
                <w:szCs w:val="24"/>
              </w:rPr>
              <w:t>715800</w:t>
            </w:r>
          </w:p>
        </w:tc>
        <w:tc>
          <w:tcPr>
            <w:tcW w:w="1383" w:type="dxa"/>
            <w:tcBorders>
              <w:top w:val="single" w:color="auto" w:sz="4" w:space="0"/>
            </w:tcBorders>
          </w:tcPr>
          <w:p w14:paraId="345851B0">
            <w:pPr>
              <w:spacing w:line="360" w:lineRule="auto"/>
              <w:rPr>
                <w:rFonts w:ascii="Times New Roman" w:hAnsi="Times New Roman" w:cs="Times New Roman"/>
                <w:sz w:val="24"/>
                <w:szCs w:val="24"/>
              </w:rPr>
            </w:pPr>
            <w:r>
              <w:rPr>
                <w:rFonts w:hint="eastAsia" w:ascii="Times New Roman" w:hAnsi="Times New Roman" w:cs="Times New Roman"/>
                <w:sz w:val="24"/>
                <w:szCs w:val="24"/>
              </w:rPr>
              <w:t>1:100</w:t>
            </w:r>
          </w:p>
        </w:tc>
        <w:tc>
          <w:tcPr>
            <w:tcW w:w="1383" w:type="dxa"/>
            <w:tcBorders>
              <w:top w:val="single" w:color="auto" w:sz="4" w:space="0"/>
            </w:tcBorders>
          </w:tcPr>
          <w:p w14:paraId="3B4299F7">
            <w:pPr>
              <w:spacing w:line="360" w:lineRule="auto"/>
              <w:rPr>
                <w:rFonts w:ascii="Times New Roman" w:hAnsi="Times New Roman" w:cs="Times New Roman"/>
                <w:sz w:val="24"/>
                <w:szCs w:val="24"/>
              </w:rPr>
            </w:pPr>
            <w:r>
              <w:rPr>
                <w:rFonts w:hint="eastAsia" w:ascii="Times New Roman" w:hAnsi="Times New Roman" w:cs="Times New Roman"/>
                <w:sz w:val="24"/>
                <w:szCs w:val="24"/>
              </w:rPr>
              <w:t>IHC</w:t>
            </w:r>
          </w:p>
        </w:tc>
      </w:tr>
      <w:tr w14:paraId="3DCF1026">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382" w:type="dxa"/>
          </w:tcPr>
          <w:p w14:paraId="3ABAAED1">
            <w:pPr>
              <w:spacing w:line="360" w:lineRule="auto"/>
              <w:rPr>
                <w:rFonts w:ascii="Times New Roman" w:hAnsi="Times New Roman" w:cs="Times New Roman"/>
                <w:b/>
                <w:bCs/>
                <w:sz w:val="24"/>
                <w:szCs w:val="24"/>
              </w:rPr>
            </w:pPr>
            <w:r>
              <w:rPr>
                <w:rFonts w:hint="eastAsia" w:ascii="Times New Roman" w:hAnsi="Times New Roman" w:cs="Times New Roman"/>
                <w:b/>
                <w:bCs/>
                <w:sz w:val="24"/>
                <w:szCs w:val="24"/>
              </w:rPr>
              <w:t>Tau pS404</w:t>
            </w:r>
          </w:p>
        </w:tc>
        <w:tc>
          <w:tcPr>
            <w:tcW w:w="1382" w:type="dxa"/>
          </w:tcPr>
          <w:p w14:paraId="26D162D1">
            <w:pPr>
              <w:spacing w:line="360" w:lineRule="auto"/>
              <w:rPr>
                <w:rFonts w:ascii="Times New Roman" w:hAnsi="Times New Roman" w:cs="Times New Roman"/>
                <w:sz w:val="24"/>
                <w:szCs w:val="24"/>
              </w:rPr>
            </w:pPr>
            <w:r>
              <w:rPr>
                <w:rFonts w:hint="eastAsia" w:ascii="Times New Roman" w:hAnsi="Times New Roman" w:cs="Times New Roman"/>
                <w:sz w:val="24"/>
                <w:szCs w:val="24"/>
              </w:rPr>
              <w:t>Rabbit</w:t>
            </w:r>
          </w:p>
        </w:tc>
        <w:tc>
          <w:tcPr>
            <w:tcW w:w="1383" w:type="dxa"/>
          </w:tcPr>
          <w:p w14:paraId="49C8AC10">
            <w:pPr>
              <w:spacing w:line="360" w:lineRule="auto"/>
              <w:rPr>
                <w:rFonts w:ascii="Times New Roman" w:hAnsi="Times New Roman" w:cs="Times New Roman"/>
                <w:sz w:val="24"/>
                <w:szCs w:val="24"/>
              </w:rPr>
            </w:pPr>
            <w:r>
              <w:rPr>
                <w:rFonts w:hint="eastAsia" w:ascii="Times New Roman" w:hAnsi="Times New Roman" w:cs="Times New Roman"/>
                <w:sz w:val="24"/>
                <w:szCs w:val="24"/>
              </w:rPr>
              <w:t>Abcam</w:t>
            </w:r>
          </w:p>
        </w:tc>
        <w:tc>
          <w:tcPr>
            <w:tcW w:w="1383" w:type="dxa"/>
          </w:tcPr>
          <w:p w14:paraId="327DCE3C">
            <w:pPr>
              <w:spacing w:line="360" w:lineRule="auto"/>
              <w:rPr>
                <w:rFonts w:ascii="Times New Roman" w:hAnsi="Times New Roman" w:cs="Times New Roman"/>
                <w:sz w:val="24"/>
                <w:szCs w:val="24"/>
              </w:rPr>
            </w:pPr>
            <w:r>
              <w:rPr>
                <w:rFonts w:hint="eastAsia" w:ascii="Times New Roman" w:hAnsi="Times New Roman" w:cs="Times New Roman"/>
                <w:sz w:val="24"/>
                <w:szCs w:val="24"/>
              </w:rPr>
              <w:t>ab92676</w:t>
            </w:r>
          </w:p>
        </w:tc>
        <w:tc>
          <w:tcPr>
            <w:tcW w:w="1383" w:type="dxa"/>
          </w:tcPr>
          <w:p w14:paraId="1F5DA745">
            <w:pPr>
              <w:spacing w:line="360" w:lineRule="auto"/>
              <w:rPr>
                <w:rFonts w:ascii="Times New Roman" w:hAnsi="Times New Roman" w:cs="Times New Roman"/>
                <w:sz w:val="24"/>
                <w:szCs w:val="24"/>
              </w:rPr>
            </w:pPr>
            <w:r>
              <w:rPr>
                <w:rFonts w:hint="eastAsia" w:ascii="Times New Roman" w:hAnsi="Times New Roman" w:cs="Times New Roman"/>
                <w:sz w:val="24"/>
                <w:szCs w:val="24"/>
              </w:rPr>
              <w:t>1:100</w:t>
            </w:r>
          </w:p>
        </w:tc>
        <w:tc>
          <w:tcPr>
            <w:tcW w:w="1383" w:type="dxa"/>
          </w:tcPr>
          <w:p w14:paraId="66E6C2E1">
            <w:pPr>
              <w:spacing w:line="360" w:lineRule="auto"/>
              <w:rPr>
                <w:rFonts w:ascii="Times New Roman" w:hAnsi="Times New Roman" w:cs="Times New Roman"/>
                <w:sz w:val="24"/>
                <w:szCs w:val="24"/>
              </w:rPr>
            </w:pPr>
            <w:r>
              <w:rPr>
                <w:rFonts w:hint="eastAsia" w:ascii="Times New Roman" w:hAnsi="Times New Roman" w:cs="Times New Roman"/>
                <w:sz w:val="24"/>
                <w:szCs w:val="24"/>
              </w:rPr>
              <w:t>IHC</w:t>
            </w:r>
          </w:p>
        </w:tc>
      </w:tr>
      <w:tr w14:paraId="313B00DB">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382" w:type="dxa"/>
          </w:tcPr>
          <w:p w14:paraId="4BAB568C">
            <w:pPr>
              <w:spacing w:line="360" w:lineRule="auto"/>
              <w:rPr>
                <w:rFonts w:ascii="Times New Roman" w:hAnsi="Times New Roman" w:cs="Times New Roman"/>
                <w:b/>
                <w:bCs/>
                <w:sz w:val="24"/>
                <w:szCs w:val="24"/>
              </w:rPr>
            </w:pPr>
            <w:r>
              <w:rPr>
                <w:rFonts w:hint="eastAsia" w:ascii="Times New Roman" w:hAnsi="Times New Roman" w:cs="Times New Roman"/>
                <w:b/>
                <w:bCs/>
                <w:sz w:val="24"/>
                <w:szCs w:val="24"/>
              </w:rPr>
              <w:t xml:space="preserve">GFAP  </w:t>
            </w:r>
          </w:p>
        </w:tc>
        <w:tc>
          <w:tcPr>
            <w:tcW w:w="1382" w:type="dxa"/>
          </w:tcPr>
          <w:p w14:paraId="07242369">
            <w:pPr>
              <w:spacing w:line="360" w:lineRule="auto"/>
              <w:rPr>
                <w:rFonts w:ascii="Times New Roman" w:hAnsi="Times New Roman" w:cs="Times New Roman"/>
                <w:sz w:val="24"/>
                <w:szCs w:val="24"/>
              </w:rPr>
            </w:pPr>
            <w:r>
              <w:rPr>
                <w:rFonts w:hint="eastAsia" w:ascii="Times New Roman" w:hAnsi="Times New Roman" w:cs="Times New Roman"/>
                <w:sz w:val="24"/>
                <w:szCs w:val="24"/>
              </w:rPr>
              <w:t>Rabbit</w:t>
            </w:r>
          </w:p>
        </w:tc>
        <w:tc>
          <w:tcPr>
            <w:tcW w:w="1383" w:type="dxa"/>
          </w:tcPr>
          <w:p w14:paraId="106F31DD">
            <w:pPr>
              <w:spacing w:line="360" w:lineRule="auto"/>
              <w:rPr>
                <w:rFonts w:ascii="Times New Roman" w:hAnsi="Times New Roman" w:cs="Times New Roman"/>
                <w:sz w:val="24"/>
                <w:szCs w:val="24"/>
              </w:rPr>
            </w:pPr>
            <w:r>
              <w:rPr>
                <w:rFonts w:hint="eastAsia" w:ascii="Times New Roman" w:hAnsi="Times New Roman" w:cs="Times New Roman"/>
                <w:sz w:val="24"/>
                <w:szCs w:val="24"/>
              </w:rPr>
              <w:t>Abcam</w:t>
            </w:r>
          </w:p>
        </w:tc>
        <w:tc>
          <w:tcPr>
            <w:tcW w:w="1383" w:type="dxa"/>
          </w:tcPr>
          <w:p w14:paraId="14D8A00A">
            <w:pPr>
              <w:spacing w:line="360" w:lineRule="auto"/>
              <w:rPr>
                <w:rFonts w:ascii="Times New Roman" w:hAnsi="Times New Roman" w:cs="Times New Roman"/>
                <w:sz w:val="24"/>
                <w:szCs w:val="24"/>
              </w:rPr>
            </w:pPr>
            <w:r>
              <w:rPr>
                <w:rFonts w:hint="eastAsia" w:ascii="Times New Roman" w:hAnsi="Times New Roman" w:cs="Times New Roman"/>
                <w:sz w:val="24"/>
                <w:szCs w:val="24"/>
              </w:rPr>
              <w:t>ab7260</w:t>
            </w:r>
          </w:p>
        </w:tc>
        <w:tc>
          <w:tcPr>
            <w:tcW w:w="1383" w:type="dxa"/>
          </w:tcPr>
          <w:p w14:paraId="55804E50">
            <w:pPr>
              <w:spacing w:line="360" w:lineRule="auto"/>
              <w:rPr>
                <w:rFonts w:ascii="Times New Roman" w:hAnsi="Times New Roman" w:cs="Times New Roman"/>
                <w:sz w:val="24"/>
                <w:szCs w:val="24"/>
              </w:rPr>
            </w:pPr>
            <w:r>
              <w:rPr>
                <w:rFonts w:hint="eastAsia" w:ascii="Times New Roman" w:hAnsi="Times New Roman" w:cs="Times New Roman"/>
                <w:sz w:val="24"/>
                <w:szCs w:val="24"/>
              </w:rPr>
              <w:t>1:100</w:t>
            </w:r>
          </w:p>
        </w:tc>
        <w:tc>
          <w:tcPr>
            <w:tcW w:w="1383" w:type="dxa"/>
          </w:tcPr>
          <w:p w14:paraId="3649331F">
            <w:pPr>
              <w:spacing w:line="360" w:lineRule="auto"/>
              <w:rPr>
                <w:rFonts w:ascii="Times New Roman" w:hAnsi="Times New Roman" w:cs="Times New Roman"/>
                <w:sz w:val="24"/>
                <w:szCs w:val="24"/>
              </w:rPr>
            </w:pPr>
            <w:r>
              <w:rPr>
                <w:rFonts w:hint="eastAsia" w:ascii="Times New Roman" w:hAnsi="Times New Roman" w:cs="Times New Roman"/>
                <w:sz w:val="24"/>
                <w:szCs w:val="24"/>
              </w:rPr>
              <w:t>IHC</w:t>
            </w:r>
          </w:p>
        </w:tc>
      </w:tr>
      <w:tr w14:paraId="51F916C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382" w:type="dxa"/>
          </w:tcPr>
          <w:p w14:paraId="3F9CAE2C">
            <w:pPr>
              <w:spacing w:line="360" w:lineRule="auto"/>
              <w:rPr>
                <w:rFonts w:ascii="Times New Roman" w:hAnsi="Times New Roman" w:cs="Times New Roman"/>
                <w:b/>
                <w:bCs/>
                <w:sz w:val="24"/>
                <w:szCs w:val="24"/>
              </w:rPr>
            </w:pPr>
            <w:r>
              <w:rPr>
                <w:rFonts w:hint="eastAsia" w:ascii="Times New Roman" w:hAnsi="Times New Roman" w:cs="Times New Roman"/>
                <w:b/>
                <w:bCs/>
                <w:sz w:val="24"/>
                <w:szCs w:val="24"/>
              </w:rPr>
              <w:t xml:space="preserve">EAAT2   </w:t>
            </w:r>
          </w:p>
        </w:tc>
        <w:tc>
          <w:tcPr>
            <w:tcW w:w="1382" w:type="dxa"/>
          </w:tcPr>
          <w:p w14:paraId="78D294F0">
            <w:pPr>
              <w:spacing w:line="360" w:lineRule="auto"/>
              <w:rPr>
                <w:rFonts w:ascii="Times New Roman" w:hAnsi="Times New Roman" w:cs="Times New Roman"/>
                <w:sz w:val="24"/>
                <w:szCs w:val="24"/>
              </w:rPr>
            </w:pPr>
            <w:r>
              <w:rPr>
                <w:rFonts w:hint="eastAsia" w:ascii="Times New Roman" w:hAnsi="Times New Roman" w:cs="Times New Roman"/>
                <w:sz w:val="24"/>
                <w:szCs w:val="24"/>
              </w:rPr>
              <w:t>Rabbit</w:t>
            </w:r>
          </w:p>
        </w:tc>
        <w:tc>
          <w:tcPr>
            <w:tcW w:w="1383" w:type="dxa"/>
          </w:tcPr>
          <w:p w14:paraId="41A8BBEA">
            <w:pPr>
              <w:spacing w:line="360" w:lineRule="auto"/>
              <w:rPr>
                <w:rFonts w:ascii="Times New Roman" w:hAnsi="Times New Roman" w:cs="Times New Roman"/>
                <w:sz w:val="24"/>
                <w:szCs w:val="24"/>
              </w:rPr>
            </w:pPr>
            <w:r>
              <w:rPr>
                <w:rFonts w:hint="eastAsia" w:ascii="Times New Roman" w:hAnsi="Times New Roman" w:cs="Times New Roman"/>
                <w:sz w:val="24"/>
                <w:szCs w:val="24"/>
              </w:rPr>
              <w:t>Abcam</w:t>
            </w:r>
          </w:p>
        </w:tc>
        <w:tc>
          <w:tcPr>
            <w:tcW w:w="1383" w:type="dxa"/>
          </w:tcPr>
          <w:p w14:paraId="013DDC40">
            <w:pPr>
              <w:spacing w:line="360" w:lineRule="auto"/>
              <w:rPr>
                <w:rFonts w:ascii="Times New Roman" w:hAnsi="Times New Roman" w:cs="Times New Roman"/>
                <w:sz w:val="24"/>
                <w:szCs w:val="24"/>
              </w:rPr>
            </w:pPr>
            <w:r>
              <w:rPr>
                <w:rFonts w:hint="eastAsia" w:ascii="Times New Roman" w:hAnsi="Times New Roman" w:cs="Times New Roman"/>
                <w:sz w:val="24"/>
                <w:szCs w:val="24"/>
              </w:rPr>
              <w:t>ab205248</w:t>
            </w:r>
          </w:p>
        </w:tc>
        <w:tc>
          <w:tcPr>
            <w:tcW w:w="1383" w:type="dxa"/>
          </w:tcPr>
          <w:p w14:paraId="3D37275E">
            <w:pPr>
              <w:spacing w:line="360" w:lineRule="auto"/>
              <w:rPr>
                <w:rFonts w:ascii="Times New Roman" w:hAnsi="Times New Roman" w:cs="Times New Roman"/>
                <w:sz w:val="24"/>
                <w:szCs w:val="24"/>
              </w:rPr>
            </w:pPr>
            <w:r>
              <w:rPr>
                <w:rFonts w:hint="eastAsia" w:ascii="Times New Roman" w:hAnsi="Times New Roman" w:cs="Times New Roman"/>
                <w:sz w:val="24"/>
                <w:szCs w:val="24"/>
              </w:rPr>
              <w:t>1:1,000</w:t>
            </w:r>
          </w:p>
        </w:tc>
        <w:tc>
          <w:tcPr>
            <w:tcW w:w="1383" w:type="dxa"/>
          </w:tcPr>
          <w:p w14:paraId="07EE09C2">
            <w:pPr>
              <w:spacing w:line="360" w:lineRule="auto"/>
              <w:rPr>
                <w:rFonts w:ascii="Times New Roman" w:hAnsi="Times New Roman" w:cs="Times New Roman"/>
                <w:sz w:val="24"/>
                <w:szCs w:val="24"/>
              </w:rPr>
            </w:pPr>
            <w:r>
              <w:rPr>
                <w:rFonts w:hint="eastAsia" w:ascii="Times New Roman" w:hAnsi="Times New Roman" w:cs="Times New Roman"/>
                <w:sz w:val="24"/>
                <w:szCs w:val="24"/>
              </w:rPr>
              <w:t>WB</w:t>
            </w:r>
          </w:p>
        </w:tc>
      </w:tr>
      <w:tr w14:paraId="5125557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382" w:type="dxa"/>
          </w:tcPr>
          <w:p w14:paraId="5BEC2FE1">
            <w:pPr>
              <w:spacing w:line="360" w:lineRule="auto"/>
              <w:rPr>
                <w:rFonts w:ascii="Times New Roman" w:hAnsi="Times New Roman" w:cs="Times New Roman"/>
                <w:b/>
                <w:bCs/>
                <w:sz w:val="24"/>
                <w:szCs w:val="24"/>
              </w:rPr>
            </w:pPr>
            <w:r>
              <w:rPr>
                <w:rFonts w:hint="eastAsia" w:ascii="Times New Roman" w:hAnsi="Times New Roman" w:cs="Times New Roman"/>
                <w:b/>
                <w:bCs/>
                <w:sz w:val="24"/>
                <w:szCs w:val="24"/>
              </w:rPr>
              <w:t>GAD65/67</w:t>
            </w:r>
          </w:p>
        </w:tc>
        <w:tc>
          <w:tcPr>
            <w:tcW w:w="1382" w:type="dxa"/>
          </w:tcPr>
          <w:p w14:paraId="0EF5A52E">
            <w:pPr>
              <w:spacing w:line="360" w:lineRule="auto"/>
              <w:rPr>
                <w:rFonts w:ascii="Times New Roman" w:hAnsi="Times New Roman" w:cs="Times New Roman"/>
                <w:sz w:val="24"/>
                <w:szCs w:val="24"/>
              </w:rPr>
            </w:pPr>
            <w:r>
              <w:rPr>
                <w:rFonts w:hint="eastAsia" w:ascii="Times New Roman" w:hAnsi="Times New Roman" w:cs="Times New Roman"/>
                <w:sz w:val="24"/>
                <w:szCs w:val="24"/>
              </w:rPr>
              <w:t>Rabbit</w:t>
            </w:r>
          </w:p>
        </w:tc>
        <w:tc>
          <w:tcPr>
            <w:tcW w:w="1383" w:type="dxa"/>
          </w:tcPr>
          <w:p w14:paraId="00CE9268">
            <w:pPr>
              <w:spacing w:line="360" w:lineRule="auto"/>
              <w:rPr>
                <w:rFonts w:ascii="Times New Roman" w:hAnsi="Times New Roman" w:cs="Times New Roman"/>
                <w:sz w:val="24"/>
                <w:szCs w:val="24"/>
              </w:rPr>
            </w:pPr>
            <w:r>
              <w:rPr>
                <w:rFonts w:hint="eastAsia" w:ascii="Times New Roman" w:hAnsi="Times New Roman" w:cs="Times New Roman"/>
                <w:sz w:val="24"/>
                <w:szCs w:val="24"/>
              </w:rPr>
              <w:t>Abcam</w:t>
            </w:r>
          </w:p>
        </w:tc>
        <w:tc>
          <w:tcPr>
            <w:tcW w:w="1383" w:type="dxa"/>
          </w:tcPr>
          <w:p w14:paraId="0FD35835">
            <w:pPr>
              <w:spacing w:line="360" w:lineRule="auto"/>
              <w:rPr>
                <w:rFonts w:ascii="Times New Roman" w:hAnsi="Times New Roman" w:cs="Times New Roman"/>
                <w:sz w:val="24"/>
                <w:szCs w:val="24"/>
              </w:rPr>
            </w:pPr>
            <w:r>
              <w:rPr>
                <w:rFonts w:hint="eastAsia" w:ascii="Times New Roman" w:hAnsi="Times New Roman" w:cs="Times New Roman"/>
                <w:sz w:val="24"/>
                <w:szCs w:val="24"/>
              </w:rPr>
              <w:t>ab183999</w:t>
            </w:r>
          </w:p>
        </w:tc>
        <w:tc>
          <w:tcPr>
            <w:tcW w:w="1383" w:type="dxa"/>
          </w:tcPr>
          <w:p w14:paraId="39EB941D">
            <w:pPr>
              <w:spacing w:line="360" w:lineRule="auto"/>
              <w:rPr>
                <w:rFonts w:ascii="Times New Roman" w:hAnsi="Times New Roman" w:cs="Times New Roman"/>
                <w:sz w:val="24"/>
                <w:szCs w:val="24"/>
              </w:rPr>
            </w:pPr>
            <w:r>
              <w:rPr>
                <w:rFonts w:hint="eastAsia" w:ascii="Times New Roman" w:hAnsi="Times New Roman" w:cs="Times New Roman"/>
                <w:sz w:val="24"/>
                <w:szCs w:val="24"/>
              </w:rPr>
              <w:t>1:1,000</w:t>
            </w:r>
          </w:p>
        </w:tc>
        <w:tc>
          <w:tcPr>
            <w:tcW w:w="1383" w:type="dxa"/>
          </w:tcPr>
          <w:p w14:paraId="1D9DFDFB">
            <w:pPr>
              <w:spacing w:line="360" w:lineRule="auto"/>
              <w:rPr>
                <w:rFonts w:ascii="Times New Roman" w:hAnsi="Times New Roman" w:cs="Times New Roman"/>
                <w:sz w:val="24"/>
                <w:szCs w:val="24"/>
              </w:rPr>
            </w:pPr>
            <w:r>
              <w:rPr>
                <w:rFonts w:hint="eastAsia" w:ascii="Times New Roman" w:hAnsi="Times New Roman" w:cs="Times New Roman"/>
                <w:sz w:val="24"/>
                <w:szCs w:val="24"/>
              </w:rPr>
              <w:t>WB</w:t>
            </w:r>
          </w:p>
        </w:tc>
      </w:tr>
      <w:tr w14:paraId="2C00A9B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382" w:type="dxa"/>
          </w:tcPr>
          <w:p w14:paraId="204C4A17">
            <w:pPr>
              <w:spacing w:line="360" w:lineRule="auto"/>
              <w:rPr>
                <w:rFonts w:ascii="Times New Roman" w:hAnsi="Times New Roman" w:cs="Times New Roman"/>
                <w:b/>
                <w:bCs/>
                <w:sz w:val="24"/>
                <w:szCs w:val="24"/>
              </w:rPr>
            </w:pPr>
            <w:r>
              <w:rPr>
                <w:rFonts w:hint="eastAsia" w:ascii="Times New Roman" w:hAnsi="Times New Roman" w:cs="Times New Roman"/>
                <w:b/>
                <w:bCs/>
                <w:sz w:val="24"/>
                <w:szCs w:val="24"/>
              </w:rPr>
              <w:t>GS</w:t>
            </w:r>
          </w:p>
        </w:tc>
        <w:tc>
          <w:tcPr>
            <w:tcW w:w="1382" w:type="dxa"/>
          </w:tcPr>
          <w:p w14:paraId="29C30D01">
            <w:pPr>
              <w:spacing w:line="360" w:lineRule="auto"/>
              <w:rPr>
                <w:rFonts w:ascii="Times New Roman" w:hAnsi="Times New Roman" w:cs="Times New Roman"/>
                <w:sz w:val="24"/>
                <w:szCs w:val="24"/>
              </w:rPr>
            </w:pPr>
            <w:r>
              <w:rPr>
                <w:rFonts w:hint="eastAsia" w:ascii="Times New Roman" w:hAnsi="Times New Roman" w:cs="Times New Roman"/>
                <w:sz w:val="24"/>
                <w:szCs w:val="24"/>
              </w:rPr>
              <w:t>Rabbit</w:t>
            </w:r>
          </w:p>
        </w:tc>
        <w:tc>
          <w:tcPr>
            <w:tcW w:w="1383" w:type="dxa"/>
          </w:tcPr>
          <w:p w14:paraId="3AD69F21">
            <w:pPr>
              <w:spacing w:line="360" w:lineRule="auto"/>
              <w:rPr>
                <w:rFonts w:ascii="Times New Roman" w:hAnsi="Times New Roman" w:cs="Times New Roman"/>
                <w:sz w:val="24"/>
                <w:szCs w:val="24"/>
              </w:rPr>
            </w:pPr>
            <w:r>
              <w:rPr>
                <w:rFonts w:hint="eastAsia" w:ascii="Times New Roman" w:hAnsi="Times New Roman" w:cs="Times New Roman"/>
                <w:sz w:val="24"/>
                <w:szCs w:val="24"/>
              </w:rPr>
              <w:t>Abcam</w:t>
            </w:r>
          </w:p>
        </w:tc>
        <w:tc>
          <w:tcPr>
            <w:tcW w:w="1383" w:type="dxa"/>
          </w:tcPr>
          <w:p w14:paraId="56A37E91">
            <w:pPr>
              <w:spacing w:line="360" w:lineRule="auto"/>
              <w:rPr>
                <w:rFonts w:ascii="Times New Roman" w:hAnsi="Times New Roman" w:cs="Times New Roman"/>
                <w:sz w:val="24"/>
                <w:szCs w:val="24"/>
              </w:rPr>
            </w:pPr>
            <w:r>
              <w:rPr>
                <w:rFonts w:hint="eastAsia" w:ascii="Times New Roman" w:hAnsi="Times New Roman" w:cs="Times New Roman"/>
                <w:sz w:val="24"/>
                <w:szCs w:val="24"/>
              </w:rPr>
              <w:t>ab197024</w:t>
            </w:r>
          </w:p>
        </w:tc>
        <w:tc>
          <w:tcPr>
            <w:tcW w:w="1383" w:type="dxa"/>
          </w:tcPr>
          <w:p w14:paraId="593B68C0">
            <w:pPr>
              <w:spacing w:line="360" w:lineRule="auto"/>
              <w:rPr>
                <w:rFonts w:ascii="Times New Roman" w:hAnsi="Times New Roman" w:cs="Times New Roman"/>
                <w:sz w:val="24"/>
                <w:szCs w:val="24"/>
              </w:rPr>
            </w:pPr>
            <w:r>
              <w:rPr>
                <w:rFonts w:hint="eastAsia" w:ascii="Times New Roman" w:hAnsi="Times New Roman" w:cs="Times New Roman"/>
                <w:sz w:val="24"/>
                <w:szCs w:val="24"/>
              </w:rPr>
              <w:t>1:1,000</w:t>
            </w:r>
          </w:p>
        </w:tc>
        <w:tc>
          <w:tcPr>
            <w:tcW w:w="1383" w:type="dxa"/>
          </w:tcPr>
          <w:p w14:paraId="572E730D">
            <w:pPr>
              <w:spacing w:line="360" w:lineRule="auto"/>
              <w:rPr>
                <w:rFonts w:ascii="Times New Roman" w:hAnsi="Times New Roman" w:cs="Times New Roman"/>
                <w:sz w:val="24"/>
                <w:szCs w:val="24"/>
              </w:rPr>
            </w:pPr>
            <w:r>
              <w:rPr>
                <w:rFonts w:hint="eastAsia" w:ascii="Times New Roman" w:hAnsi="Times New Roman" w:cs="Times New Roman"/>
                <w:sz w:val="24"/>
                <w:szCs w:val="24"/>
              </w:rPr>
              <w:t>WB</w:t>
            </w:r>
          </w:p>
        </w:tc>
      </w:tr>
      <w:tr w14:paraId="45A5A97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382" w:type="dxa"/>
          </w:tcPr>
          <w:p w14:paraId="307CA6B5">
            <w:pPr>
              <w:spacing w:line="360" w:lineRule="auto"/>
              <w:rPr>
                <w:rFonts w:ascii="Times New Roman" w:hAnsi="Times New Roman" w:cs="Times New Roman"/>
                <w:b/>
                <w:bCs/>
                <w:sz w:val="24"/>
                <w:szCs w:val="24"/>
              </w:rPr>
            </w:pPr>
            <w:r>
              <w:rPr>
                <w:rFonts w:hint="eastAsia" w:ascii="Times New Roman" w:hAnsi="Times New Roman" w:cs="Times New Roman"/>
                <w:b/>
                <w:bCs/>
                <w:sz w:val="24"/>
                <w:szCs w:val="24"/>
              </w:rPr>
              <w:t>GAPDH</w:t>
            </w:r>
          </w:p>
        </w:tc>
        <w:tc>
          <w:tcPr>
            <w:tcW w:w="1382" w:type="dxa"/>
          </w:tcPr>
          <w:p w14:paraId="39142893">
            <w:pPr>
              <w:spacing w:line="360" w:lineRule="auto"/>
              <w:rPr>
                <w:rFonts w:ascii="Times New Roman" w:hAnsi="Times New Roman" w:cs="Times New Roman"/>
                <w:sz w:val="24"/>
                <w:szCs w:val="24"/>
              </w:rPr>
            </w:pPr>
            <w:r>
              <w:rPr>
                <w:rFonts w:hint="eastAsia" w:ascii="Times New Roman" w:hAnsi="Times New Roman" w:cs="Times New Roman"/>
                <w:sz w:val="24"/>
                <w:szCs w:val="24"/>
              </w:rPr>
              <w:t>Rabbit</w:t>
            </w:r>
          </w:p>
        </w:tc>
        <w:tc>
          <w:tcPr>
            <w:tcW w:w="1383" w:type="dxa"/>
          </w:tcPr>
          <w:p w14:paraId="5565596E">
            <w:pPr>
              <w:spacing w:line="360" w:lineRule="auto"/>
              <w:rPr>
                <w:rFonts w:ascii="Times New Roman" w:hAnsi="Times New Roman" w:cs="Times New Roman"/>
                <w:sz w:val="24"/>
                <w:szCs w:val="24"/>
              </w:rPr>
            </w:pPr>
            <w:r>
              <w:rPr>
                <w:rFonts w:hint="eastAsia" w:ascii="Times New Roman" w:hAnsi="Times New Roman" w:cs="Times New Roman"/>
                <w:sz w:val="24"/>
                <w:szCs w:val="24"/>
              </w:rPr>
              <w:t>Abcam</w:t>
            </w:r>
          </w:p>
        </w:tc>
        <w:tc>
          <w:tcPr>
            <w:tcW w:w="1383" w:type="dxa"/>
          </w:tcPr>
          <w:p w14:paraId="2C24BC7C">
            <w:pPr>
              <w:spacing w:line="360" w:lineRule="auto"/>
              <w:rPr>
                <w:rFonts w:ascii="Times New Roman" w:hAnsi="Times New Roman" w:cs="Times New Roman"/>
                <w:sz w:val="24"/>
                <w:szCs w:val="24"/>
              </w:rPr>
            </w:pPr>
            <w:r>
              <w:rPr>
                <w:rFonts w:hint="eastAsia" w:ascii="Times New Roman" w:hAnsi="Times New Roman" w:cs="Times New Roman"/>
                <w:sz w:val="24"/>
                <w:szCs w:val="24"/>
              </w:rPr>
              <w:t>ab181602</w:t>
            </w:r>
          </w:p>
        </w:tc>
        <w:tc>
          <w:tcPr>
            <w:tcW w:w="1383" w:type="dxa"/>
          </w:tcPr>
          <w:p w14:paraId="185FADA0">
            <w:pPr>
              <w:spacing w:line="360" w:lineRule="auto"/>
              <w:rPr>
                <w:rFonts w:ascii="Times New Roman" w:hAnsi="Times New Roman" w:cs="Times New Roman"/>
                <w:sz w:val="24"/>
                <w:szCs w:val="24"/>
              </w:rPr>
            </w:pPr>
            <w:r>
              <w:rPr>
                <w:rFonts w:hint="eastAsia" w:ascii="Times New Roman" w:hAnsi="Times New Roman" w:cs="Times New Roman"/>
                <w:sz w:val="24"/>
                <w:szCs w:val="24"/>
              </w:rPr>
              <w:t>1:10,000</w:t>
            </w:r>
          </w:p>
        </w:tc>
        <w:tc>
          <w:tcPr>
            <w:tcW w:w="1383" w:type="dxa"/>
          </w:tcPr>
          <w:p w14:paraId="29949F07">
            <w:pPr>
              <w:spacing w:line="360" w:lineRule="auto"/>
              <w:rPr>
                <w:rFonts w:ascii="Times New Roman" w:hAnsi="Times New Roman" w:cs="Times New Roman"/>
                <w:sz w:val="24"/>
                <w:szCs w:val="24"/>
              </w:rPr>
            </w:pPr>
            <w:r>
              <w:rPr>
                <w:rFonts w:hint="eastAsia" w:ascii="Times New Roman" w:hAnsi="Times New Roman" w:cs="Times New Roman"/>
                <w:sz w:val="24"/>
                <w:szCs w:val="24"/>
              </w:rPr>
              <w:t>WB</w:t>
            </w:r>
          </w:p>
        </w:tc>
      </w:tr>
    </w:tbl>
    <w:p w14:paraId="0B584EB7">
      <w:pPr>
        <w:spacing w:line="360" w:lineRule="auto"/>
        <w:rPr>
          <w:rFonts w:hint="eastAsia" w:ascii="Times New Roman" w:hAnsi="Times New Roman" w:cs="Times New Roman"/>
          <w:sz w:val="24"/>
          <w:szCs w:val="24"/>
        </w:rPr>
      </w:pPr>
    </w:p>
    <w:p w14:paraId="55D06ADE">
      <w:pPr>
        <w:spacing w:line="360" w:lineRule="auto"/>
        <w:rPr>
          <w:rFonts w:ascii="Times New Roman" w:hAnsi="Times New Roman" w:cs="Times New Roman"/>
          <w:sz w:val="24"/>
          <w:szCs w:val="24"/>
        </w:rPr>
      </w:pPr>
      <w:r>
        <w:rPr>
          <w:rFonts w:ascii="Times New Roman" w:hAnsi="Times New Roman" w:cs="Times New Roman"/>
          <w:sz w:val="24"/>
          <w:szCs w:val="24"/>
        </w:rPr>
        <w:t>Table S</w:t>
      </w:r>
      <w:r>
        <w:rPr>
          <w:rFonts w:hint="eastAsia" w:ascii="Times New Roman" w:hAnsi="Times New Roman" w:cs="Times New Roman"/>
          <w:sz w:val="24"/>
          <w:szCs w:val="24"/>
        </w:rPr>
        <w:t>2</w:t>
      </w:r>
      <w:r>
        <w:rPr>
          <w:rFonts w:ascii="Times New Roman" w:hAnsi="Times New Roman" w:cs="Times New Roman"/>
          <w:sz w:val="24"/>
          <w:szCs w:val="24"/>
        </w:rPr>
        <w:t>. GluCEST and GABACEST signals in hippocampus and cortex at 20 weeks post-treatment</w:t>
      </w:r>
      <w:r>
        <w:rPr>
          <w:rFonts w:hint="eastAsia" w:ascii="Times New Roman" w:hAnsi="Times New Roman" w:cs="Times New Roman"/>
          <w:sz w:val="24"/>
          <w:szCs w:val="24"/>
        </w:rPr>
        <w:t>.</w:t>
      </w:r>
    </w:p>
    <w:tbl>
      <w:tblPr>
        <w:tblStyle w:val="5"/>
        <w:tblW w:w="0" w:type="auto"/>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271"/>
        <w:gridCol w:w="2126"/>
        <w:gridCol w:w="2410"/>
        <w:gridCol w:w="2489"/>
      </w:tblGrid>
      <w:tr w14:paraId="6C6066A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271" w:type="dxa"/>
            <w:tcBorders>
              <w:top w:val="single" w:color="auto" w:sz="4" w:space="0"/>
              <w:bottom w:val="single" w:color="auto" w:sz="4" w:space="0"/>
            </w:tcBorders>
          </w:tcPr>
          <w:p w14:paraId="37A09CD1">
            <w:pPr>
              <w:rPr>
                <w:rFonts w:ascii="Times New Roman" w:hAnsi="Times New Roman" w:cs="Times New Roman"/>
                <w:b/>
                <w:bCs/>
                <w:sz w:val="24"/>
                <w:szCs w:val="24"/>
              </w:rPr>
            </w:pPr>
            <w:r>
              <w:rPr>
                <w:rFonts w:ascii="Times New Roman" w:hAnsi="Times New Roman" w:cs="Times New Roman"/>
                <w:b/>
                <w:bCs/>
                <w:sz w:val="24"/>
                <w:szCs w:val="24"/>
              </w:rPr>
              <w:t>Group</w:t>
            </w:r>
          </w:p>
        </w:tc>
        <w:tc>
          <w:tcPr>
            <w:tcW w:w="2126" w:type="dxa"/>
            <w:tcBorders>
              <w:top w:val="single" w:color="auto" w:sz="4" w:space="0"/>
              <w:bottom w:val="single" w:color="auto" w:sz="4" w:space="0"/>
            </w:tcBorders>
          </w:tcPr>
          <w:p w14:paraId="27ACD36C">
            <w:pPr>
              <w:jc w:val="left"/>
              <w:rPr>
                <w:rFonts w:ascii="Times New Roman" w:hAnsi="Times New Roman" w:cs="Times New Roman"/>
                <w:b/>
                <w:bCs/>
                <w:sz w:val="24"/>
                <w:szCs w:val="24"/>
              </w:rPr>
            </w:pPr>
            <w:r>
              <w:rPr>
                <w:rFonts w:ascii="Times New Roman" w:hAnsi="Times New Roman" w:cs="Times New Roman"/>
                <w:b/>
                <w:bCs/>
                <w:sz w:val="24"/>
                <w:szCs w:val="24"/>
              </w:rPr>
              <w:t>Brain Region</w:t>
            </w:r>
          </w:p>
        </w:tc>
        <w:tc>
          <w:tcPr>
            <w:tcW w:w="2410" w:type="dxa"/>
            <w:tcBorders>
              <w:top w:val="single" w:color="auto" w:sz="4" w:space="0"/>
              <w:bottom w:val="single" w:color="auto" w:sz="4" w:space="0"/>
            </w:tcBorders>
          </w:tcPr>
          <w:p w14:paraId="2C379361">
            <w:pPr>
              <w:rPr>
                <w:rFonts w:ascii="Times New Roman" w:hAnsi="Times New Roman" w:cs="Times New Roman"/>
                <w:b/>
                <w:bCs/>
                <w:sz w:val="24"/>
                <w:szCs w:val="24"/>
              </w:rPr>
            </w:pPr>
            <w:r>
              <w:rPr>
                <w:rFonts w:ascii="Times New Roman" w:hAnsi="Times New Roman" w:cs="Times New Roman"/>
                <w:b/>
                <w:bCs/>
                <w:sz w:val="24"/>
                <w:szCs w:val="24"/>
              </w:rPr>
              <w:t>GluCEST Singal</w:t>
            </w:r>
          </w:p>
        </w:tc>
        <w:tc>
          <w:tcPr>
            <w:tcW w:w="2489" w:type="dxa"/>
            <w:tcBorders>
              <w:top w:val="single" w:color="auto" w:sz="4" w:space="0"/>
              <w:bottom w:val="single" w:color="auto" w:sz="4" w:space="0"/>
            </w:tcBorders>
          </w:tcPr>
          <w:p w14:paraId="6B1DAC1B">
            <w:pPr>
              <w:rPr>
                <w:rFonts w:ascii="Times New Roman" w:hAnsi="Times New Roman" w:cs="Times New Roman"/>
                <w:b/>
                <w:bCs/>
                <w:sz w:val="24"/>
                <w:szCs w:val="24"/>
              </w:rPr>
            </w:pPr>
            <w:r>
              <w:rPr>
                <w:rFonts w:ascii="Times New Roman" w:hAnsi="Times New Roman" w:cs="Times New Roman"/>
                <w:b/>
                <w:bCs/>
                <w:sz w:val="24"/>
                <w:szCs w:val="24"/>
              </w:rPr>
              <w:t>GABACEST Signal</w:t>
            </w:r>
          </w:p>
        </w:tc>
      </w:tr>
      <w:tr w14:paraId="0271C55C">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271" w:type="dxa"/>
            <w:tcBorders>
              <w:top w:val="single" w:color="auto" w:sz="4" w:space="0"/>
            </w:tcBorders>
          </w:tcPr>
          <w:p w14:paraId="494F8676">
            <w:pPr>
              <w:rPr>
                <w:rFonts w:ascii="Times New Roman" w:hAnsi="Times New Roman" w:cs="Times New Roman"/>
                <w:b/>
                <w:bCs/>
                <w:sz w:val="24"/>
                <w:szCs w:val="24"/>
              </w:rPr>
            </w:pPr>
            <w:r>
              <w:rPr>
                <w:rFonts w:ascii="Times New Roman" w:hAnsi="Times New Roman" w:cs="Times New Roman"/>
                <w:b/>
                <w:bCs/>
                <w:sz w:val="24"/>
                <w:szCs w:val="24"/>
              </w:rPr>
              <w:t>AD_R</w:t>
            </w:r>
          </w:p>
        </w:tc>
        <w:tc>
          <w:tcPr>
            <w:tcW w:w="2126" w:type="dxa"/>
            <w:tcBorders>
              <w:top w:val="single" w:color="auto" w:sz="4" w:space="0"/>
            </w:tcBorders>
          </w:tcPr>
          <w:p w14:paraId="0AE63CB4">
            <w:pPr>
              <w:jc w:val="left"/>
              <w:rPr>
                <w:rFonts w:ascii="Times New Roman" w:hAnsi="Times New Roman" w:cs="Times New Roman"/>
                <w:sz w:val="24"/>
                <w:szCs w:val="24"/>
              </w:rPr>
            </w:pPr>
            <w:r>
              <w:rPr>
                <w:rFonts w:ascii="Times New Roman" w:hAnsi="Times New Roman" w:cs="Times New Roman"/>
                <w:sz w:val="24"/>
                <w:szCs w:val="24"/>
              </w:rPr>
              <w:t>Hippocampus</w:t>
            </w:r>
          </w:p>
        </w:tc>
        <w:tc>
          <w:tcPr>
            <w:tcW w:w="2410" w:type="dxa"/>
            <w:tcBorders>
              <w:top w:val="single" w:color="auto" w:sz="4" w:space="0"/>
            </w:tcBorders>
          </w:tcPr>
          <w:p w14:paraId="3DB38515">
            <w:pPr>
              <w:rPr>
                <w:rFonts w:ascii="Times New Roman" w:hAnsi="Times New Roman" w:cs="Times New Roman"/>
                <w:sz w:val="24"/>
                <w:szCs w:val="24"/>
              </w:rPr>
            </w:pPr>
            <w:r>
              <w:rPr>
                <w:rFonts w:ascii="Times New Roman" w:hAnsi="Times New Roman" w:cs="Times New Roman"/>
                <w:sz w:val="24"/>
                <w:szCs w:val="24"/>
              </w:rPr>
              <w:t>0.186 ± 0.005</w:t>
            </w:r>
          </w:p>
        </w:tc>
        <w:tc>
          <w:tcPr>
            <w:tcW w:w="2489" w:type="dxa"/>
            <w:tcBorders>
              <w:top w:val="single" w:color="auto" w:sz="4" w:space="0"/>
            </w:tcBorders>
          </w:tcPr>
          <w:p w14:paraId="2B05393E">
            <w:pPr>
              <w:rPr>
                <w:rFonts w:ascii="Times New Roman" w:hAnsi="Times New Roman" w:cs="Times New Roman"/>
                <w:sz w:val="24"/>
                <w:szCs w:val="24"/>
              </w:rPr>
            </w:pPr>
            <w:r>
              <w:rPr>
                <w:rFonts w:ascii="Times New Roman" w:hAnsi="Times New Roman" w:cs="Times New Roman"/>
                <w:sz w:val="24"/>
                <w:szCs w:val="24"/>
              </w:rPr>
              <w:t>0.144 ± 0.004</w:t>
            </w:r>
          </w:p>
        </w:tc>
      </w:tr>
      <w:tr w14:paraId="5261B08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271" w:type="dxa"/>
          </w:tcPr>
          <w:p w14:paraId="61AD18FC">
            <w:pPr>
              <w:rPr>
                <w:rFonts w:ascii="Times New Roman" w:hAnsi="Times New Roman" w:cs="Times New Roman"/>
                <w:b/>
                <w:bCs/>
                <w:sz w:val="24"/>
                <w:szCs w:val="24"/>
              </w:rPr>
            </w:pPr>
          </w:p>
        </w:tc>
        <w:tc>
          <w:tcPr>
            <w:tcW w:w="2126" w:type="dxa"/>
          </w:tcPr>
          <w:p w14:paraId="48A46F17">
            <w:pPr>
              <w:jc w:val="left"/>
              <w:rPr>
                <w:rFonts w:ascii="Times New Roman" w:hAnsi="Times New Roman" w:cs="Times New Roman"/>
                <w:sz w:val="24"/>
                <w:szCs w:val="24"/>
              </w:rPr>
            </w:pPr>
            <w:r>
              <w:rPr>
                <w:rFonts w:ascii="Times New Roman" w:hAnsi="Times New Roman" w:cs="Times New Roman"/>
                <w:sz w:val="24"/>
                <w:szCs w:val="24"/>
              </w:rPr>
              <w:t>Cortex</w:t>
            </w:r>
          </w:p>
        </w:tc>
        <w:tc>
          <w:tcPr>
            <w:tcW w:w="2410" w:type="dxa"/>
          </w:tcPr>
          <w:p w14:paraId="67469347">
            <w:pPr>
              <w:rPr>
                <w:rFonts w:ascii="Times New Roman" w:hAnsi="Times New Roman" w:cs="Times New Roman"/>
                <w:sz w:val="24"/>
                <w:szCs w:val="24"/>
              </w:rPr>
            </w:pPr>
            <w:r>
              <w:rPr>
                <w:rFonts w:ascii="Times New Roman" w:hAnsi="Times New Roman" w:cs="Times New Roman"/>
                <w:sz w:val="24"/>
                <w:szCs w:val="24"/>
              </w:rPr>
              <w:t>0.194 ± 0.006</w:t>
            </w:r>
          </w:p>
        </w:tc>
        <w:tc>
          <w:tcPr>
            <w:tcW w:w="2489" w:type="dxa"/>
          </w:tcPr>
          <w:p w14:paraId="198D0767">
            <w:pPr>
              <w:rPr>
                <w:rFonts w:ascii="Times New Roman" w:hAnsi="Times New Roman" w:cs="Times New Roman"/>
                <w:sz w:val="24"/>
                <w:szCs w:val="24"/>
              </w:rPr>
            </w:pPr>
            <w:r>
              <w:rPr>
                <w:rFonts w:ascii="Times New Roman" w:hAnsi="Times New Roman" w:cs="Times New Roman"/>
                <w:sz w:val="24"/>
                <w:szCs w:val="24"/>
              </w:rPr>
              <w:t>0.151 ± 0.005</w:t>
            </w:r>
          </w:p>
        </w:tc>
      </w:tr>
      <w:tr w14:paraId="1A22239B">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271" w:type="dxa"/>
          </w:tcPr>
          <w:p w14:paraId="08BD9757">
            <w:pPr>
              <w:rPr>
                <w:rFonts w:ascii="Times New Roman" w:hAnsi="Times New Roman" w:cs="Times New Roman"/>
                <w:b/>
                <w:bCs/>
                <w:sz w:val="24"/>
                <w:szCs w:val="24"/>
              </w:rPr>
            </w:pPr>
            <w:r>
              <w:rPr>
                <w:rFonts w:ascii="Times New Roman" w:hAnsi="Times New Roman" w:cs="Times New Roman"/>
                <w:b/>
                <w:bCs/>
                <w:sz w:val="24"/>
                <w:szCs w:val="24"/>
              </w:rPr>
              <w:t>AD_C</w:t>
            </w:r>
          </w:p>
        </w:tc>
        <w:tc>
          <w:tcPr>
            <w:tcW w:w="2126" w:type="dxa"/>
          </w:tcPr>
          <w:p w14:paraId="6C63A0D8">
            <w:pPr>
              <w:jc w:val="left"/>
              <w:rPr>
                <w:rFonts w:ascii="Times New Roman" w:hAnsi="Times New Roman" w:cs="Times New Roman"/>
                <w:sz w:val="24"/>
                <w:szCs w:val="24"/>
              </w:rPr>
            </w:pPr>
            <w:r>
              <w:rPr>
                <w:rFonts w:ascii="Times New Roman" w:hAnsi="Times New Roman" w:cs="Times New Roman"/>
                <w:sz w:val="24"/>
                <w:szCs w:val="24"/>
              </w:rPr>
              <w:t>Hippocampus</w:t>
            </w:r>
          </w:p>
        </w:tc>
        <w:tc>
          <w:tcPr>
            <w:tcW w:w="2410" w:type="dxa"/>
          </w:tcPr>
          <w:p w14:paraId="451E802B">
            <w:pPr>
              <w:rPr>
                <w:rFonts w:ascii="Times New Roman" w:hAnsi="Times New Roman" w:cs="Times New Roman"/>
                <w:sz w:val="24"/>
                <w:szCs w:val="24"/>
              </w:rPr>
            </w:pPr>
            <w:r>
              <w:rPr>
                <w:rFonts w:ascii="Times New Roman" w:hAnsi="Times New Roman" w:cs="Times New Roman"/>
                <w:sz w:val="24"/>
                <w:szCs w:val="24"/>
              </w:rPr>
              <w:t>0.144 ± 0.007</w:t>
            </w:r>
            <w:r>
              <w:rPr>
                <w:rFonts w:ascii="Times New Roman" w:hAnsi="Times New Roman" w:cs="Times New Roman"/>
                <w:sz w:val="24"/>
                <w:szCs w:val="24"/>
                <w:vertAlign w:val="superscript"/>
              </w:rPr>
              <w:t>a</w:t>
            </w:r>
          </w:p>
        </w:tc>
        <w:tc>
          <w:tcPr>
            <w:tcW w:w="2489" w:type="dxa"/>
          </w:tcPr>
          <w:p w14:paraId="3E27DBA5">
            <w:pPr>
              <w:rPr>
                <w:rFonts w:ascii="Times New Roman" w:hAnsi="Times New Roman" w:cs="Times New Roman"/>
                <w:sz w:val="24"/>
                <w:szCs w:val="24"/>
              </w:rPr>
            </w:pPr>
            <w:r>
              <w:rPr>
                <w:rFonts w:ascii="Times New Roman" w:hAnsi="Times New Roman" w:cs="Times New Roman"/>
                <w:sz w:val="24"/>
                <w:szCs w:val="24"/>
              </w:rPr>
              <w:t>0.127 ± 0.003</w:t>
            </w:r>
            <w:r>
              <w:rPr>
                <w:rFonts w:ascii="Times New Roman" w:hAnsi="Times New Roman" w:cs="Times New Roman"/>
                <w:sz w:val="24"/>
                <w:szCs w:val="24"/>
                <w:vertAlign w:val="superscript"/>
              </w:rPr>
              <w:t>c</w:t>
            </w:r>
          </w:p>
        </w:tc>
      </w:tr>
      <w:tr w14:paraId="28D5E822">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271" w:type="dxa"/>
          </w:tcPr>
          <w:p w14:paraId="2ABCC2E8">
            <w:pPr>
              <w:rPr>
                <w:rFonts w:ascii="Times New Roman" w:hAnsi="Times New Roman" w:cs="Times New Roman"/>
                <w:b/>
                <w:bCs/>
                <w:sz w:val="24"/>
                <w:szCs w:val="24"/>
              </w:rPr>
            </w:pPr>
          </w:p>
        </w:tc>
        <w:tc>
          <w:tcPr>
            <w:tcW w:w="2126" w:type="dxa"/>
          </w:tcPr>
          <w:p w14:paraId="268E10B4">
            <w:pPr>
              <w:jc w:val="left"/>
              <w:rPr>
                <w:rFonts w:ascii="Times New Roman" w:hAnsi="Times New Roman" w:cs="Times New Roman"/>
                <w:sz w:val="24"/>
                <w:szCs w:val="24"/>
              </w:rPr>
            </w:pPr>
            <w:r>
              <w:rPr>
                <w:rFonts w:ascii="Times New Roman" w:hAnsi="Times New Roman" w:cs="Times New Roman"/>
                <w:sz w:val="24"/>
                <w:szCs w:val="24"/>
              </w:rPr>
              <w:t>Cortex</w:t>
            </w:r>
          </w:p>
        </w:tc>
        <w:tc>
          <w:tcPr>
            <w:tcW w:w="2410" w:type="dxa"/>
          </w:tcPr>
          <w:p w14:paraId="33239BBD">
            <w:pPr>
              <w:rPr>
                <w:rFonts w:ascii="Times New Roman" w:hAnsi="Times New Roman" w:cs="Times New Roman"/>
                <w:sz w:val="24"/>
                <w:szCs w:val="24"/>
              </w:rPr>
            </w:pPr>
            <w:r>
              <w:rPr>
                <w:rFonts w:ascii="Times New Roman" w:hAnsi="Times New Roman" w:cs="Times New Roman"/>
                <w:sz w:val="24"/>
                <w:szCs w:val="24"/>
              </w:rPr>
              <w:t>0.156 ± 0.010</w:t>
            </w:r>
            <w:r>
              <w:rPr>
                <w:rFonts w:ascii="Times New Roman" w:hAnsi="Times New Roman" w:cs="Times New Roman"/>
                <w:sz w:val="24"/>
                <w:szCs w:val="24"/>
                <w:vertAlign w:val="superscript"/>
              </w:rPr>
              <w:t>b</w:t>
            </w:r>
          </w:p>
        </w:tc>
        <w:tc>
          <w:tcPr>
            <w:tcW w:w="2489" w:type="dxa"/>
          </w:tcPr>
          <w:p w14:paraId="781A6D09">
            <w:pPr>
              <w:rPr>
                <w:rFonts w:ascii="Times New Roman" w:hAnsi="Times New Roman" w:cs="Times New Roman"/>
                <w:sz w:val="24"/>
                <w:szCs w:val="24"/>
              </w:rPr>
            </w:pPr>
            <w:r>
              <w:rPr>
                <w:rFonts w:ascii="Times New Roman" w:hAnsi="Times New Roman" w:cs="Times New Roman"/>
                <w:sz w:val="24"/>
                <w:szCs w:val="24"/>
              </w:rPr>
              <w:t>0.140 ± 0.006</w:t>
            </w:r>
            <w:r>
              <w:rPr>
                <w:rFonts w:ascii="Times New Roman" w:hAnsi="Times New Roman" w:cs="Times New Roman"/>
                <w:sz w:val="24"/>
                <w:szCs w:val="24"/>
                <w:vertAlign w:val="superscript"/>
              </w:rPr>
              <w:t>c</w:t>
            </w:r>
          </w:p>
        </w:tc>
      </w:tr>
      <w:tr w14:paraId="503D117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271" w:type="dxa"/>
          </w:tcPr>
          <w:p w14:paraId="31372F8D">
            <w:pPr>
              <w:rPr>
                <w:rFonts w:ascii="Times New Roman" w:hAnsi="Times New Roman" w:cs="Times New Roman"/>
                <w:b/>
                <w:bCs/>
                <w:sz w:val="24"/>
                <w:szCs w:val="24"/>
              </w:rPr>
            </w:pPr>
            <w:r>
              <w:rPr>
                <w:rFonts w:ascii="Times New Roman" w:hAnsi="Times New Roman" w:cs="Times New Roman"/>
                <w:b/>
                <w:bCs/>
                <w:sz w:val="24"/>
                <w:szCs w:val="24"/>
              </w:rPr>
              <w:t>C57_R</w:t>
            </w:r>
          </w:p>
        </w:tc>
        <w:tc>
          <w:tcPr>
            <w:tcW w:w="2126" w:type="dxa"/>
          </w:tcPr>
          <w:p w14:paraId="2D280DD7">
            <w:pPr>
              <w:jc w:val="left"/>
              <w:rPr>
                <w:rFonts w:ascii="Times New Roman" w:hAnsi="Times New Roman" w:cs="Times New Roman"/>
                <w:sz w:val="24"/>
                <w:szCs w:val="24"/>
              </w:rPr>
            </w:pPr>
            <w:r>
              <w:rPr>
                <w:rFonts w:ascii="Times New Roman" w:hAnsi="Times New Roman" w:cs="Times New Roman"/>
                <w:sz w:val="24"/>
                <w:szCs w:val="24"/>
              </w:rPr>
              <w:t>Hippocampus</w:t>
            </w:r>
          </w:p>
        </w:tc>
        <w:tc>
          <w:tcPr>
            <w:tcW w:w="2410" w:type="dxa"/>
          </w:tcPr>
          <w:p w14:paraId="74A7ADDF">
            <w:pPr>
              <w:rPr>
                <w:rFonts w:ascii="Times New Roman" w:hAnsi="Times New Roman" w:cs="Times New Roman"/>
                <w:sz w:val="24"/>
                <w:szCs w:val="24"/>
              </w:rPr>
            </w:pPr>
            <w:r>
              <w:rPr>
                <w:rFonts w:ascii="Times New Roman" w:hAnsi="Times New Roman" w:cs="Times New Roman"/>
                <w:sz w:val="24"/>
                <w:szCs w:val="24"/>
              </w:rPr>
              <w:t>0.186 ± 0.004</w:t>
            </w:r>
          </w:p>
        </w:tc>
        <w:tc>
          <w:tcPr>
            <w:tcW w:w="2489" w:type="dxa"/>
          </w:tcPr>
          <w:p w14:paraId="5FC629C3">
            <w:pPr>
              <w:rPr>
                <w:rFonts w:ascii="Times New Roman" w:hAnsi="Times New Roman" w:cs="Times New Roman"/>
                <w:sz w:val="24"/>
                <w:szCs w:val="24"/>
              </w:rPr>
            </w:pPr>
            <w:r>
              <w:rPr>
                <w:rFonts w:ascii="Times New Roman" w:hAnsi="Times New Roman" w:cs="Times New Roman"/>
                <w:sz w:val="24"/>
                <w:szCs w:val="24"/>
              </w:rPr>
              <w:t>0.154 ± 0.004</w:t>
            </w:r>
          </w:p>
        </w:tc>
      </w:tr>
      <w:tr w14:paraId="3B5EF0E8">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271" w:type="dxa"/>
          </w:tcPr>
          <w:p w14:paraId="51D37365">
            <w:pPr>
              <w:rPr>
                <w:rFonts w:ascii="Times New Roman" w:hAnsi="Times New Roman" w:cs="Times New Roman"/>
                <w:b/>
                <w:bCs/>
                <w:sz w:val="24"/>
                <w:szCs w:val="24"/>
              </w:rPr>
            </w:pPr>
          </w:p>
        </w:tc>
        <w:tc>
          <w:tcPr>
            <w:tcW w:w="2126" w:type="dxa"/>
          </w:tcPr>
          <w:p w14:paraId="37FEC4E1">
            <w:pPr>
              <w:jc w:val="left"/>
              <w:rPr>
                <w:rFonts w:ascii="Times New Roman" w:hAnsi="Times New Roman" w:cs="Times New Roman"/>
                <w:sz w:val="24"/>
                <w:szCs w:val="24"/>
              </w:rPr>
            </w:pPr>
            <w:r>
              <w:rPr>
                <w:rFonts w:ascii="Times New Roman" w:hAnsi="Times New Roman" w:cs="Times New Roman"/>
                <w:sz w:val="24"/>
                <w:szCs w:val="24"/>
              </w:rPr>
              <w:t>Cortex</w:t>
            </w:r>
          </w:p>
        </w:tc>
        <w:tc>
          <w:tcPr>
            <w:tcW w:w="2410" w:type="dxa"/>
          </w:tcPr>
          <w:p w14:paraId="43D3C7C0">
            <w:pPr>
              <w:rPr>
                <w:rFonts w:ascii="Times New Roman" w:hAnsi="Times New Roman" w:cs="Times New Roman"/>
                <w:sz w:val="24"/>
                <w:szCs w:val="24"/>
              </w:rPr>
            </w:pPr>
            <w:r>
              <w:rPr>
                <w:rFonts w:ascii="Times New Roman" w:hAnsi="Times New Roman" w:cs="Times New Roman"/>
                <w:sz w:val="24"/>
                <w:szCs w:val="24"/>
              </w:rPr>
              <w:t>0.202 ± 0.006</w:t>
            </w:r>
          </w:p>
        </w:tc>
        <w:tc>
          <w:tcPr>
            <w:tcW w:w="2489" w:type="dxa"/>
          </w:tcPr>
          <w:p w14:paraId="2EA2ECB0">
            <w:pPr>
              <w:rPr>
                <w:rFonts w:ascii="Times New Roman" w:hAnsi="Times New Roman" w:cs="Times New Roman"/>
                <w:sz w:val="24"/>
                <w:szCs w:val="24"/>
              </w:rPr>
            </w:pPr>
            <w:r>
              <w:rPr>
                <w:rFonts w:ascii="Times New Roman" w:hAnsi="Times New Roman" w:cs="Times New Roman"/>
                <w:sz w:val="24"/>
                <w:szCs w:val="24"/>
              </w:rPr>
              <w:t>0.169 ± 0.005</w:t>
            </w:r>
          </w:p>
        </w:tc>
      </w:tr>
      <w:tr w14:paraId="430EA55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 w:hRule="atLeast"/>
        </w:trPr>
        <w:tc>
          <w:tcPr>
            <w:tcW w:w="1271" w:type="dxa"/>
          </w:tcPr>
          <w:p w14:paraId="444CCD5F">
            <w:pPr>
              <w:rPr>
                <w:rFonts w:ascii="Times New Roman" w:hAnsi="Times New Roman" w:cs="Times New Roman"/>
                <w:b/>
                <w:bCs/>
                <w:sz w:val="24"/>
                <w:szCs w:val="24"/>
              </w:rPr>
            </w:pPr>
            <w:r>
              <w:rPr>
                <w:rFonts w:ascii="Times New Roman" w:hAnsi="Times New Roman" w:cs="Times New Roman"/>
                <w:b/>
                <w:bCs/>
                <w:sz w:val="24"/>
                <w:szCs w:val="24"/>
              </w:rPr>
              <w:t>C57_C</w:t>
            </w:r>
          </w:p>
        </w:tc>
        <w:tc>
          <w:tcPr>
            <w:tcW w:w="2126" w:type="dxa"/>
          </w:tcPr>
          <w:p w14:paraId="516F8E3A">
            <w:pPr>
              <w:jc w:val="left"/>
              <w:rPr>
                <w:rFonts w:ascii="Times New Roman" w:hAnsi="Times New Roman" w:cs="Times New Roman"/>
                <w:sz w:val="24"/>
                <w:szCs w:val="24"/>
              </w:rPr>
            </w:pPr>
            <w:r>
              <w:rPr>
                <w:rFonts w:ascii="Times New Roman" w:hAnsi="Times New Roman" w:cs="Times New Roman"/>
                <w:sz w:val="24"/>
                <w:szCs w:val="24"/>
              </w:rPr>
              <w:t>Hippocampus</w:t>
            </w:r>
          </w:p>
        </w:tc>
        <w:tc>
          <w:tcPr>
            <w:tcW w:w="2410" w:type="dxa"/>
          </w:tcPr>
          <w:p w14:paraId="3FB0234F">
            <w:pPr>
              <w:rPr>
                <w:rFonts w:ascii="Times New Roman" w:hAnsi="Times New Roman" w:cs="Times New Roman"/>
                <w:sz w:val="24"/>
                <w:szCs w:val="24"/>
              </w:rPr>
            </w:pPr>
            <w:r>
              <w:rPr>
                <w:rFonts w:ascii="Times New Roman" w:hAnsi="Times New Roman" w:cs="Times New Roman"/>
                <w:sz w:val="24"/>
                <w:szCs w:val="24"/>
              </w:rPr>
              <w:t>0.189 ± 0.004</w:t>
            </w:r>
          </w:p>
        </w:tc>
        <w:tc>
          <w:tcPr>
            <w:tcW w:w="2489" w:type="dxa"/>
          </w:tcPr>
          <w:p w14:paraId="6347582D">
            <w:pPr>
              <w:rPr>
                <w:rFonts w:ascii="Times New Roman" w:hAnsi="Times New Roman" w:cs="Times New Roman"/>
                <w:sz w:val="24"/>
                <w:szCs w:val="24"/>
              </w:rPr>
            </w:pPr>
            <w:r>
              <w:rPr>
                <w:rFonts w:ascii="Times New Roman" w:hAnsi="Times New Roman" w:cs="Times New Roman"/>
                <w:sz w:val="24"/>
                <w:szCs w:val="24"/>
              </w:rPr>
              <w:t>0.154 ± 0.003</w:t>
            </w:r>
          </w:p>
        </w:tc>
      </w:tr>
      <w:tr w14:paraId="15006510">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271" w:type="dxa"/>
          </w:tcPr>
          <w:p w14:paraId="23E8EEA4">
            <w:pPr>
              <w:rPr>
                <w:rFonts w:ascii="Times New Roman" w:hAnsi="Times New Roman" w:cs="Times New Roman"/>
                <w:sz w:val="24"/>
                <w:szCs w:val="24"/>
              </w:rPr>
            </w:pPr>
          </w:p>
        </w:tc>
        <w:tc>
          <w:tcPr>
            <w:tcW w:w="2126" w:type="dxa"/>
          </w:tcPr>
          <w:p w14:paraId="3A17D7BB">
            <w:pPr>
              <w:jc w:val="left"/>
              <w:rPr>
                <w:rFonts w:ascii="Times New Roman" w:hAnsi="Times New Roman" w:cs="Times New Roman"/>
                <w:sz w:val="24"/>
                <w:szCs w:val="24"/>
              </w:rPr>
            </w:pPr>
            <w:r>
              <w:rPr>
                <w:rFonts w:ascii="Times New Roman" w:hAnsi="Times New Roman" w:cs="Times New Roman"/>
                <w:sz w:val="24"/>
                <w:szCs w:val="24"/>
              </w:rPr>
              <w:t>Cortex</w:t>
            </w:r>
          </w:p>
        </w:tc>
        <w:tc>
          <w:tcPr>
            <w:tcW w:w="2410" w:type="dxa"/>
          </w:tcPr>
          <w:p w14:paraId="3FBBE5B8">
            <w:pPr>
              <w:rPr>
                <w:rFonts w:ascii="Times New Roman" w:hAnsi="Times New Roman" w:cs="Times New Roman"/>
                <w:sz w:val="24"/>
                <w:szCs w:val="24"/>
              </w:rPr>
            </w:pPr>
            <w:r>
              <w:rPr>
                <w:rFonts w:ascii="Times New Roman" w:hAnsi="Times New Roman" w:cs="Times New Roman"/>
                <w:sz w:val="24"/>
                <w:szCs w:val="24"/>
              </w:rPr>
              <w:t>0.196 ± 0.003</w:t>
            </w:r>
          </w:p>
        </w:tc>
        <w:tc>
          <w:tcPr>
            <w:tcW w:w="2489" w:type="dxa"/>
          </w:tcPr>
          <w:p w14:paraId="266893F2">
            <w:pPr>
              <w:rPr>
                <w:rFonts w:ascii="Times New Roman" w:hAnsi="Times New Roman" w:cs="Times New Roman"/>
                <w:sz w:val="24"/>
                <w:szCs w:val="24"/>
              </w:rPr>
            </w:pPr>
            <w:r>
              <w:rPr>
                <w:rFonts w:ascii="Times New Roman" w:hAnsi="Times New Roman" w:cs="Times New Roman"/>
                <w:sz w:val="24"/>
                <w:szCs w:val="24"/>
              </w:rPr>
              <w:t>0.166 ± 0.003</w:t>
            </w:r>
          </w:p>
        </w:tc>
      </w:tr>
    </w:tbl>
    <w:p w14:paraId="4B31C87D">
      <w:pPr>
        <w:spacing w:line="360" w:lineRule="auto"/>
        <w:rPr>
          <w:rFonts w:ascii="Times New Roman" w:hAnsi="Times New Roman" w:cs="Times New Roman"/>
          <w:sz w:val="24"/>
          <w:szCs w:val="24"/>
        </w:rPr>
      </w:pPr>
      <w:r>
        <w:rPr>
          <w:rFonts w:ascii="Times New Roman" w:hAnsi="Times New Roman" w:cs="Times New Roman"/>
          <w:sz w:val="24"/>
          <w:szCs w:val="24"/>
        </w:rPr>
        <w:t xml:space="preserve">Data are presented as mean ± SD. Statistical significance was determined using Tukey's multiple comparisons test. </w:t>
      </w:r>
      <w:r>
        <w:rPr>
          <w:rFonts w:ascii="Times New Roman" w:hAnsi="Times New Roman" w:cs="Times New Roman"/>
          <w:sz w:val="24"/>
          <w:szCs w:val="24"/>
          <w:vertAlign w:val="superscript"/>
        </w:rPr>
        <w:t>a</w:t>
      </w:r>
      <w:r>
        <w:rPr>
          <w:rFonts w:ascii="Times New Roman" w:hAnsi="Times New Roman" w:cs="Times New Roman"/>
          <w:i/>
          <w:iCs/>
          <w:sz w:val="24"/>
          <w:szCs w:val="24"/>
        </w:rPr>
        <w:t>p</w:t>
      </w:r>
      <w:r>
        <w:rPr>
          <w:rFonts w:ascii="Times New Roman" w:hAnsi="Times New Roman" w:cs="Times New Roman"/>
          <w:sz w:val="24"/>
          <w:szCs w:val="24"/>
        </w:rPr>
        <w:t xml:space="preserve"> </w:t>
      </w:r>
      <w:r>
        <w:rPr>
          <w:rFonts w:hint="eastAsia" w:ascii="Times New Roman" w:hAnsi="Times New Roman" w:cs="Times New Roman"/>
          <w:sz w:val="24"/>
          <w:szCs w:val="24"/>
        </w:rPr>
        <w:t>&lt;</w:t>
      </w:r>
      <w:r>
        <w:rPr>
          <w:rFonts w:ascii="Times New Roman" w:hAnsi="Times New Roman" w:cs="Times New Roman"/>
          <w:sz w:val="24"/>
          <w:szCs w:val="24"/>
        </w:rPr>
        <w:t xml:space="preserve"> 0.01 compared to other groups. </w:t>
      </w:r>
      <w:r>
        <w:rPr>
          <w:rFonts w:ascii="Times New Roman" w:hAnsi="Times New Roman" w:cs="Times New Roman"/>
          <w:sz w:val="24"/>
          <w:szCs w:val="24"/>
          <w:vertAlign w:val="superscript"/>
        </w:rPr>
        <w:t>b</w:t>
      </w:r>
      <w:r>
        <w:rPr>
          <w:rFonts w:ascii="Times New Roman" w:hAnsi="Times New Roman" w:cs="Times New Roman"/>
          <w:i/>
          <w:iCs/>
          <w:sz w:val="24"/>
          <w:szCs w:val="24"/>
        </w:rPr>
        <w:t>p</w:t>
      </w:r>
      <w:r>
        <w:rPr>
          <w:rFonts w:ascii="Times New Roman" w:hAnsi="Times New Roman" w:cs="Times New Roman"/>
          <w:sz w:val="24"/>
          <w:szCs w:val="24"/>
        </w:rPr>
        <w:t xml:space="preserve"> </w:t>
      </w:r>
      <w:r>
        <w:rPr>
          <w:rFonts w:hint="eastAsia" w:ascii="Times New Roman" w:hAnsi="Times New Roman" w:cs="Times New Roman"/>
          <w:sz w:val="24"/>
          <w:szCs w:val="24"/>
        </w:rPr>
        <w:t>&lt;</w:t>
      </w:r>
      <w:r>
        <w:rPr>
          <w:rFonts w:ascii="Times New Roman" w:hAnsi="Times New Roman" w:cs="Times New Roman"/>
          <w:sz w:val="24"/>
          <w:szCs w:val="24"/>
        </w:rPr>
        <w:t xml:space="preserve"> 0.05 compared to other groups. </w:t>
      </w:r>
      <w:r>
        <w:rPr>
          <w:rFonts w:ascii="Times New Roman" w:hAnsi="Times New Roman" w:cs="Times New Roman"/>
          <w:sz w:val="24"/>
          <w:szCs w:val="24"/>
          <w:vertAlign w:val="superscript"/>
        </w:rPr>
        <w:t>c</w:t>
      </w:r>
      <w:r>
        <w:rPr>
          <w:rFonts w:ascii="Times New Roman" w:hAnsi="Times New Roman" w:cs="Times New Roman"/>
          <w:i/>
          <w:iCs/>
          <w:sz w:val="24"/>
          <w:szCs w:val="24"/>
        </w:rPr>
        <w:t>p</w:t>
      </w:r>
      <w:r>
        <w:rPr>
          <w:rFonts w:ascii="Times New Roman" w:hAnsi="Times New Roman" w:cs="Times New Roman"/>
          <w:sz w:val="24"/>
          <w:szCs w:val="24"/>
        </w:rPr>
        <w:t xml:space="preserve"> </w:t>
      </w:r>
      <w:r>
        <w:rPr>
          <w:rFonts w:hint="eastAsia" w:ascii="Times New Roman" w:hAnsi="Times New Roman" w:cs="Times New Roman"/>
          <w:sz w:val="24"/>
          <w:szCs w:val="24"/>
        </w:rPr>
        <w:t>&lt;</w:t>
      </w:r>
      <w:r>
        <w:rPr>
          <w:rFonts w:ascii="Times New Roman" w:hAnsi="Times New Roman" w:cs="Times New Roman"/>
          <w:sz w:val="24"/>
          <w:szCs w:val="24"/>
        </w:rPr>
        <w:t xml:space="preserve"> 0.05 compared to C57_R and C57_C groups.</w:t>
      </w:r>
    </w:p>
    <w:p w14:paraId="40A78AB5">
      <w:pPr>
        <w:spacing w:line="360" w:lineRule="auto"/>
        <w:rPr>
          <w:rFonts w:hint="eastAsia" w:ascii="Times New Roman" w:hAnsi="Times New Roman" w:cs="Times New Roman"/>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519"/>
    <w:rsid w:val="000262E8"/>
    <w:rsid w:val="000B2765"/>
    <w:rsid w:val="000E59E5"/>
    <w:rsid w:val="00103AAF"/>
    <w:rsid w:val="00106519"/>
    <w:rsid w:val="0018126F"/>
    <w:rsid w:val="001F7418"/>
    <w:rsid w:val="0029247E"/>
    <w:rsid w:val="004253DE"/>
    <w:rsid w:val="00456731"/>
    <w:rsid w:val="00471A7E"/>
    <w:rsid w:val="00482B88"/>
    <w:rsid w:val="005B019B"/>
    <w:rsid w:val="005E2236"/>
    <w:rsid w:val="00614DFA"/>
    <w:rsid w:val="006A21BC"/>
    <w:rsid w:val="00745A33"/>
    <w:rsid w:val="007E45E8"/>
    <w:rsid w:val="007F6909"/>
    <w:rsid w:val="00863C89"/>
    <w:rsid w:val="00955257"/>
    <w:rsid w:val="00987EBB"/>
    <w:rsid w:val="009D390D"/>
    <w:rsid w:val="00A36D2A"/>
    <w:rsid w:val="00A42899"/>
    <w:rsid w:val="00A90497"/>
    <w:rsid w:val="00AC77AB"/>
    <w:rsid w:val="00B33161"/>
    <w:rsid w:val="00BF172F"/>
    <w:rsid w:val="00C25187"/>
    <w:rsid w:val="00CB2819"/>
    <w:rsid w:val="00CB42EF"/>
    <w:rsid w:val="00CF0618"/>
    <w:rsid w:val="00E61AB8"/>
    <w:rsid w:val="00ED3E6C"/>
    <w:rsid w:val="00F34D8D"/>
    <w:rsid w:val="00F47DC7"/>
    <w:rsid w:val="00FC0EFA"/>
    <w:rsid w:val="00FD5D05"/>
    <w:rsid w:val="06DF0D28"/>
    <w:rsid w:val="151A3C62"/>
    <w:rsid w:val="1ADF043F"/>
    <w:rsid w:val="3CEF4E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tabs>
        <w:tab w:val="center" w:pos="4153"/>
        <w:tab w:val="right" w:pos="8306"/>
      </w:tabs>
      <w:snapToGrid w:val="0"/>
      <w:jc w:val="center"/>
    </w:pPr>
    <w:rPr>
      <w:sz w:val="18"/>
      <w:szCs w:val="18"/>
    </w:rPr>
  </w:style>
  <w:style w:type="table" w:styleId="5">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Hyperlink"/>
    <w:basedOn w:val="6"/>
    <w:semiHidden/>
    <w:unhideWhenUsed/>
    <w:qFormat/>
    <w:uiPriority w:val="99"/>
    <w:rPr>
      <w:color w:val="0000FF"/>
      <w:u w:val="single"/>
    </w:rPr>
  </w:style>
  <w:style w:type="character" w:customStyle="1" w:styleId="8">
    <w:name w:val="页眉 字符"/>
    <w:basedOn w:val="6"/>
    <w:link w:val="3"/>
    <w:qFormat/>
    <w:uiPriority w:val="99"/>
    <w:rPr>
      <w:sz w:val="18"/>
      <w:szCs w:val="18"/>
    </w:rPr>
  </w:style>
  <w:style w:type="character" w:customStyle="1" w:styleId="9">
    <w:name w:val="页脚 字符"/>
    <w:basedOn w:val="6"/>
    <w:link w:val="2"/>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tiff"/><Relationship Id="rId5" Type="http://schemas.openxmlformats.org/officeDocument/2006/relationships/image" Target="media/image2.tiff"/><Relationship Id="rId4" Type="http://schemas.openxmlformats.org/officeDocument/2006/relationships/image" Target="media/image1.tif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625</Words>
  <Characters>3576</Characters>
  <Lines>30</Lines>
  <Paragraphs>8</Paragraphs>
  <TotalTime>194</TotalTime>
  <ScaleCrop>false</ScaleCrop>
  <LinksUpToDate>false</LinksUpToDate>
  <CharactersWithSpaces>4111</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2024-09-14T10:24:00Z</dcterms:created>
  <dc:creator>苑玉 沈</dc:creator>
  <cp:lastModifiedBy>似水年华</cp:lastModifiedBy>
  <dcterms:modified xsi:type="dcterms:W3CDTF">2025-01-04T03:35:40Z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AEDF819583BB488891F3B68500AFAD1A_12</vt:lpwstr>
  </property>
  <property fmtid="{D5CDD505-2E9C-101B-9397-08002B2CF9AE}" pid="4" name="KSOTemplateDocerSaveRecord">
    <vt:lpwstr>eyJoZGlkIjoiZDNhZjQ1ZjcxZDc4NGZkNzk1ZWYyYmE5NThkYjc5MzgiLCJ1c2VySWQiOiIzMzU0NDQ4OTEifQ==</vt:lpwstr>
  </property>
</Properties>
</file>